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0B5B" w14:textId="130166EC" w:rsidR="00A665C5" w:rsidRPr="008616D9" w:rsidRDefault="00F51B8C" w:rsidP="008616D9">
      <w:pPr>
        <w:spacing w:line="240" w:lineRule="auto"/>
        <w:contextualSpacing/>
        <w:jc w:val="center"/>
        <w:rPr>
          <w:rFonts w:cstheme="minorHAnsi"/>
          <w:b/>
          <w:bCs/>
        </w:rPr>
      </w:pPr>
      <w:r w:rsidRPr="008616D9">
        <w:rPr>
          <w:rFonts w:cstheme="minorHAnsi"/>
          <w:b/>
          <w:bCs/>
        </w:rPr>
        <w:t>Digital Weight Management Programme (DWMP) Information Sheet</w:t>
      </w:r>
    </w:p>
    <w:p w14:paraId="37D6364A" w14:textId="553F0141" w:rsidR="00F51B8C" w:rsidRPr="008616D9" w:rsidRDefault="00F51B8C" w:rsidP="008616D9">
      <w:pPr>
        <w:spacing w:line="240" w:lineRule="auto"/>
        <w:contextualSpacing/>
        <w:rPr>
          <w:rFonts w:cstheme="minorHAnsi"/>
        </w:rPr>
      </w:pPr>
    </w:p>
    <w:p w14:paraId="3FA93DD4" w14:textId="77777777" w:rsidR="009A0672" w:rsidRPr="005F0A7D" w:rsidRDefault="009A0672" w:rsidP="008616D9">
      <w:pPr>
        <w:spacing w:line="240" w:lineRule="auto"/>
        <w:contextualSpacing/>
        <w:rPr>
          <w:rFonts w:cstheme="minorHAnsi"/>
          <w:b/>
          <w:bCs/>
          <w:u w:val="single"/>
        </w:rPr>
      </w:pPr>
      <w:r w:rsidRPr="005F0A7D">
        <w:rPr>
          <w:rFonts w:cstheme="minorHAnsi"/>
          <w:b/>
          <w:bCs/>
          <w:u w:val="single"/>
        </w:rPr>
        <w:t>What is the Digital Weight Management Programme (DWMP)?</w:t>
      </w:r>
    </w:p>
    <w:p w14:paraId="5AB5D1D2" w14:textId="0C718248" w:rsidR="009A0672" w:rsidRPr="005F0A7D" w:rsidRDefault="009A0672" w:rsidP="008616D9">
      <w:pPr>
        <w:spacing w:line="240" w:lineRule="auto"/>
        <w:contextualSpacing/>
        <w:rPr>
          <w:rFonts w:cstheme="minorHAnsi"/>
          <w:u w:val="single"/>
        </w:rPr>
      </w:pPr>
      <w:r w:rsidRPr="005F0A7D">
        <w:rPr>
          <w:rFonts w:cstheme="minorHAnsi"/>
          <w:b/>
          <w:bCs/>
          <w:u w:val="single"/>
        </w:rPr>
        <w:t>Overview</w:t>
      </w:r>
      <w:r w:rsidR="005F0A7D" w:rsidRPr="005F0A7D">
        <w:rPr>
          <w:rFonts w:cstheme="minorHAnsi"/>
          <w:b/>
          <w:bCs/>
          <w:u w:val="single"/>
        </w:rPr>
        <w:t>.</w:t>
      </w:r>
    </w:p>
    <w:p w14:paraId="0C3F3D09" w14:textId="4303C518" w:rsidR="009A0672" w:rsidRPr="008616D9" w:rsidRDefault="009A0672" w:rsidP="008616D9">
      <w:pPr>
        <w:spacing w:line="240" w:lineRule="auto"/>
        <w:contextualSpacing/>
        <w:rPr>
          <w:rFonts w:cstheme="minorHAnsi"/>
        </w:rPr>
      </w:pPr>
      <w:r w:rsidRPr="008616D9">
        <w:rPr>
          <w:rFonts w:cstheme="minorHAnsi"/>
        </w:rPr>
        <w:t>This is a specific programme for those patients with diabetes and hypertension or both and who meet the criteria below.</w:t>
      </w:r>
    </w:p>
    <w:p w14:paraId="71152A47" w14:textId="77777777" w:rsidR="009A0672" w:rsidRPr="008616D9" w:rsidRDefault="009A0672" w:rsidP="008616D9">
      <w:pPr>
        <w:spacing w:line="240" w:lineRule="auto"/>
        <w:contextualSpacing/>
        <w:rPr>
          <w:rFonts w:cstheme="minorHAnsi"/>
        </w:rPr>
      </w:pPr>
    </w:p>
    <w:p w14:paraId="5403E5D8" w14:textId="77777777" w:rsidR="009A0672" w:rsidRPr="008616D9" w:rsidRDefault="009A0672" w:rsidP="008616D9">
      <w:pPr>
        <w:spacing w:line="240" w:lineRule="auto"/>
        <w:contextualSpacing/>
        <w:rPr>
          <w:rFonts w:cstheme="minorHAnsi"/>
        </w:rPr>
      </w:pPr>
      <w:r w:rsidRPr="008616D9">
        <w:rPr>
          <w:rFonts w:cstheme="minorHAnsi"/>
        </w:rPr>
        <w:t xml:space="preserve">The NHS Digital Weight Management Programme supports adults living with obesity who also have a diagnosis of diabetes, </w:t>
      </w:r>
      <w:proofErr w:type="gramStart"/>
      <w:r w:rsidRPr="008616D9">
        <w:rPr>
          <w:rFonts w:cstheme="minorHAnsi"/>
        </w:rPr>
        <w:t>hypertension</w:t>
      </w:r>
      <w:proofErr w:type="gramEnd"/>
      <w:r w:rsidRPr="008616D9">
        <w:rPr>
          <w:rFonts w:cstheme="minorHAnsi"/>
        </w:rPr>
        <w:t xml:space="preserve"> or both, to manage their weight and improve their health.</w:t>
      </w:r>
    </w:p>
    <w:p w14:paraId="349579A5" w14:textId="77777777" w:rsidR="009A0672" w:rsidRPr="008616D9" w:rsidRDefault="009A0672" w:rsidP="008616D9">
      <w:pPr>
        <w:spacing w:line="240" w:lineRule="auto"/>
        <w:contextualSpacing/>
        <w:rPr>
          <w:rFonts w:cstheme="minorHAnsi"/>
        </w:rPr>
      </w:pPr>
    </w:p>
    <w:p w14:paraId="6568712D" w14:textId="3F18FBC6" w:rsidR="009A0672" w:rsidRPr="005F0A7D" w:rsidRDefault="009A0672" w:rsidP="008616D9">
      <w:pPr>
        <w:spacing w:line="240" w:lineRule="auto"/>
        <w:contextualSpacing/>
        <w:rPr>
          <w:rFonts w:cstheme="minorHAnsi"/>
          <w:u w:val="single"/>
        </w:rPr>
      </w:pPr>
      <w:r w:rsidRPr="005F0A7D">
        <w:rPr>
          <w:rFonts w:cstheme="minorHAnsi"/>
          <w:b/>
          <w:bCs/>
          <w:u w:val="single"/>
        </w:rPr>
        <w:t>Criteria for Referral</w:t>
      </w:r>
      <w:r w:rsidR="005F0A7D" w:rsidRPr="005F0A7D">
        <w:rPr>
          <w:rFonts w:cstheme="minorHAnsi"/>
          <w:b/>
          <w:bCs/>
          <w:u w:val="single"/>
        </w:rPr>
        <w:t>.</w:t>
      </w:r>
    </w:p>
    <w:p w14:paraId="72CABB10" w14:textId="77777777" w:rsidR="009A0672" w:rsidRPr="008616D9" w:rsidRDefault="009A0672" w:rsidP="008616D9">
      <w:pPr>
        <w:spacing w:line="240" w:lineRule="auto"/>
        <w:contextualSpacing/>
        <w:rPr>
          <w:rFonts w:cstheme="minorHAnsi"/>
        </w:rPr>
      </w:pPr>
      <w:r w:rsidRPr="008616D9">
        <w:rPr>
          <w:rFonts w:cstheme="minorHAnsi"/>
        </w:rPr>
        <w:t>A patient must:</w:t>
      </w:r>
    </w:p>
    <w:p w14:paraId="66774E58" w14:textId="77777777" w:rsidR="009A0672" w:rsidRPr="008616D9" w:rsidRDefault="009A0672" w:rsidP="008616D9">
      <w:pPr>
        <w:numPr>
          <w:ilvl w:val="0"/>
          <w:numId w:val="1"/>
        </w:numPr>
        <w:spacing w:after="0" w:line="240" w:lineRule="auto"/>
        <w:contextualSpacing/>
        <w:rPr>
          <w:rFonts w:cstheme="minorHAnsi"/>
        </w:rPr>
      </w:pPr>
      <w:r w:rsidRPr="008616D9">
        <w:rPr>
          <w:rFonts w:cstheme="minorHAnsi"/>
        </w:rPr>
        <w:t xml:space="preserve">be 18 or </w:t>
      </w:r>
      <w:proofErr w:type="gramStart"/>
      <w:r w:rsidRPr="008616D9">
        <w:rPr>
          <w:rFonts w:cstheme="minorHAnsi"/>
        </w:rPr>
        <w:t>over</w:t>
      </w:r>
      <w:proofErr w:type="gramEnd"/>
    </w:p>
    <w:p w14:paraId="0A0577CA" w14:textId="77777777" w:rsidR="009A0672" w:rsidRPr="008616D9" w:rsidRDefault="009A0672" w:rsidP="008616D9">
      <w:pPr>
        <w:numPr>
          <w:ilvl w:val="0"/>
          <w:numId w:val="1"/>
        </w:numPr>
        <w:spacing w:after="0" w:line="240" w:lineRule="auto"/>
        <w:contextualSpacing/>
        <w:rPr>
          <w:rFonts w:cstheme="minorHAnsi"/>
        </w:rPr>
      </w:pPr>
      <w:r w:rsidRPr="008616D9">
        <w:rPr>
          <w:rFonts w:cstheme="minorHAnsi"/>
        </w:rPr>
        <w:t>have a BMI greater than 30 (the BMI threshold will be lowered to 27.5 for people from black, Asian, and ethnic minority backgrounds, as we know people from these ethnic backgrounds are at an increased risk of conditions such as Type 2 diabetes at a lower BMI)</w:t>
      </w:r>
    </w:p>
    <w:p w14:paraId="0ED1307D" w14:textId="799FC172" w:rsidR="009A0672" w:rsidRPr="008616D9" w:rsidRDefault="009A0672" w:rsidP="008616D9">
      <w:pPr>
        <w:numPr>
          <w:ilvl w:val="0"/>
          <w:numId w:val="1"/>
        </w:numPr>
        <w:spacing w:after="0" w:line="240" w:lineRule="auto"/>
        <w:contextualSpacing/>
        <w:rPr>
          <w:rFonts w:cstheme="minorHAnsi"/>
        </w:rPr>
      </w:pPr>
      <w:r w:rsidRPr="008616D9">
        <w:rPr>
          <w:rFonts w:cstheme="minorHAnsi"/>
        </w:rPr>
        <w:t>have diabetes, high blood pressure, or both</w:t>
      </w:r>
      <w:r w:rsidR="005F0A7D">
        <w:rPr>
          <w:rFonts w:cstheme="minorHAnsi"/>
        </w:rPr>
        <w:t>.</w:t>
      </w:r>
    </w:p>
    <w:p w14:paraId="0A3DF66B" w14:textId="00CD2296" w:rsidR="009A0672" w:rsidRPr="008616D9" w:rsidRDefault="009A0672" w:rsidP="008616D9">
      <w:pPr>
        <w:numPr>
          <w:ilvl w:val="0"/>
          <w:numId w:val="1"/>
        </w:numPr>
        <w:spacing w:after="0" w:line="240" w:lineRule="auto"/>
        <w:contextualSpacing/>
        <w:rPr>
          <w:rFonts w:cstheme="minorHAnsi"/>
        </w:rPr>
      </w:pPr>
      <w:r w:rsidRPr="008616D9">
        <w:rPr>
          <w:rFonts w:cstheme="minorHAnsi"/>
        </w:rPr>
        <w:t>must have a smartphone, tablet, or computer with internet access</w:t>
      </w:r>
      <w:r w:rsidR="005F0A7D">
        <w:rPr>
          <w:rFonts w:cstheme="minorHAnsi"/>
        </w:rPr>
        <w:t>.</w:t>
      </w:r>
    </w:p>
    <w:p w14:paraId="06231388" w14:textId="77777777" w:rsidR="009A0672" w:rsidRPr="008616D9" w:rsidRDefault="009A0672" w:rsidP="008616D9">
      <w:pPr>
        <w:spacing w:line="240" w:lineRule="auto"/>
        <w:contextualSpacing/>
        <w:rPr>
          <w:rFonts w:cstheme="minorHAnsi"/>
        </w:rPr>
      </w:pPr>
    </w:p>
    <w:p w14:paraId="0AB105C7" w14:textId="71926CF9" w:rsidR="009A0672" w:rsidRPr="008616D9" w:rsidRDefault="009A0672" w:rsidP="008616D9">
      <w:pPr>
        <w:spacing w:line="240" w:lineRule="auto"/>
        <w:contextualSpacing/>
        <w:rPr>
          <w:rFonts w:cstheme="minorHAnsi"/>
          <w:b/>
          <w:bCs/>
        </w:rPr>
      </w:pPr>
      <w:r w:rsidRPr="008616D9">
        <w:rPr>
          <w:rFonts w:cstheme="minorHAnsi"/>
          <w:b/>
          <w:bCs/>
        </w:rPr>
        <w:t xml:space="preserve">Is there a % of the obesity register we </w:t>
      </w:r>
      <w:r w:rsidR="005F0A7D" w:rsidRPr="008616D9">
        <w:rPr>
          <w:rFonts w:cstheme="minorHAnsi"/>
          <w:b/>
          <w:bCs/>
        </w:rPr>
        <w:t>must</w:t>
      </w:r>
      <w:r w:rsidRPr="008616D9">
        <w:rPr>
          <w:rFonts w:cstheme="minorHAnsi"/>
          <w:b/>
          <w:bCs/>
        </w:rPr>
        <w:t xml:space="preserve"> refer </w:t>
      </w:r>
      <w:r w:rsidR="005F0A7D">
        <w:rPr>
          <w:rFonts w:cstheme="minorHAnsi"/>
          <w:b/>
          <w:bCs/>
        </w:rPr>
        <w:t xml:space="preserve">to the DWMP like there is </w:t>
      </w:r>
      <w:r w:rsidRPr="008616D9">
        <w:rPr>
          <w:rFonts w:cstheme="minorHAnsi"/>
          <w:b/>
          <w:bCs/>
        </w:rPr>
        <w:t>with other weight management services?</w:t>
      </w:r>
    </w:p>
    <w:p w14:paraId="44374DB4" w14:textId="40B12228" w:rsidR="009A0672" w:rsidRPr="008616D9" w:rsidRDefault="009A0672" w:rsidP="008616D9">
      <w:pPr>
        <w:spacing w:line="240" w:lineRule="auto"/>
        <w:contextualSpacing/>
        <w:rPr>
          <w:rFonts w:cstheme="minorHAnsi"/>
        </w:rPr>
      </w:pPr>
      <w:r w:rsidRPr="008616D9">
        <w:rPr>
          <w:rFonts w:cstheme="minorHAnsi"/>
        </w:rPr>
        <w:t xml:space="preserve">There is no target set in relation to % of obesity register but targets have been set in relation to </w:t>
      </w:r>
      <w:r w:rsidRPr="00FB0449">
        <w:rPr>
          <w:rFonts w:cstheme="minorHAnsi"/>
        </w:rPr>
        <w:t xml:space="preserve">referrals to DWMP.  For Humber &amp; North Yorkshire is it </w:t>
      </w:r>
      <w:r w:rsidR="00FB0449" w:rsidRPr="00FB0449">
        <w:rPr>
          <w:rFonts w:cstheme="minorHAnsi"/>
        </w:rPr>
        <w:t>3,705</w:t>
      </w:r>
      <w:r w:rsidRPr="00FB0449">
        <w:rPr>
          <w:rFonts w:cstheme="minorHAnsi"/>
        </w:rPr>
        <w:t xml:space="preserve"> referrals into the programme in 2</w:t>
      </w:r>
      <w:r w:rsidR="00FB0449" w:rsidRPr="00FB0449">
        <w:rPr>
          <w:rFonts w:cstheme="minorHAnsi"/>
        </w:rPr>
        <w:t>3/24</w:t>
      </w:r>
      <w:r w:rsidRPr="00FB0449">
        <w:rPr>
          <w:rFonts w:cstheme="minorHAnsi"/>
        </w:rPr>
        <w:t>.</w:t>
      </w:r>
    </w:p>
    <w:p w14:paraId="19B3AE9A" w14:textId="77777777" w:rsidR="009A0672" w:rsidRPr="008616D9" w:rsidRDefault="009A0672" w:rsidP="008616D9">
      <w:pPr>
        <w:spacing w:line="240" w:lineRule="auto"/>
        <w:contextualSpacing/>
        <w:rPr>
          <w:rFonts w:cstheme="minorHAnsi"/>
        </w:rPr>
      </w:pPr>
    </w:p>
    <w:p w14:paraId="18ACC4E4" w14:textId="0F68FFA8" w:rsidR="009A0672" w:rsidRPr="008616D9" w:rsidRDefault="009A0672" w:rsidP="008616D9">
      <w:pPr>
        <w:spacing w:line="240" w:lineRule="auto"/>
        <w:contextualSpacing/>
        <w:rPr>
          <w:rFonts w:cstheme="minorHAnsi"/>
        </w:rPr>
      </w:pPr>
      <w:r w:rsidRPr="008616D9">
        <w:rPr>
          <w:rFonts w:cstheme="minorHAnsi"/>
        </w:rPr>
        <w:t xml:space="preserve">Both GP Practices and community pharmacies (from Jan 2023) can refer those patients who meet the criteria to the NHS Digital Weight Management Programme.  </w:t>
      </w:r>
      <w:r w:rsidRPr="008616D9">
        <w:rPr>
          <w:rFonts w:cstheme="minorHAnsi"/>
          <w:b/>
          <w:bCs/>
          <w:u w:val="single"/>
        </w:rPr>
        <w:t>Anyone</w:t>
      </w:r>
      <w:r w:rsidRPr="008616D9">
        <w:rPr>
          <w:rFonts w:cstheme="minorHAnsi"/>
        </w:rPr>
        <w:t xml:space="preserve"> within the practice can </w:t>
      </w:r>
      <w:r w:rsidR="00FC7812">
        <w:rPr>
          <w:rFonts w:cstheme="minorHAnsi"/>
        </w:rPr>
        <w:t xml:space="preserve">make the referral </w:t>
      </w:r>
      <w:proofErr w:type="gramStart"/>
      <w:r w:rsidR="008720D8">
        <w:rPr>
          <w:rFonts w:cstheme="minorHAnsi"/>
        </w:rPr>
        <w:t>as long as</w:t>
      </w:r>
      <w:proofErr w:type="gramEnd"/>
      <w:r w:rsidR="008720D8">
        <w:rPr>
          <w:rFonts w:cstheme="minorHAnsi"/>
        </w:rPr>
        <w:t xml:space="preserve"> they have undertaken the training within the service specification</w:t>
      </w:r>
      <w:r w:rsidRPr="008616D9">
        <w:rPr>
          <w:rFonts w:cstheme="minorHAnsi"/>
        </w:rPr>
        <w:t xml:space="preserve">, it </w:t>
      </w:r>
      <w:r w:rsidRPr="008616D9">
        <w:rPr>
          <w:rFonts w:cstheme="minorHAnsi"/>
          <w:b/>
          <w:bCs/>
        </w:rPr>
        <w:t>DOES NOT</w:t>
      </w:r>
      <w:r w:rsidRPr="008616D9">
        <w:rPr>
          <w:rFonts w:cstheme="minorHAnsi"/>
        </w:rPr>
        <w:t xml:space="preserve"> have to be a clinician.</w:t>
      </w:r>
    </w:p>
    <w:p w14:paraId="370A11C8" w14:textId="77777777" w:rsidR="009A0672" w:rsidRDefault="009A0672" w:rsidP="008616D9">
      <w:pPr>
        <w:spacing w:line="240" w:lineRule="auto"/>
        <w:contextualSpacing/>
        <w:rPr>
          <w:rFonts w:cstheme="minorHAnsi"/>
        </w:rPr>
      </w:pPr>
    </w:p>
    <w:p w14:paraId="6EF3611C" w14:textId="6BA0A272" w:rsidR="009A0672" w:rsidRPr="005F0A7D" w:rsidRDefault="009A0672" w:rsidP="008616D9">
      <w:pPr>
        <w:spacing w:line="240" w:lineRule="auto"/>
        <w:contextualSpacing/>
        <w:rPr>
          <w:rFonts w:cstheme="minorHAnsi"/>
          <w:b/>
          <w:bCs/>
          <w:u w:val="single"/>
        </w:rPr>
      </w:pPr>
      <w:r w:rsidRPr="005F0A7D">
        <w:rPr>
          <w:rFonts w:cstheme="minorHAnsi"/>
          <w:b/>
          <w:bCs/>
          <w:u w:val="single"/>
        </w:rPr>
        <w:t>Rejected Referrals</w:t>
      </w:r>
    </w:p>
    <w:p w14:paraId="0C84D29F" w14:textId="539CF519" w:rsidR="009A0672" w:rsidRPr="008616D9" w:rsidRDefault="002A56A2" w:rsidP="008616D9">
      <w:pPr>
        <w:spacing w:line="240" w:lineRule="auto"/>
        <w:contextualSpacing/>
        <w:rPr>
          <w:rFonts w:cstheme="minorHAnsi"/>
        </w:rPr>
      </w:pPr>
      <w:r>
        <w:rPr>
          <w:rFonts w:cstheme="minorHAnsi"/>
        </w:rPr>
        <w:t xml:space="preserve">Across North East &amp; Yorkshire, </w:t>
      </w:r>
      <w:r w:rsidR="00257CF6">
        <w:rPr>
          <w:rFonts w:cstheme="minorHAnsi"/>
        </w:rPr>
        <w:t xml:space="preserve">in April 2023, we had around 150 </w:t>
      </w:r>
      <w:r w:rsidR="009A0672" w:rsidRPr="008616D9">
        <w:rPr>
          <w:rFonts w:cstheme="minorHAnsi"/>
        </w:rPr>
        <w:t xml:space="preserve">referrals that </w:t>
      </w:r>
      <w:r w:rsidR="00257CF6">
        <w:rPr>
          <w:rFonts w:cstheme="minorHAnsi"/>
        </w:rPr>
        <w:t xml:space="preserve">were </w:t>
      </w:r>
      <w:r w:rsidR="009A0672" w:rsidRPr="008616D9">
        <w:rPr>
          <w:rFonts w:cstheme="minorHAnsi"/>
        </w:rPr>
        <w:t>rejected</w:t>
      </w:r>
      <w:r w:rsidR="006964EE">
        <w:rPr>
          <w:rFonts w:cstheme="minorHAnsi"/>
        </w:rPr>
        <w:t xml:space="preserve"> (but nearly 1,000 that were accepted!)</w:t>
      </w:r>
      <w:r w:rsidR="009A0672" w:rsidRPr="008616D9">
        <w:rPr>
          <w:rFonts w:cstheme="minorHAnsi"/>
        </w:rPr>
        <w:t xml:space="preserve">.  The most common reasons </w:t>
      </w:r>
      <w:r w:rsidR="00257CF6">
        <w:rPr>
          <w:rFonts w:cstheme="minorHAnsi"/>
        </w:rPr>
        <w:t>were</w:t>
      </w:r>
      <w:r w:rsidR="009A0672" w:rsidRPr="008616D9">
        <w:rPr>
          <w:rFonts w:cstheme="minorHAnsi"/>
        </w:rPr>
        <w:t>:</w:t>
      </w:r>
    </w:p>
    <w:p w14:paraId="5477C731" w14:textId="6F3B6FF5" w:rsidR="009A0672" w:rsidRPr="008616D9" w:rsidRDefault="009A0672" w:rsidP="008616D9">
      <w:pPr>
        <w:spacing w:line="240" w:lineRule="auto"/>
        <w:contextualSpacing/>
        <w:rPr>
          <w:rFonts w:cstheme="minorHAnsi"/>
        </w:rPr>
      </w:pPr>
    </w:p>
    <w:tbl>
      <w:tblPr>
        <w:tblStyle w:val="TableGrid"/>
        <w:tblW w:w="0" w:type="auto"/>
        <w:tblLook w:val="04A0" w:firstRow="1" w:lastRow="0" w:firstColumn="1" w:lastColumn="0" w:noHBand="0" w:noVBand="1"/>
      </w:tblPr>
      <w:tblGrid>
        <w:gridCol w:w="1597"/>
        <w:gridCol w:w="3534"/>
        <w:gridCol w:w="3885"/>
      </w:tblGrid>
      <w:tr w:rsidR="009A0672" w:rsidRPr="00496C8F" w14:paraId="50BDEE2C" w14:textId="77777777" w:rsidTr="00496C8F">
        <w:tc>
          <w:tcPr>
            <w:tcW w:w="1207" w:type="dxa"/>
          </w:tcPr>
          <w:p w14:paraId="4D4E8249" w14:textId="70C4D044" w:rsidR="009A0672" w:rsidRPr="00496C8F" w:rsidRDefault="009A0672" w:rsidP="008616D9">
            <w:pPr>
              <w:contextualSpacing/>
              <w:jc w:val="center"/>
              <w:rPr>
                <w:rFonts w:cstheme="minorHAnsi"/>
                <w:b/>
                <w:bCs/>
                <w:sz w:val="20"/>
                <w:szCs w:val="20"/>
              </w:rPr>
            </w:pPr>
            <w:r w:rsidRPr="00496C8F">
              <w:rPr>
                <w:rFonts w:cstheme="minorHAnsi"/>
                <w:b/>
                <w:bCs/>
                <w:sz w:val="20"/>
                <w:szCs w:val="20"/>
              </w:rPr>
              <w:t>Reason</w:t>
            </w:r>
          </w:p>
        </w:tc>
        <w:tc>
          <w:tcPr>
            <w:tcW w:w="3750" w:type="dxa"/>
          </w:tcPr>
          <w:p w14:paraId="57E90914" w14:textId="1A588807" w:rsidR="009A0672" w:rsidRPr="00496C8F" w:rsidRDefault="009A0672" w:rsidP="008616D9">
            <w:pPr>
              <w:contextualSpacing/>
              <w:jc w:val="center"/>
              <w:rPr>
                <w:rFonts w:cstheme="minorHAnsi"/>
                <w:b/>
                <w:bCs/>
                <w:sz w:val="20"/>
                <w:szCs w:val="20"/>
              </w:rPr>
            </w:pPr>
            <w:r w:rsidRPr="00496C8F">
              <w:rPr>
                <w:rFonts w:cstheme="minorHAnsi"/>
                <w:b/>
                <w:bCs/>
                <w:sz w:val="20"/>
                <w:szCs w:val="20"/>
              </w:rPr>
              <w:t>Problem / Issue</w:t>
            </w:r>
          </w:p>
        </w:tc>
        <w:tc>
          <w:tcPr>
            <w:tcW w:w="4059" w:type="dxa"/>
          </w:tcPr>
          <w:p w14:paraId="220E26F3" w14:textId="516741CB" w:rsidR="009A0672" w:rsidRPr="00496C8F" w:rsidRDefault="009A0672" w:rsidP="008616D9">
            <w:pPr>
              <w:contextualSpacing/>
              <w:jc w:val="center"/>
              <w:rPr>
                <w:rFonts w:cstheme="minorHAnsi"/>
                <w:b/>
                <w:bCs/>
                <w:sz w:val="20"/>
                <w:szCs w:val="20"/>
              </w:rPr>
            </w:pPr>
            <w:r w:rsidRPr="009A0672">
              <w:rPr>
                <w:rFonts w:cstheme="minorHAnsi"/>
                <w:b/>
                <w:bCs/>
                <w:sz w:val="20"/>
                <w:szCs w:val="20"/>
              </w:rPr>
              <w:t>Action needed to resolve</w:t>
            </w:r>
          </w:p>
        </w:tc>
      </w:tr>
      <w:tr w:rsidR="009A0672" w:rsidRPr="001E1DFA" w14:paraId="7A1CC68C" w14:textId="77777777" w:rsidTr="00496C8F">
        <w:tc>
          <w:tcPr>
            <w:tcW w:w="1207" w:type="dxa"/>
          </w:tcPr>
          <w:p w14:paraId="2166E20E" w14:textId="36875FC4" w:rsidR="009A0672" w:rsidRPr="001E1DFA" w:rsidRDefault="009A0672" w:rsidP="008616D9">
            <w:pPr>
              <w:spacing w:after="160"/>
              <w:contextualSpacing/>
              <w:rPr>
                <w:rFonts w:cstheme="minorHAnsi"/>
                <w:sz w:val="20"/>
                <w:szCs w:val="20"/>
              </w:rPr>
            </w:pPr>
            <w:r w:rsidRPr="001E1DFA">
              <w:rPr>
                <w:rFonts w:cstheme="minorHAnsi"/>
                <w:sz w:val="20"/>
                <w:szCs w:val="20"/>
              </w:rPr>
              <w:t>Eligibility Criteria</w:t>
            </w:r>
          </w:p>
        </w:tc>
        <w:tc>
          <w:tcPr>
            <w:tcW w:w="3750" w:type="dxa"/>
          </w:tcPr>
          <w:p w14:paraId="1BAD8357" w14:textId="77777777" w:rsidR="004C0FE2" w:rsidRPr="001E1DFA" w:rsidRDefault="009A0672" w:rsidP="008616D9">
            <w:pPr>
              <w:contextualSpacing/>
              <w:rPr>
                <w:rFonts w:cstheme="minorHAnsi"/>
                <w:sz w:val="20"/>
                <w:szCs w:val="20"/>
              </w:rPr>
            </w:pPr>
            <w:r w:rsidRPr="001E1DFA">
              <w:rPr>
                <w:rFonts w:cstheme="minorHAnsi"/>
                <w:sz w:val="20"/>
                <w:szCs w:val="20"/>
              </w:rPr>
              <w:t xml:space="preserve">Eligibility requirements, particularly the need for participants to have a diagnosis of diabetes, hypertension (or both) do not appear to be well understood.  </w:t>
            </w:r>
          </w:p>
          <w:p w14:paraId="56B56372" w14:textId="77777777" w:rsidR="004C0FE2" w:rsidRPr="001E1DFA" w:rsidRDefault="004C0FE2" w:rsidP="008616D9">
            <w:pPr>
              <w:contextualSpacing/>
              <w:rPr>
                <w:rFonts w:cstheme="minorHAnsi"/>
                <w:sz w:val="20"/>
                <w:szCs w:val="20"/>
              </w:rPr>
            </w:pPr>
          </w:p>
          <w:p w14:paraId="1DF0CA79" w14:textId="77777777" w:rsidR="001E1DFA" w:rsidRPr="001E1DFA" w:rsidRDefault="009A0672" w:rsidP="008616D9">
            <w:pPr>
              <w:contextualSpacing/>
              <w:rPr>
                <w:rFonts w:cstheme="minorHAnsi"/>
                <w:sz w:val="20"/>
                <w:szCs w:val="20"/>
              </w:rPr>
            </w:pPr>
            <w:r w:rsidRPr="001E1DFA">
              <w:rPr>
                <w:rFonts w:cstheme="minorHAnsi"/>
                <w:sz w:val="20"/>
                <w:szCs w:val="20"/>
              </w:rPr>
              <w:t xml:space="preserve">In </w:t>
            </w:r>
            <w:r w:rsidR="00AA21C4" w:rsidRPr="001E1DFA">
              <w:rPr>
                <w:rFonts w:cstheme="minorHAnsi"/>
                <w:sz w:val="20"/>
                <w:szCs w:val="20"/>
              </w:rPr>
              <w:t xml:space="preserve">April </w:t>
            </w:r>
            <w:r w:rsidR="00902FB1" w:rsidRPr="001E1DFA">
              <w:rPr>
                <w:rFonts w:cstheme="minorHAnsi"/>
                <w:sz w:val="20"/>
                <w:szCs w:val="20"/>
              </w:rPr>
              <w:t>2023</w:t>
            </w:r>
            <w:r w:rsidR="001E1DFA" w:rsidRPr="001E1DFA">
              <w:rPr>
                <w:rFonts w:cstheme="minorHAnsi"/>
                <w:sz w:val="20"/>
                <w:szCs w:val="20"/>
              </w:rPr>
              <w:t>:</w:t>
            </w:r>
          </w:p>
          <w:p w14:paraId="79B72A7C" w14:textId="39944B5D" w:rsidR="009A0672" w:rsidRPr="001E1DFA" w:rsidRDefault="002A56A2" w:rsidP="001E1DFA">
            <w:pPr>
              <w:pStyle w:val="ListParagraph"/>
              <w:numPr>
                <w:ilvl w:val="0"/>
                <w:numId w:val="4"/>
              </w:numPr>
              <w:contextualSpacing/>
              <w:rPr>
                <w:rFonts w:cstheme="minorHAnsi"/>
                <w:sz w:val="20"/>
                <w:szCs w:val="20"/>
              </w:rPr>
            </w:pPr>
            <w:r w:rsidRPr="001E1DFA">
              <w:rPr>
                <w:rFonts w:cstheme="minorHAnsi"/>
                <w:sz w:val="20"/>
                <w:szCs w:val="20"/>
              </w:rPr>
              <w:t xml:space="preserve">70% </w:t>
            </w:r>
            <w:r w:rsidR="004C0FE2" w:rsidRPr="001E1DFA">
              <w:rPr>
                <w:rFonts w:cstheme="minorHAnsi"/>
                <w:sz w:val="20"/>
                <w:szCs w:val="20"/>
              </w:rPr>
              <w:t xml:space="preserve">of the 150 rejected referrals were </w:t>
            </w:r>
            <w:r w:rsidRPr="001E1DFA">
              <w:rPr>
                <w:rFonts w:cstheme="minorHAnsi"/>
                <w:sz w:val="20"/>
                <w:szCs w:val="20"/>
              </w:rPr>
              <w:t>due to a lack of a diagnosed co-morbidity (hypertension and / or diabetes</w:t>
            </w:r>
          </w:p>
          <w:p w14:paraId="02FB0549" w14:textId="546CE443" w:rsidR="001E1DFA" w:rsidRPr="001E1DFA" w:rsidRDefault="002A56A2" w:rsidP="001E1DFA">
            <w:pPr>
              <w:pStyle w:val="ListParagraph"/>
              <w:numPr>
                <w:ilvl w:val="0"/>
                <w:numId w:val="4"/>
              </w:numPr>
              <w:contextualSpacing/>
              <w:rPr>
                <w:rFonts w:cstheme="minorHAnsi"/>
                <w:sz w:val="20"/>
                <w:szCs w:val="20"/>
              </w:rPr>
            </w:pPr>
            <w:r w:rsidRPr="001E1DFA">
              <w:rPr>
                <w:rFonts w:cstheme="minorHAnsi"/>
                <w:sz w:val="20"/>
                <w:szCs w:val="20"/>
              </w:rPr>
              <w:t xml:space="preserve">30% were rejected due to either the referral form missing height and / or weight information or the patients BMI not meeting the criteria of the programme (BMI ≥ 30kg/m², adjusted to 27.5kg/m² for people from black, </w:t>
            </w:r>
            <w:proofErr w:type="gramStart"/>
            <w:r w:rsidRPr="001E1DFA">
              <w:rPr>
                <w:rFonts w:cstheme="minorHAnsi"/>
                <w:sz w:val="20"/>
                <w:szCs w:val="20"/>
              </w:rPr>
              <w:t>Asian</w:t>
            </w:r>
            <w:proofErr w:type="gramEnd"/>
            <w:r w:rsidRPr="001E1DFA">
              <w:rPr>
                <w:rFonts w:cstheme="minorHAnsi"/>
                <w:sz w:val="20"/>
                <w:szCs w:val="20"/>
              </w:rPr>
              <w:t xml:space="preserve"> and ethnic minority groups)</w:t>
            </w:r>
          </w:p>
        </w:tc>
        <w:tc>
          <w:tcPr>
            <w:tcW w:w="4059" w:type="dxa"/>
          </w:tcPr>
          <w:p w14:paraId="763722B3" w14:textId="0A0786A3" w:rsidR="009A0672" w:rsidRPr="001E1DFA" w:rsidRDefault="009A0672" w:rsidP="008616D9">
            <w:pPr>
              <w:contextualSpacing/>
              <w:rPr>
                <w:rFonts w:cstheme="minorHAnsi"/>
                <w:sz w:val="20"/>
                <w:szCs w:val="20"/>
              </w:rPr>
            </w:pPr>
            <w:r w:rsidRPr="001E1DFA">
              <w:rPr>
                <w:rFonts w:cstheme="minorHAnsi"/>
                <w:sz w:val="20"/>
                <w:szCs w:val="20"/>
              </w:rPr>
              <w:t xml:space="preserve">Reminder communication on eligibility requirements </w:t>
            </w:r>
          </w:p>
          <w:p w14:paraId="0E72C066" w14:textId="77777777" w:rsidR="009A0672" w:rsidRPr="001E1DFA" w:rsidRDefault="009A0672" w:rsidP="008616D9">
            <w:pPr>
              <w:contextualSpacing/>
              <w:rPr>
                <w:rFonts w:cstheme="minorHAnsi"/>
                <w:sz w:val="20"/>
                <w:szCs w:val="20"/>
              </w:rPr>
            </w:pPr>
          </w:p>
          <w:p w14:paraId="73067EF5" w14:textId="1C480569" w:rsidR="009A0672" w:rsidRPr="001E1DFA" w:rsidRDefault="009A0672" w:rsidP="008616D9">
            <w:pPr>
              <w:contextualSpacing/>
              <w:rPr>
                <w:rFonts w:cstheme="minorHAnsi"/>
                <w:sz w:val="20"/>
                <w:szCs w:val="20"/>
              </w:rPr>
            </w:pPr>
            <w:r w:rsidRPr="001E1DFA">
              <w:rPr>
                <w:rFonts w:cstheme="minorHAnsi"/>
                <w:sz w:val="20"/>
                <w:szCs w:val="20"/>
              </w:rPr>
              <w:t>Repromotion of communications assets which set these out clearly.</w:t>
            </w:r>
          </w:p>
        </w:tc>
      </w:tr>
      <w:tr w:rsidR="009A0672" w:rsidRPr="001F3DB8" w14:paraId="6FD98A72" w14:textId="77777777" w:rsidTr="00496C8F">
        <w:tc>
          <w:tcPr>
            <w:tcW w:w="1207" w:type="dxa"/>
          </w:tcPr>
          <w:p w14:paraId="2E838441" w14:textId="77777777" w:rsidR="009A0672" w:rsidRPr="001F3DB8" w:rsidRDefault="009A0672" w:rsidP="008616D9">
            <w:pPr>
              <w:contextualSpacing/>
              <w:rPr>
                <w:rFonts w:cstheme="minorHAnsi"/>
                <w:sz w:val="20"/>
                <w:szCs w:val="20"/>
              </w:rPr>
            </w:pPr>
            <w:r w:rsidRPr="001F3DB8">
              <w:rPr>
                <w:rFonts w:cstheme="minorHAnsi"/>
                <w:sz w:val="20"/>
                <w:szCs w:val="20"/>
              </w:rPr>
              <w:lastRenderedPageBreak/>
              <w:t>Template version</w:t>
            </w:r>
          </w:p>
          <w:p w14:paraId="3CF9DFD9" w14:textId="77777777" w:rsidR="009A0672" w:rsidRPr="001F3DB8" w:rsidRDefault="009A0672" w:rsidP="008616D9">
            <w:pPr>
              <w:contextualSpacing/>
              <w:rPr>
                <w:rFonts w:cstheme="minorHAnsi"/>
                <w:sz w:val="20"/>
                <w:szCs w:val="20"/>
              </w:rPr>
            </w:pPr>
          </w:p>
        </w:tc>
        <w:tc>
          <w:tcPr>
            <w:tcW w:w="3750" w:type="dxa"/>
          </w:tcPr>
          <w:p w14:paraId="6551DD2A" w14:textId="054C98BB" w:rsidR="009A0672" w:rsidRPr="001F3DB8" w:rsidRDefault="009A0672" w:rsidP="008616D9">
            <w:pPr>
              <w:contextualSpacing/>
              <w:rPr>
                <w:rFonts w:cstheme="minorHAnsi"/>
                <w:sz w:val="20"/>
                <w:szCs w:val="20"/>
              </w:rPr>
            </w:pPr>
            <w:r w:rsidRPr="001F3DB8">
              <w:rPr>
                <w:rFonts w:cstheme="minorHAnsi"/>
                <w:sz w:val="20"/>
                <w:szCs w:val="20"/>
              </w:rPr>
              <w:t>Referrals are delivered through the e-Rs using a standard template re-designed to pull through all associated SNOMED codes. Any missing data will lead to rejection of the referral. Any local amendment of templates will lead to rejection of the referral.</w:t>
            </w:r>
          </w:p>
          <w:p w14:paraId="668BFDC5" w14:textId="77777777" w:rsidR="008616D9" w:rsidRPr="001F3DB8" w:rsidRDefault="008616D9" w:rsidP="008616D9">
            <w:pPr>
              <w:contextualSpacing/>
              <w:rPr>
                <w:rFonts w:cstheme="minorHAnsi"/>
                <w:sz w:val="20"/>
                <w:szCs w:val="20"/>
              </w:rPr>
            </w:pPr>
          </w:p>
          <w:p w14:paraId="3052542A" w14:textId="669D1283" w:rsidR="009A0672" w:rsidRPr="001F3DB8" w:rsidRDefault="009A0672" w:rsidP="008616D9">
            <w:pPr>
              <w:contextualSpacing/>
              <w:rPr>
                <w:rFonts w:cstheme="minorHAnsi"/>
                <w:sz w:val="20"/>
                <w:szCs w:val="20"/>
              </w:rPr>
            </w:pPr>
            <w:r w:rsidRPr="001F3DB8">
              <w:rPr>
                <w:rFonts w:cstheme="minorHAnsi"/>
                <w:sz w:val="20"/>
                <w:szCs w:val="20"/>
              </w:rPr>
              <w:t xml:space="preserve">We have PCNs </w:t>
            </w:r>
            <w:r w:rsidR="008616D9" w:rsidRPr="001F3DB8">
              <w:rPr>
                <w:rFonts w:cstheme="minorHAnsi"/>
                <w:sz w:val="20"/>
                <w:szCs w:val="20"/>
              </w:rPr>
              <w:t xml:space="preserve">across Humber &amp; North Yorkshire </w:t>
            </w:r>
            <w:r w:rsidRPr="001F3DB8">
              <w:rPr>
                <w:rFonts w:cstheme="minorHAnsi"/>
                <w:sz w:val="20"/>
                <w:szCs w:val="20"/>
              </w:rPr>
              <w:t>still using version 1 of the form</w:t>
            </w:r>
            <w:r w:rsidR="001F3DB8" w:rsidRPr="001F3DB8">
              <w:rPr>
                <w:rFonts w:cstheme="minorHAnsi"/>
                <w:sz w:val="20"/>
                <w:szCs w:val="20"/>
              </w:rPr>
              <w:t>.</w:t>
            </w:r>
          </w:p>
          <w:p w14:paraId="28EC66A4" w14:textId="77777777" w:rsidR="001F3DB8" w:rsidRPr="001F3DB8" w:rsidRDefault="001F3DB8" w:rsidP="008616D9">
            <w:pPr>
              <w:contextualSpacing/>
              <w:rPr>
                <w:rFonts w:cstheme="minorHAnsi"/>
                <w:sz w:val="20"/>
                <w:szCs w:val="20"/>
              </w:rPr>
            </w:pPr>
          </w:p>
          <w:p w14:paraId="590D4C64" w14:textId="44E5A522" w:rsidR="001F3DB8" w:rsidRPr="001F3DB8" w:rsidRDefault="001F3DB8" w:rsidP="008616D9">
            <w:pPr>
              <w:contextualSpacing/>
              <w:rPr>
                <w:rFonts w:cstheme="minorHAnsi"/>
                <w:sz w:val="20"/>
                <w:szCs w:val="20"/>
              </w:rPr>
            </w:pPr>
            <w:r w:rsidRPr="001F3DB8">
              <w:rPr>
                <w:rFonts w:cstheme="minorHAnsi"/>
                <w:sz w:val="20"/>
                <w:szCs w:val="20"/>
              </w:rPr>
              <w:t>In April 2023, of the 30% of rejected referrals</w:t>
            </w:r>
            <w:r w:rsidRPr="001F3DB8">
              <w:rPr>
                <w:rFonts w:cstheme="minorHAnsi"/>
                <w:sz w:val="20"/>
                <w:szCs w:val="20"/>
              </w:rPr>
              <w:t xml:space="preserve">, </w:t>
            </w:r>
            <w:r w:rsidR="002A56A2" w:rsidRPr="002A56A2">
              <w:rPr>
                <w:rFonts w:cstheme="minorHAnsi"/>
                <w:sz w:val="20"/>
                <w:szCs w:val="20"/>
              </w:rPr>
              <w:t>10% of the 150 would have been rejected (even if they had met the criteria of the programme) because the referral was submitted using vs1 of the referral form (all referrals should be made using version 2).</w:t>
            </w:r>
          </w:p>
        </w:tc>
        <w:tc>
          <w:tcPr>
            <w:tcW w:w="4059" w:type="dxa"/>
          </w:tcPr>
          <w:p w14:paraId="22910C54" w14:textId="7B514CC0" w:rsidR="008616D9" w:rsidRPr="001F3DB8" w:rsidRDefault="009A0672" w:rsidP="008616D9">
            <w:pPr>
              <w:contextualSpacing/>
              <w:rPr>
                <w:rFonts w:cstheme="minorHAnsi"/>
                <w:sz w:val="20"/>
                <w:szCs w:val="20"/>
              </w:rPr>
            </w:pPr>
            <w:r w:rsidRPr="001F3DB8">
              <w:rPr>
                <w:rFonts w:cstheme="minorHAnsi"/>
                <w:sz w:val="20"/>
                <w:szCs w:val="20"/>
              </w:rPr>
              <w:t>V</w:t>
            </w:r>
            <w:r w:rsidR="008616D9" w:rsidRPr="001F3DB8">
              <w:rPr>
                <w:rFonts w:cstheme="minorHAnsi"/>
                <w:sz w:val="20"/>
                <w:szCs w:val="20"/>
              </w:rPr>
              <w:t xml:space="preserve">ersion </w:t>
            </w:r>
            <w:r w:rsidRPr="001F3DB8">
              <w:rPr>
                <w:rFonts w:cstheme="minorHAnsi"/>
                <w:sz w:val="20"/>
                <w:szCs w:val="20"/>
              </w:rPr>
              <w:t xml:space="preserve">1 of the Digital Weight Management Programme e-referral template </w:t>
            </w:r>
            <w:r w:rsidR="00FC7812" w:rsidRPr="001F3DB8">
              <w:rPr>
                <w:rFonts w:cstheme="minorHAnsi"/>
                <w:sz w:val="20"/>
                <w:szCs w:val="20"/>
              </w:rPr>
              <w:t xml:space="preserve">has now been stood down.  </w:t>
            </w:r>
            <w:r w:rsidRPr="001F3DB8">
              <w:rPr>
                <w:rFonts w:cstheme="minorHAnsi"/>
                <w:sz w:val="20"/>
                <w:szCs w:val="20"/>
              </w:rPr>
              <w:t xml:space="preserve"> </w:t>
            </w:r>
          </w:p>
          <w:p w14:paraId="6338C475" w14:textId="77777777" w:rsidR="008616D9" w:rsidRPr="001F3DB8" w:rsidRDefault="008616D9" w:rsidP="008616D9">
            <w:pPr>
              <w:contextualSpacing/>
              <w:rPr>
                <w:rFonts w:cstheme="minorHAnsi"/>
                <w:sz w:val="20"/>
                <w:szCs w:val="20"/>
              </w:rPr>
            </w:pPr>
          </w:p>
          <w:p w14:paraId="09760046" w14:textId="3C316096" w:rsidR="008616D9" w:rsidRPr="001F3DB8" w:rsidRDefault="009A0672" w:rsidP="008616D9">
            <w:pPr>
              <w:contextualSpacing/>
              <w:rPr>
                <w:rFonts w:cstheme="minorHAnsi"/>
                <w:sz w:val="20"/>
                <w:szCs w:val="20"/>
              </w:rPr>
            </w:pPr>
            <w:r w:rsidRPr="001F3DB8">
              <w:rPr>
                <w:rFonts w:cstheme="minorHAnsi"/>
                <w:sz w:val="20"/>
                <w:szCs w:val="20"/>
              </w:rPr>
              <w:t>GP practices must submit e-RS referrals to the new service name: “NHS Digital Weight Management Programme, NHS England Version 2”, using the postcode ST4 4LX</w:t>
            </w:r>
            <w:r w:rsidR="00785868" w:rsidRPr="001F3DB8">
              <w:rPr>
                <w:rFonts w:cstheme="minorHAnsi"/>
                <w:sz w:val="20"/>
                <w:szCs w:val="20"/>
              </w:rPr>
              <w:t xml:space="preserve"> (screenshot below)</w:t>
            </w:r>
            <w:r w:rsidRPr="001F3DB8">
              <w:rPr>
                <w:rFonts w:cstheme="minorHAnsi"/>
                <w:sz w:val="20"/>
                <w:szCs w:val="20"/>
              </w:rPr>
              <w:t xml:space="preserve">.  </w:t>
            </w:r>
          </w:p>
          <w:p w14:paraId="71676EAC" w14:textId="77777777" w:rsidR="008616D9" w:rsidRPr="001F3DB8" w:rsidRDefault="008616D9" w:rsidP="008616D9">
            <w:pPr>
              <w:contextualSpacing/>
              <w:rPr>
                <w:rFonts w:cstheme="minorHAnsi"/>
                <w:sz w:val="20"/>
                <w:szCs w:val="20"/>
              </w:rPr>
            </w:pPr>
          </w:p>
          <w:p w14:paraId="6E3879E2" w14:textId="0933D012" w:rsidR="009A0672" w:rsidRPr="001F3DB8" w:rsidRDefault="009A0672" w:rsidP="008616D9">
            <w:pPr>
              <w:contextualSpacing/>
              <w:rPr>
                <w:rFonts w:cstheme="minorHAnsi"/>
                <w:sz w:val="20"/>
                <w:szCs w:val="20"/>
              </w:rPr>
            </w:pPr>
          </w:p>
        </w:tc>
      </w:tr>
      <w:tr w:rsidR="008616D9" w:rsidRPr="00496C8F" w14:paraId="4401A5EB" w14:textId="77777777" w:rsidTr="00496C8F">
        <w:tc>
          <w:tcPr>
            <w:tcW w:w="9016" w:type="dxa"/>
            <w:gridSpan w:val="3"/>
          </w:tcPr>
          <w:p w14:paraId="282886BD" w14:textId="77777777" w:rsidR="008616D9" w:rsidRPr="00496C8F" w:rsidRDefault="008616D9" w:rsidP="008616D9">
            <w:pPr>
              <w:contextualSpacing/>
              <w:rPr>
                <w:rFonts w:cstheme="minorHAnsi"/>
                <w:sz w:val="20"/>
                <w:szCs w:val="20"/>
              </w:rPr>
            </w:pPr>
          </w:p>
          <w:p w14:paraId="04207662" w14:textId="7C4A0E91" w:rsidR="008616D9" w:rsidRPr="00496C8F" w:rsidRDefault="008616D9" w:rsidP="008616D9">
            <w:pPr>
              <w:contextualSpacing/>
              <w:rPr>
                <w:rFonts w:cstheme="minorHAnsi"/>
                <w:sz w:val="20"/>
                <w:szCs w:val="20"/>
              </w:rPr>
            </w:pPr>
            <w:r w:rsidRPr="00496C8F">
              <w:rPr>
                <w:rFonts w:cstheme="minorHAnsi"/>
                <w:noProof/>
                <w:sz w:val="20"/>
                <w:szCs w:val="20"/>
              </w:rPr>
              <w:drawing>
                <wp:inline distT="0" distB="0" distL="0" distR="0" wp14:anchorId="293B7282" wp14:editId="68A4BACB">
                  <wp:extent cx="5731510" cy="346075"/>
                  <wp:effectExtent l="0" t="0" r="2540" b="0"/>
                  <wp:docPr id="4" name="Picture 1">
                    <a:extLst xmlns:a="http://schemas.openxmlformats.org/drawingml/2006/main">
                      <a:ext uri="{FF2B5EF4-FFF2-40B4-BE49-F238E27FC236}">
                        <a16:creationId xmlns:a16="http://schemas.microsoft.com/office/drawing/2014/main" id="{CFB99CE1-6690-52C7-6F32-F42D74791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CFB99CE1-6690-52C7-6F32-F42D747915AA}"/>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346075"/>
                          </a:xfrm>
                          <a:prstGeom prst="rect">
                            <a:avLst/>
                          </a:prstGeom>
                          <a:noFill/>
                        </pic:spPr>
                      </pic:pic>
                    </a:graphicData>
                  </a:graphic>
                </wp:inline>
              </w:drawing>
            </w:r>
          </w:p>
        </w:tc>
      </w:tr>
      <w:tr w:rsidR="009A0672" w:rsidRPr="001F3DB8" w14:paraId="257E2CC7" w14:textId="77777777" w:rsidTr="00496C8F">
        <w:tc>
          <w:tcPr>
            <w:tcW w:w="1207" w:type="dxa"/>
          </w:tcPr>
          <w:p w14:paraId="7D902385" w14:textId="77777777" w:rsidR="009A0672" w:rsidRPr="001F3DB8" w:rsidRDefault="009A0672" w:rsidP="008616D9">
            <w:pPr>
              <w:contextualSpacing/>
              <w:rPr>
                <w:rFonts w:cstheme="minorHAnsi"/>
                <w:sz w:val="20"/>
                <w:szCs w:val="20"/>
              </w:rPr>
            </w:pPr>
            <w:r w:rsidRPr="001F3DB8">
              <w:rPr>
                <w:rFonts w:cstheme="minorHAnsi"/>
                <w:sz w:val="20"/>
                <w:szCs w:val="20"/>
              </w:rPr>
              <w:t>Repeat Referrals</w:t>
            </w:r>
          </w:p>
          <w:p w14:paraId="0E470ECD" w14:textId="77777777" w:rsidR="009A0672" w:rsidRPr="001F3DB8" w:rsidRDefault="009A0672" w:rsidP="008616D9">
            <w:pPr>
              <w:contextualSpacing/>
              <w:rPr>
                <w:rFonts w:cstheme="minorHAnsi"/>
                <w:sz w:val="20"/>
                <w:szCs w:val="20"/>
              </w:rPr>
            </w:pPr>
          </w:p>
        </w:tc>
        <w:tc>
          <w:tcPr>
            <w:tcW w:w="3750" w:type="dxa"/>
          </w:tcPr>
          <w:p w14:paraId="48FBBCE3" w14:textId="05E054A0" w:rsidR="006615F3" w:rsidRPr="001F3DB8" w:rsidRDefault="006615F3" w:rsidP="008616D9">
            <w:pPr>
              <w:contextualSpacing/>
              <w:rPr>
                <w:rFonts w:cstheme="minorHAnsi"/>
                <w:sz w:val="20"/>
                <w:szCs w:val="20"/>
              </w:rPr>
            </w:pPr>
            <w:r w:rsidRPr="001F3DB8">
              <w:rPr>
                <w:rFonts w:cstheme="minorHAnsi"/>
                <w:sz w:val="20"/>
                <w:szCs w:val="20"/>
              </w:rPr>
              <w:t>Patients can only be referred into the programme if they do not have a current ‘active’ referral. As NHS Number is attached to referrals any duplicate/multiple referrals will automatically be rejected</w:t>
            </w:r>
            <w:r w:rsidR="00F044AE" w:rsidRPr="001F3DB8">
              <w:rPr>
                <w:rFonts w:cstheme="minorHAnsi"/>
                <w:sz w:val="20"/>
                <w:szCs w:val="20"/>
              </w:rPr>
              <w:t>.</w:t>
            </w:r>
          </w:p>
          <w:p w14:paraId="4E5968FD" w14:textId="77777777" w:rsidR="00F044AE" w:rsidRPr="001F3DB8" w:rsidRDefault="00F044AE" w:rsidP="008616D9">
            <w:pPr>
              <w:contextualSpacing/>
              <w:rPr>
                <w:rFonts w:cstheme="minorHAnsi"/>
                <w:sz w:val="20"/>
                <w:szCs w:val="20"/>
              </w:rPr>
            </w:pPr>
          </w:p>
          <w:p w14:paraId="570F8D90" w14:textId="4920E53A" w:rsidR="009A0672" w:rsidRPr="001F3DB8" w:rsidRDefault="00F044AE" w:rsidP="008616D9">
            <w:pPr>
              <w:contextualSpacing/>
              <w:rPr>
                <w:rFonts w:cstheme="minorHAnsi"/>
                <w:sz w:val="20"/>
                <w:szCs w:val="20"/>
              </w:rPr>
            </w:pPr>
            <w:r w:rsidRPr="001F3DB8">
              <w:rPr>
                <w:rFonts w:cstheme="minorHAnsi"/>
                <w:sz w:val="20"/>
                <w:szCs w:val="20"/>
              </w:rPr>
              <w:t xml:space="preserve">In April 2023, of the 30% of rejected referrals, </w:t>
            </w:r>
            <w:r w:rsidR="002A56A2" w:rsidRPr="002A56A2">
              <w:rPr>
                <w:rFonts w:cstheme="minorHAnsi"/>
                <w:sz w:val="20"/>
                <w:szCs w:val="20"/>
              </w:rPr>
              <w:t>3 patients would have been rejected (even if they had met the criteria of the programme) because it was a duplicated referral (the patient had already been referred into the programme within a 6-month period)</w:t>
            </w:r>
          </w:p>
        </w:tc>
        <w:tc>
          <w:tcPr>
            <w:tcW w:w="4059" w:type="dxa"/>
          </w:tcPr>
          <w:p w14:paraId="202D0E7E" w14:textId="0F6A09C7" w:rsidR="006615F3" w:rsidRPr="001F3DB8" w:rsidRDefault="006615F3" w:rsidP="008616D9">
            <w:pPr>
              <w:contextualSpacing/>
              <w:rPr>
                <w:rFonts w:cstheme="minorHAnsi"/>
                <w:sz w:val="20"/>
                <w:szCs w:val="20"/>
              </w:rPr>
            </w:pPr>
            <w:r w:rsidRPr="001F3DB8">
              <w:rPr>
                <w:rFonts w:cstheme="minorHAnsi"/>
                <w:sz w:val="20"/>
                <w:szCs w:val="20"/>
              </w:rPr>
              <w:t>Reminder to participating professionals and organisations that it is only possible for patients to have one ‘active’ referral at any time</w:t>
            </w:r>
            <w:r w:rsidR="008616D9" w:rsidRPr="001F3DB8">
              <w:rPr>
                <w:rFonts w:cstheme="minorHAnsi"/>
                <w:sz w:val="20"/>
                <w:szCs w:val="20"/>
              </w:rPr>
              <w:t>.</w:t>
            </w:r>
          </w:p>
          <w:p w14:paraId="303A3F89" w14:textId="77777777" w:rsidR="009A0672" w:rsidRPr="001F3DB8" w:rsidRDefault="009A0672" w:rsidP="008616D9">
            <w:pPr>
              <w:contextualSpacing/>
              <w:rPr>
                <w:rFonts w:cstheme="minorHAnsi"/>
                <w:sz w:val="20"/>
                <w:szCs w:val="20"/>
              </w:rPr>
            </w:pPr>
          </w:p>
          <w:p w14:paraId="0AB6A4E8" w14:textId="7761F4AC" w:rsidR="006615F3" w:rsidRPr="001F3DB8" w:rsidRDefault="006615F3" w:rsidP="008616D9">
            <w:pPr>
              <w:contextualSpacing/>
              <w:rPr>
                <w:rFonts w:cstheme="minorHAnsi"/>
                <w:sz w:val="20"/>
                <w:szCs w:val="20"/>
              </w:rPr>
            </w:pPr>
            <w:r w:rsidRPr="001F3DB8">
              <w:rPr>
                <w:rFonts w:cstheme="minorHAnsi"/>
                <w:sz w:val="20"/>
                <w:szCs w:val="20"/>
              </w:rPr>
              <w:t>Reiterate re-referral is possible only after 24 weeks of the original referrals date</w:t>
            </w:r>
          </w:p>
        </w:tc>
      </w:tr>
      <w:tr w:rsidR="009A0672" w:rsidRPr="00496C8F" w14:paraId="0D7112CE" w14:textId="77777777" w:rsidTr="00496C8F">
        <w:tc>
          <w:tcPr>
            <w:tcW w:w="1207" w:type="dxa"/>
          </w:tcPr>
          <w:p w14:paraId="74889147" w14:textId="0854F18D" w:rsidR="009A0672" w:rsidRPr="00496C8F" w:rsidRDefault="009A0672" w:rsidP="008616D9">
            <w:pPr>
              <w:contextualSpacing/>
              <w:rPr>
                <w:rFonts w:cstheme="minorHAnsi"/>
                <w:sz w:val="20"/>
                <w:szCs w:val="20"/>
              </w:rPr>
            </w:pPr>
            <w:r w:rsidRPr="00496C8F">
              <w:rPr>
                <w:rFonts w:cstheme="minorHAnsi"/>
                <w:sz w:val="20"/>
                <w:szCs w:val="20"/>
              </w:rPr>
              <w:t>Patient Engagement</w:t>
            </w:r>
          </w:p>
        </w:tc>
        <w:tc>
          <w:tcPr>
            <w:tcW w:w="3750" w:type="dxa"/>
          </w:tcPr>
          <w:p w14:paraId="363A3978" w14:textId="6EFE2552" w:rsidR="009A0672" w:rsidRPr="00496C8F" w:rsidRDefault="006615F3" w:rsidP="008616D9">
            <w:pPr>
              <w:contextualSpacing/>
              <w:rPr>
                <w:rFonts w:cstheme="minorHAnsi"/>
                <w:sz w:val="20"/>
                <w:szCs w:val="20"/>
              </w:rPr>
            </w:pPr>
            <w:r w:rsidRPr="006615F3">
              <w:rPr>
                <w:rFonts w:cstheme="minorHAnsi"/>
                <w:sz w:val="20"/>
                <w:szCs w:val="20"/>
              </w:rPr>
              <w:t xml:space="preserve">Patients who are not responding to communications around referrals are contacted directly by our delivery partner to understand why. </w:t>
            </w:r>
          </w:p>
        </w:tc>
        <w:tc>
          <w:tcPr>
            <w:tcW w:w="4059" w:type="dxa"/>
          </w:tcPr>
          <w:p w14:paraId="347EA2BF" w14:textId="77777777" w:rsidR="006615F3" w:rsidRPr="006615F3" w:rsidRDefault="006615F3" w:rsidP="008616D9">
            <w:pPr>
              <w:contextualSpacing/>
              <w:rPr>
                <w:rFonts w:cstheme="minorHAnsi"/>
                <w:sz w:val="20"/>
                <w:szCs w:val="20"/>
              </w:rPr>
            </w:pPr>
            <w:r w:rsidRPr="006615F3">
              <w:rPr>
                <w:rFonts w:cstheme="minorHAnsi"/>
                <w:sz w:val="20"/>
                <w:szCs w:val="20"/>
                <w:lang w:val="fr-FR"/>
              </w:rPr>
              <w:t xml:space="preserve">Need Patient consent/engagement messages </w:t>
            </w:r>
          </w:p>
          <w:p w14:paraId="3470FAF0" w14:textId="77777777" w:rsidR="009A0672" w:rsidRPr="00496C8F" w:rsidRDefault="009A0672" w:rsidP="008616D9">
            <w:pPr>
              <w:contextualSpacing/>
              <w:rPr>
                <w:rFonts w:cstheme="minorHAnsi"/>
                <w:sz w:val="20"/>
                <w:szCs w:val="20"/>
              </w:rPr>
            </w:pPr>
          </w:p>
          <w:p w14:paraId="72BB80FD" w14:textId="03F4752F" w:rsidR="006615F3" w:rsidRPr="00496C8F" w:rsidRDefault="006615F3" w:rsidP="008616D9">
            <w:pPr>
              <w:contextualSpacing/>
              <w:rPr>
                <w:rFonts w:cstheme="minorHAnsi"/>
                <w:sz w:val="20"/>
                <w:szCs w:val="20"/>
              </w:rPr>
            </w:pPr>
            <w:r w:rsidRPr="006615F3">
              <w:rPr>
                <w:rFonts w:cstheme="minorHAnsi"/>
                <w:sz w:val="20"/>
                <w:szCs w:val="20"/>
              </w:rPr>
              <w:t>Re-promotion of general practice and community pharmacy professional guidance</w:t>
            </w:r>
          </w:p>
        </w:tc>
      </w:tr>
    </w:tbl>
    <w:p w14:paraId="564300B0" w14:textId="637E5559" w:rsidR="009A0672" w:rsidRPr="008616D9" w:rsidRDefault="009A0672" w:rsidP="008616D9">
      <w:pPr>
        <w:spacing w:line="240" w:lineRule="auto"/>
        <w:contextualSpacing/>
        <w:rPr>
          <w:rFonts w:cstheme="minorHAnsi"/>
        </w:rPr>
      </w:pPr>
    </w:p>
    <w:p w14:paraId="26A8DC93" w14:textId="0C44BF71" w:rsidR="009A0672" w:rsidRPr="005F0A7D" w:rsidRDefault="008616D9" w:rsidP="008616D9">
      <w:pPr>
        <w:spacing w:line="240" w:lineRule="auto"/>
        <w:contextualSpacing/>
        <w:rPr>
          <w:rFonts w:cstheme="minorHAnsi"/>
          <w:b/>
          <w:bCs/>
          <w:u w:val="single"/>
        </w:rPr>
      </w:pPr>
      <w:r w:rsidRPr="005F0A7D">
        <w:rPr>
          <w:rFonts w:cstheme="minorHAnsi"/>
          <w:b/>
          <w:bCs/>
          <w:u w:val="single"/>
        </w:rPr>
        <w:t>Other things to help</w:t>
      </w:r>
      <w:r w:rsidR="005F0A7D" w:rsidRPr="005F0A7D">
        <w:rPr>
          <w:rFonts w:cstheme="minorHAnsi"/>
          <w:b/>
          <w:bCs/>
          <w:u w:val="single"/>
        </w:rPr>
        <w:t>.</w:t>
      </w:r>
    </w:p>
    <w:p w14:paraId="27699AD4" w14:textId="51E97348" w:rsidR="008616D9" w:rsidRPr="008616D9" w:rsidRDefault="008616D9" w:rsidP="008616D9">
      <w:pPr>
        <w:spacing w:line="240" w:lineRule="auto"/>
        <w:contextualSpacing/>
        <w:rPr>
          <w:rFonts w:cstheme="minorHAnsi"/>
        </w:rPr>
      </w:pPr>
      <w:r w:rsidRPr="008616D9">
        <w:rPr>
          <w:rFonts w:cstheme="minorHAnsi"/>
          <w:b/>
          <w:bCs/>
        </w:rPr>
        <w:t xml:space="preserve">New Weight Management Enhanced Service SNOMED codes </w:t>
      </w:r>
      <w:r w:rsidRPr="008616D9">
        <w:rPr>
          <w:rFonts w:cstheme="minorHAnsi"/>
          <w:b/>
          <w:bCs/>
        </w:rPr>
        <w:br/>
      </w:r>
      <w:r w:rsidRPr="008616D9">
        <w:rPr>
          <w:rFonts w:cstheme="minorHAnsi"/>
        </w:rPr>
        <w:t>The basis for payments for referrals made under the Weight Management Enhanced Service has been reviewed. To reduce the burden on general practice staff to provide manual input and ensure consistency in reporting and recording of information, it has been agreed to add the following eligible referral codes for payments in 2022/23 to include the following:</w:t>
      </w:r>
    </w:p>
    <w:p w14:paraId="03F87903" w14:textId="77777777" w:rsidR="008616D9" w:rsidRPr="008616D9" w:rsidRDefault="008616D9" w:rsidP="008616D9">
      <w:pPr>
        <w:spacing w:line="240" w:lineRule="auto"/>
        <w:contextualSpacing/>
        <w:rPr>
          <w:rFonts w:cstheme="minorHAnsi"/>
        </w:rPr>
      </w:pPr>
    </w:p>
    <w:p w14:paraId="196574C3" w14:textId="6E47121F" w:rsidR="008616D9" w:rsidRPr="008616D9" w:rsidRDefault="008616D9" w:rsidP="008616D9">
      <w:pPr>
        <w:spacing w:line="240" w:lineRule="auto"/>
        <w:contextualSpacing/>
        <w:jc w:val="center"/>
        <w:rPr>
          <w:rFonts w:cstheme="minorHAnsi"/>
          <w:b/>
          <w:bCs/>
        </w:rPr>
      </w:pPr>
      <w:r w:rsidRPr="008616D9">
        <w:rPr>
          <w:rFonts w:cstheme="minorHAnsi"/>
          <w:b/>
          <w:bCs/>
        </w:rPr>
        <w:t>1402911000000108 - Referral to National Health Service Digital Weight Management Programme (procedure)</w:t>
      </w:r>
    </w:p>
    <w:p w14:paraId="378F2BA5" w14:textId="014BD5D2" w:rsidR="008616D9" w:rsidRPr="008616D9" w:rsidRDefault="008616D9" w:rsidP="008616D9">
      <w:pPr>
        <w:spacing w:line="240" w:lineRule="auto"/>
        <w:contextualSpacing/>
        <w:rPr>
          <w:rFonts w:cstheme="minorHAnsi"/>
        </w:rPr>
      </w:pPr>
    </w:p>
    <w:p w14:paraId="190F0D39" w14:textId="77777777" w:rsidR="001F3DB8" w:rsidRDefault="001F3DB8" w:rsidP="008616D9">
      <w:pPr>
        <w:spacing w:line="240" w:lineRule="auto"/>
        <w:contextualSpacing/>
        <w:rPr>
          <w:rFonts w:cstheme="minorHAnsi"/>
          <w:b/>
          <w:bCs/>
        </w:rPr>
      </w:pPr>
    </w:p>
    <w:p w14:paraId="4BFFF3A3" w14:textId="77777777" w:rsidR="009267C5" w:rsidRDefault="009267C5" w:rsidP="008616D9">
      <w:pPr>
        <w:spacing w:line="240" w:lineRule="auto"/>
        <w:contextualSpacing/>
        <w:rPr>
          <w:rFonts w:cstheme="minorHAnsi"/>
          <w:b/>
          <w:bCs/>
        </w:rPr>
      </w:pPr>
    </w:p>
    <w:p w14:paraId="148F2194" w14:textId="77777777" w:rsidR="001F3DB8" w:rsidRDefault="001F3DB8" w:rsidP="008616D9">
      <w:pPr>
        <w:spacing w:line="240" w:lineRule="auto"/>
        <w:contextualSpacing/>
        <w:rPr>
          <w:rFonts w:cstheme="minorHAnsi"/>
          <w:b/>
          <w:bCs/>
        </w:rPr>
      </w:pPr>
    </w:p>
    <w:p w14:paraId="55567CE1" w14:textId="717AF17C" w:rsidR="008616D9" w:rsidRPr="008616D9" w:rsidRDefault="008616D9" w:rsidP="008616D9">
      <w:pPr>
        <w:spacing w:line="240" w:lineRule="auto"/>
        <w:contextualSpacing/>
        <w:rPr>
          <w:rFonts w:cstheme="minorHAnsi"/>
          <w:b/>
          <w:bCs/>
        </w:rPr>
      </w:pPr>
      <w:r w:rsidRPr="008616D9">
        <w:rPr>
          <w:rFonts w:cstheme="minorHAnsi"/>
          <w:b/>
          <w:bCs/>
        </w:rPr>
        <w:lastRenderedPageBreak/>
        <w:t>Toolkit</w:t>
      </w:r>
    </w:p>
    <w:p w14:paraId="643D1ABB" w14:textId="77777777" w:rsidR="008616D9" w:rsidRPr="008616D9" w:rsidRDefault="008616D9" w:rsidP="008616D9">
      <w:pPr>
        <w:spacing w:line="240" w:lineRule="auto"/>
        <w:contextualSpacing/>
        <w:rPr>
          <w:rFonts w:cstheme="minorHAnsi"/>
        </w:rPr>
      </w:pPr>
      <w:r w:rsidRPr="008616D9">
        <w:rPr>
          <w:rFonts w:cstheme="minorHAnsi"/>
        </w:rPr>
        <w:t>Our </w:t>
      </w:r>
      <w:hyperlink r:id="rId7" w:history="1">
        <w:r w:rsidRPr="008616D9">
          <w:rPr>
            <w:rStyle w:val="Hyperlink"/>
            <w:rFonts w:cstheme="minorHAnsi"/>
          </w:rPr>
          <w:t>DWMP GP Referral Toolkit</w:t>
        </w:r>
      </w:hyperlink>
      <w:r w:rsidRPr="008616D9">
        <w:rPr>
          <w:rFonts w:cstheme="minorHAnsi"/>
        </w:rPr>
        <w:t> has full details, including an infographic, on the process. </w:t>
      </w:r>
    </w:p>
    <w:p w14:paraId="17375320" w14:textId="22EA5D85" w:rsidR="008616D9" w:rsidRPr="008616D9" w:rsidRDefault="008616D9" w:rsidP="008616D9">
      <w:pPr>
        <w:spacing w:line="240" w:lineRule="auto"/>
        <w:contextualSpacing/>
        <w:rPr>
          <w:rFonts w:cstheme="minorHAnsi"/>
        </w:rPr>
      </w:pPr>
      <w:r w:rsidRPr="008616D9">
        <w:rPr>
          <w:rFonts w:cstheme="minorHAnsi"/>
        </w:rPr>
        <w:t xml:space="preserve">If you work in a General Practice, referrals are made via the NHS DWMP referral template on e-RS systems EMIS, </w:t>
      </w:r>
      <w:proofErr w:type="spellStart"/>
      <w:r w:rsidRPr="008616D9">
        <w:rPr>
          <w:rFonts w:cstheme="minorHAnsi"/>
        </w:rPr>
        <w:t>SystmOne</w:t>
      </w:r>
      <w:proofErr w:type="spellEnd"/>
      <w:r w:rsidRPr="008616D9">
        <w:rPr>
          <w:rFonts w:cstheme="minorHAnsi"/>
        </w:rPr>
        <w:t xml:space="preserve"> and Vision. To upload templates to your General Practice system</w:t>
      </w:r>
      <w:r w:rsidR="00221A50">
        <w:rPr>
          <w:rFonts w:cstheme="minorHAnsi"/>
        </w:rPr>
        <w:t>,</w:t>
      </w:r>
      <w:r w:rsidRPr="008616D9">
        <w:rPr>
          <w:rFonts w:cstheme="minorHAnsi"/>
        </w:rPr>
        <w:t xml:space="preserve"> go to: </w:t>
      </w:r>
      <w:hyperlink r:id="rId8" w:history="1">
        <w:r w:rsidRPr="008616D9">
          <w:rPr>
            <w:rStyle w:val="Hyperlink"/>
            <w:rFonts w:cstheme="minorHAnsi"/>
          </w:rPr>
          <w:t>https://templates.wmp.nhs.uk/</w:t>
        </w:r>
      </w:hyperlink>
      <w:r w:rsidRPr="008616D9">
        <w:rPr>
          <w:rFonts w:cstheme="minorHAnsi"/>
        </w:rPr>
        <w:t> </w:t>
      </w:r>
    </w:p>
    <w:p w14:paraId="700D93E2" w14:textId="3FA7BBFF" w:rsidR="008616D9" w:rsidRPr="008616D9" w:rsidRDefault="008616D9" w:rsidP="008616D9">
      <w:pPr>
        <w:spacing w:line="240" w:lineRule="auto"/>
        <w:contextualSpacing/>
        <w:rPr>
          <w:rFonts w:cstheme="minorHAnsi"/>
        </w:rPr>
      </w:pPr>
    </w:p>
    <w:p w14:paraId="20E3F54A" w14:textId="3FF2FA6E" w:rsidR="008616D9" w:rsidRPr="008616D9" w:rsidRDefault="008616D9" w:rsidP="008616D9">
      <w:pPr>
        <w:spacing w:line="240" w:lineRule="auto"/>
        <w:contextualSpacing/>
        <w:rPr>
          <w:rFonts w:cstheme="minorHAnsi"/>
          <w:b/>
          <w:bCs/>
        </w:rPr>
      </w:pPr>
      <w:r w:rsidRPr="008616D9">
        <w:rPr>
          <w:rFonts w:cstheme="minorHAnsi"/>
          <w:b/>
          <w:bCs/>
        </w:rPr>
        <w:t>How to make a referral – EMIS &amp; S1</w:t>
      </w:r>
    </w:p>
    <w:p w14:paraId="407CA846" w14:textId="53EF2695" w:rsidR="008616D9" w:rsidRPr="008616D9" w:rsidRDefault="008616D9" w:rsidP="008616D9">
      <w:pPr>
        <w:spacing w:line="240" w:lineRule="auto"/>
        <w:contextualSpacing/>
        <w:rPr>
          <w:rFonts w:cstheme="minorHAnsi"/>
        </w:rPr>
      </w:pPr>
      <w:r w:rsidRPr="008616D9">
        <w:rPr>
          <w:rFonts w:cstheme="minorHAnsi"/>
        </w:rPr>
        <w:t>To find the service on e-RS you can watch this </w:t>
      </w:r>
      <w:hyperlink r:id="rId9" w:history="1">
        <w:r w:rsidRPr="008616D9">
          <w:rPr>
            <w:rStyle w:val="Hyperlink"/>
            <w:rFonts w:cstheme="minorHAnsi"/>
          </w:rPr>
          <w:t>video</w:t>
        </w:r>
      </w:hyperlink>
      <w:r w:rsidRPr="008616D9">
        <w:rPr>
          <w:rFonts w:cstheme="minorHAnsi"/>
        </w:rPr>
        <w:t>. Up till 3:24 on the video shows how to make a referral on EMIS. From 3:24 demonstrates how to make a referral on the e-RS system.  </w:t>
      </w:r>
    </w:p>
    <w:p w14:paraId="18A8081C" w14:textId="677E2194" w:rsidR="008616D9" w:rsidRPr="008616D9" w:rsidRDefault="008616D9" w:rsidP="008616D9">
      <w:pPr>
        <w:spacing w:line="240" w:lineRule="auto"/>
        <w:contextualSpacing/>
        <w:rPr>
          <w:rFonts w:cstheme="minorHAnsi"/>
        </w:rPr>
      </w:pPr>
    </w:p>
    <w:p w14:paraId="6CDB1FE0" w14:textId="0F9EC701" w:rsidR="008616D9" w:rsidRPr="008616D9" w:rsidRDefault="008616D9" w:rsidP="008616D9">
      <w:pPr>
        <w:spacing w:line="240" w:lineRule="auto"/>
        <w:contextualSpacing/>
        <w:rPr>
          <w:rFonts w:cstheme="minorHAnsi"/>
          <w:b/>
          <w:bCs/>
        </w:rPr>
      </w:pPr>
      <w:r w:rsidRPr="008616D9">
        <w:rPr>
          <w:rFonts w:cstheme="minorHAnsi"/>
          <w:b/>
          <w:bCs/>
        </w:rPr>
        <w:t>Patient Communications</w:t>
      </w:r>
    </w:p>
    <w:p w14:paraId="0950615F" w14:textId="2F4D9CD6" w:rsidR="008616D9" w:rsidRPr="008616D9" w:rsidRDefault="008616D9" w:rsidP="008616D9">
      <w:pPr>
        <w:spacing w:line="240" w:lineRule="auto"/>
        <w:contextualSpacing/>
        <w:rPr>
          <w:rFonts w:cstheme="minorHAnsi"/>
        </w:rPr>
      </w:pPr>
      <w:r w:rsidRPr="008616D9">
        <w:rPr>
          <w:rFonts w:cstheme="minorHAnsi"/>
        </w:rPr>
        <w:t xml:space="preserve">The NHS Digital Weight Management Programme patient leaflet can be found </w:t>
      </w:r>
      <w:hyperlink r:id="rId10" w:history="1">
        <w:r w:rsidRPr="008616D9">
          <w:rPr>
            <w:rStyle w:val="Hyperlink"/>
            <w:rFonts w:cstheme="minorHAnsi"/>
          </w:rPr>
          <w:t>here</w:t>
        </w:r>
      </w:hyperlink>
      <w:r w:rsidRPr="008616D9">
        <w:rPr>
          <w:rFonts w:cstheme="minorHAnsi"/>
        </w:rPr>
        <w:t xml:space="preserve">. </w:t>
      </w:r>
    </w:p>
    <w:p w14:paraId="3193F3A2" w14:textId="4F8691D0" w:rsidR="008616D9" w:rsidRDefault="008616D9" w:rsidP="008616D9">
      <w:pPr>
        <w:spacing w:line="240" w:lineRule="auto"/>
        <w:contextualSpacing/>
        <w:rPr>
          <w:rFonts w:cstheme="minorHAnsi"/>
          <w:b/>
          <w:bCs/>
        </w:rPr>
      </w:pPr>
    </w:p>
    <w:p w14:paraId="2DA05968" w14:textId="77777777" w:rsidR="00221A50" w:rsidRPr="008616D9" w:rsidRDefault="00221A50" w:rsidP="00221A50">
      <w:pPr>
        <w:spacing w:line="240" w:lineRule="auto"/>
        <w:contextualSpacing/>
        <w:rPr>
          <w:rFonts w:cstheme="minorHAnsi"/>
          <w:b/>
          <w:bCs/>
        </w:rPr>
      </w:pPr>
      <w:r w:rsidRPr="008616D9">
        <w:rPr>
          <w:rFonts w:cstheme="minorHAnsi"/>
          <w:b/>
          <w:bCs/>
        </w:rPr>
        <w:t>FAQs &amp; Link to Website</w:t>
      </w:r>
    </w:p>
    <w:p w14:paraId="7B92AA64" w14:textId="77777777" w:rsidR="00221A50" w:rsidRPr="008616D9" w:rsidRDefault="00221A50" w:rsidP="00221A50">
      <w:pPr>
        <w:spacing w:line="240" w:lineRule="auto"/>
        <w:contextualSpacing/>
        <w:rPr>
          <w:rFonts w:cstheme="minorHAnsi"/>
        </w:rPr>
      </w:pPr>
      <w:r w:rsidRPr="008616D9">
        <w:rPr>
          <w:rFonts w:cstheme="minorHAnsi"/>
        </w:rPr>
        <w:t xml:space="preserve">Attached </w:t>
      </w:r>
      <w:r>
        <w:rPr>
          <w:rFonts w:cstheme="minorHAnsi"/>
        </w:rPr>
        <w:t xml:space="preserve">to the email are also </w:t>
      </w:r>
      <w:r w:rsidRPr="008616D9">
        <w:rPr>
          <w:rFonts w:cstheme="minorHAnsi"/>
        </w:rPr>
        <w:t xml:space="preserve">some FAQs and a link to the DWMP website and attached our FAQ’s so you are able to read more about our programme: </w:t>
      </w:r>
      <w:hyperlink r:id="rId11" w:history="1">
        <w:r w:rsidRPr="008616D9">
          <w:rPr>
            <w:rStyle w:val="Hyperlink"/>
            <w:rFonts w:cstheme="minorHAnsi"/>
          </w:rPr>
          <w:t>NHS England » Digital weight management</w:t>
        </w:r>
      </w:hyperlink>
    </w:p>
    <w:p w14:paraId="2C937FC1" w14:textId="77777777" w:rsidR="00221A50" w:rsidRDefault="00221A50" w:rsidP="008616D9">
      <w:pPr>
        <w:spacing w:line="240" w:lineRule="auto"/>
        <w:contextualSpacing/>
        <w:rPr>
          <w:rFonts w:cstheme="minorHAnsi"/>
          <w:b/>
          <w:bCs/>
        </w:rPr>
      </w:pPr>
    </w:p>
    <w:p w14:paraId="7894AAC1" w14:textId="0E1090E6" w:rsidR="00403EAD" w:rsidRDefault="00403EAD" w:rsidP="008616D9">
      <w:pPr>
        <w:spacing w:line="240" w:lineRule="auto"/>
        <w:contextualSpacing/>
        <w:rPr>
          <w:rFonts w:cstheme="minorHAnsi"/>
          <w:b/>
          <w:bCs/>
        </w:rPr>
      </w:pPr>
      <w:r>
        <w:rPr>
          <w:rFonts w:cstheme="minorHAnsi"/>
          <w:b/>
          <w:bCs/>
        </w:rPr>
        <w:t>Communications to go onto Practice Websites</w:t>
      </w:r>
    </w:p>
    <w:p w14:paraId="533E6B92" w14:textId="401800D1" w:rsidR="00403EAD" w:rsidRDefault="00403EAD" w:rsidP="008616D9">
      <w:pPr>
        <w:spacing w:line="240" w:lineRule="auto"/>
        <w:contextualSpacing/>
        <w:rPr>
          <w:rFonts w:cstheme="minorHAnsi"/>
          <w:b/>
          <w:bCs/>
        </w:rPr>
      </w:pPr>
    </w:p>
    <w:p w14:paraId="2F44BECC" w14:textId="2841E7AE" w:rsidR="009A0672" w:rsidRPr="001F3DB8" w:rsidRDefault="00403EAD" w:rsidP="008616D9">
      <w:pPr>
        <w:spacing w:line="240" w:lineRule="auto"/>
        <w:contextualSpacing/>
        <w:rPr>
          <w:rFonts w:cstheme="minorHAnsi"/>
          <w:b/>
          <w:bCs/>
        </w:rPr>
      </w:pPr>
      <w:r w:rsidRPr="00403EAD">
        <w:rPr>
          <w:rFonts w:cstheme="minorHAnsi"/>
          <w:b/>
          <w:bCs/>
          <w:noProof/>
        </w:rPr>
        <w:drawing>
          <wp:inline distT="0" distB="0" distL="0" distR="0" wp14:anchorId="7343477D" wp14:editId="771A8ACE">
            <wp:extent cx="4442845" cy="5357324"/>
            <wp:effectExtent l="0" t="0" r="0" b="0"/>
            <wp:docPr id="1" name="Picture 3" descr="Graphical user interface&#10;&#10;Description automatically generated with low confidence">
              <a:extLst xmlns:a="http://schemas.openxmlformats.org/drawingml/2006/main">
                <a:ext uri="{FF2B5EF4-FFF2-40B4-BE49-F238E27FC236}">
                  <a16:creationId xmlns:a16="http://schemas.microsoft.com/office/drawing/2014/main" id="{72B15F81-3554-2085-9D16-6A499BB83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Graphical user interface&#10;&#10;Description automatically generated with low confidence">
                      <a:extLst>
                        <a:ext uri="{FF2B5EF4-FFF2-40B4-BE49-F238E27FC236}">
                          <a16:creationId xmlns:a16="http://schemas.microsoft.com/office/drawing/2014/main" id="{72B15F81-3554-2085-9D16-6A499BB830C6}"/>
                        </a:ext>
                      </a:extLst>
                    </pic:cNvPr>
                    <pic:cNvPicPr>
                      <a:picLocks noChangeAspect="1"/>
                    </pic:cNvPicPr>
                  </pic:nvPicPr>
                  <pic:blipFill>
                    <a:blip r:embed="rId12"/>
                    <a:stretch>
                      <a:fillRect/>
                    </a:stretch>
                  </pic:blipFill>
                  <pic:spPr>
                    <a:xfrm>
                      <a:off x="0" y="0"/>
                      <a:ext cx="4442845" cy="5357324"/>
                    </a:xfrm>
                    <a:prstGeom prst="rect">
                      <a:avLst/>
                    </a:prstGeom>
                  </pic:spPr>
                </pic:pic>
              </a:graphicData>
            </a:graphic>
          </wp:inline>
        </w:drawing>
      </w:r>
    </w:p>
    <w:sectPr w:rsidR="009A0672" w:rsidRPr="001F3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5A60"/>
    <w:multiLevelType w:val="hybridMultilevel"/>
    <w:tmpl w:val="AE8CCFAC"/>
    <w:lvl w:ilvl="0" w:tplc="BA2A6824">
      <w:start w:val="1"/>
      <w:numFmt w:val="bullet"/>
      <w:lvlText w:val="•"/>
      <w:lvlJc w:val="left"/>
      <w:pPr>
        <w:tabs>
          <w:tab w:val="num" w:pos="720"/>
        </w:tabs>
        <w:ind w:left="720" w:hanging="360"/>
      </w:pPr>
      <w:rPr>
        <w:rFonts w:ascii="Arial" w:hAnsi="Arial" w:cs="Times New Roman" w:hint="default"/>
      </w:rPr>
    </w:lvl>
    <w:lvl w:ilvl="1" w:tplc="C3201846">
      <w:start w:val="1"/>
      <w:numFmt w:val="bullet"/>
      <w:lvlText w:val="•"/>
      <w:lvlJc w:val="left"/>
      <w:pPr>
        <w:tabs>
          <w:tab w:val="num" w:pos="1440"/>
        </w:tabs>
        <w:ind w:left="1440" w:hanging="360"/>
      </w:pPr>
      <w:rPr>
        <w:rFonts w:ascii="Arial" w:hAnsi="Arial" w:cs="Times New Roman" w:hint="default"/>
      </w:rPr>
    </w:lvl>
    <w:lvl w:ilvl="2" w:tplc="7D8CC6F6">
      <w:start w:val="1"/>
      <w:numFmt w:val="bullet"/>
      <w:lvlText w:val="•"/>
      <w:lvlJc w:val="left"/>
      <w:pPr>
        <w:tabs>
          <w:tab w:val="num" w:pos="2160"/>
        </w:tabs>
        <w:ind w:left="2160" w:hanging="360"/>
      </w:pPr>
      <w:rPr>
        <w:rFonts w:ascii="Arial" w:hAnsi="Arial" w:cs="Times New Roman" w:hint="default"/>
      </w:rPr>
    </w:lvl>
    <w:lvl w:ilvl="3" w:tplc="5DEE03B0">
      <w:start w:val="1"/>
      <w:numFmt w:val="bullet"/>
      <w:lvlText w:val="•"/>
      <w:lvlJc w:val="left"/>
      <w:pPr>
        <w:tabs>
          <w:tab w:val="num" w:pos="2880"/>
        </w:tabs>
        <w:ind w:left="2880" w:hanging="360"/>
      </w:pPr>
      <w:rPr>
        <w:rFonts w:ascii="Arial" w:hAnsi="Arial" w:cs="Times New Roman" w:hint="default"/>
      </w:rPr>
    </w:lvl>
    <w:lvl w:ilvl="4" w:tplc="F4724008">
      <w:start w:val="1"/>
      <w:numFmt w:val="bullet"/>
      <w:lvlText w:val="•"/>
      <w:lvlJc w:val="left"/>
      <w:pPr>
        <w:tabs>
          <w:tab w:val="num" w:pos="3600"/>
        </w:tabs>
        <w:ind w:left="3600" w:hanging="360"/>
      </w:pPr>
      <w:rPr>
        <w:rFonts w:ascii="Arial" w:hAnsi="Arial" w:cs="Times New Roman" w:hint="default"/>
      </w:rPr>
    </w:lvl>
    <w:lvl w:ilvl="5" w:tplc="CBDC6E62">
      <w:start w:val="1"/>
      <w:numFmt w:val="bullet"/>
      <w:lvlText w:val="•"/>
      <w:lvlJc w:val="left"/>
      <w:pPr>
        <w:tabs>
          <w:tab w:val="num" w:pos="4320"/>
        </w:tabs>
        <w:ind w:left="4320" w:hanging="360"/>
      </w:pPr>
      <w:rPr>
        <w:rFonts w:ascii="Arial" w:hAnsi="Arial" w:cs="Times New Roman" w:hint="default"/>
      </w:rPr>
    </w:lvl>
    <w:lvl w:ilvl="6" w:tplc="04F47688">
      <w:start w:val="1"/>
      <w:numFmt w:val="bullet"/>
      <w:lvlText w:val="•"/>
      <w:lvlJc w:val="left"/>
      <w:pPr>
        <w:tabs>
          <w:tab w:val="num" w:pos="5040"/>
        </w:tabs>
        <w:ind w:left="5040" w:hanging="360"/>
      </w:pPr>
      <w:rPr>
        <w:rFonts w:ascii="Arial" w:hAnsi="Arial" w:cs="Times New Roman" w:hint="default"/>
      </w:rPr>
    </w:lvl>
    <w:lvl w:ilvl="7" w:tplc="D65C1EB8">
      <w:start w:val="1"/>
      <w:numFmt w:val="bullet"/>
      <w:lvlText w:val="•"/>
      <w:lvlJc w:val="left"/>
      <w:pPr>
        <w:tabs>
          <w:tab w:val="num" w:pos="5760"/>
        </w:tabs>
        <w:ind w:left="5760" w:hanging="360"/>
      </w:pPr>
      <w:rPr>
        <w:rFonts w:ascii="Arial" w:hAnsi="Arial" w:cs="Times New Roman" w:hint="default"/>
      </w:rPr>
    </w:lvl>
    <w:lvl w:ilvl="8" w:tplc="C9F8BD3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4E475F1"/>
    <w:multiLevelType w:val="hybridMultilevel"/>
    <w:tmpl w:val="F4BA2F46"/>
    <w:lvl w:ilvl="0" w:tplc="005E7E76">
      <w:start w:val="1"/>
      <w:numFmt w:val="bullet"/>
      <w:lvlText w:val="•"/>
      <w:lvlJc w:val="left"/>
      <w:pPr>
        <w:tabs>
          <w:tab w:val="num" w:pos="720"/>
        </w:tabs>
        <w:ind w:left="720" w:hanging="360"/>
      </w:pPr>
      <w:rPr>
        <w:rFonts w:ascii="Arial" w:hAnsi="Arial" w:hint="default"/>
      </w:rPr>
    </w:lvl>
    <w:lvl w:ilvl="1" w:tplc="06426B8C">
      <w:numFmt w:val="bullet"/>
      <w:lvlText w:val="•"/>
      <w:lvlJc w:val="left"/>
      <w:pPr>
        <w:tabs>
          <w:tab w:val="num" w:pos="1440"/>
        </w:tabs>
        <w:ind w:left="1440" w:hanging="360"/>
      </w:pPr>
      <w:rPr>
        <w:rFonts w:ascii="Arial" w:hAnsi="Arial" w:hint="default"/>
      </w:rPr>
    </w:lvl>
    <w:lvl w:ilvl="2" w:tplc="3F343CB4">
      <w:numFmt w:val="bullet"/>
      <w:lvlText w:val=""/>
      <w:lvlJc w:val="left"/>
      <w:pPr>
        <w:tabs>
          <w:tab w:val="num" w:pos="2160"/>
        </w:tabs>
        <w:ind w:left="2160" w:hanging="360"/>
      </w:pPr>
      <w:rPr>
        <w:rFonts w:ascii="Wingdings" w:hAnsi="Wingdings" w:hint="default"/>
      </w:rPr>
    </w:lvl>
    <w:lvl w:ilvl="3" w:tplc="17600BAA" w:tentative="1">
      <w:start w:val="1"/>
      <w:numFmt w:val="bullet"/>
      <w:lvlText w:val="•"/>
      <w:lvlJc w:val="left"/>
      <w:pPr>
        <w:tabs>
          <w:tab w:val="num" w:pos="2880"/>
        </w:tabs>
        <w:ind w:left="2880" w:hanging="360"/>
      </w:pPr>
      <w:rPr>
        <w:rFonts w:ascii="Arial" w:hAnsi="Arial" w:hint="default"/>
      </w:rPr>
    </w:lvl>
    <w:lvl w:ilvl="4" w:tplc="DF02D74A" w:tentative="1">
      <w:start w:val="1"/>
      <w:numFmt w:val="bullet"/>
      <w:lvlText w:val="•"/>
      <w:lvlJc w:val="left"/>
      <w:pPr>
        <w:tabs>
          <w:tab w:val="num" w:pos="3600"/>
        </w:tabs>
        <w:ind w:left="3600" w:hanging="360"/>
      </w:pPr>
      <w:rPr>
        <w:rFonts w:ascii="Arial" w:hAnsi="Arial" w:hint="default"/>
      </w:rPr>
    </w:lvl>
    <w:lvl w:ilvl="5" w:tplc="A8E6EB54" w:tentative="1">
      <w:start w:val="1"/>
      <w:numFmt w:val="bullet"/>
      <w:lvlText w:val="•"/>
      <w:lvlJc w:val="left"/>
      <w:pPr>
        <w:tabs>
          <w:tab w:val="num" w:pos="4320"/>
        </w:tabs>
        <w:ind w:left="4320" w:hanging="360"/>
      </w:pPr>
      <w:rPr>
        <w:rFonts w:ascii="Arial" w:hAnsi="Arial" w:hint="default"/>
      </w:rPr>
    </w:lvl>
    <w:lvl w:ilvl="6" w:tplc="80D25D0E" w:tentative="1">
      <w:start w:val="1"/>
      <w:numFmt w:val="bullet"/>
      <w:lvlText w:val="•"/>
      <w:lvlJc w:val="left"/>
      <w:pPr>
        <w:tabs>
          <w:tab w:val="num" w:pos="5040"/>
        </w:tabs>
        <w:ind w:left="5040" w:hanging="360"/>
      </w:pPr>
      <w:rPr>
        <w:rFonts w:ascii="Arial" w:hAnsi="Arial" w:hint="default"/>
      </w:rPr>
    </w:lvl>
    <w:lvl w:ilvl="7" w:tplc="63A883F2" w:tentative="1">
      <w:start w:val="1"/>
      <w:numFmt w:val="bullet"/>
      <w:lvlText w:val="•"/>
      <w:lvlJc w:val="left"/>
      <w:pPr>
        <w:tabs>
          <w:tab w:val="num" w:pos="5760"/>
        </w:tabs>
        <w:ind w:left="5760" w:hanging="360"/>
      </w:pPr>
      <w:rPr>
        <w:rFonts w:ascii="Arial" w:hAnsi="Arial" w:hint="default"/>
      </w:rPr>
    </w:lvl>
    <w:lvl w:ilvl="8" w:tplc="6BBA3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E601BE"/>
    <w:multiLevelType w:val="hybridMultilevel"/>
    <w:tmpl w:val="1A50F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8506BD"/>
    <w:multiLevelType w:val="hybridMultilevel"/>
    <w:tmpl w:val="4D60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8364934">
    <w:abstractNumId w:val="0"/>
  </w:num>
  <w:num w:numId="2" w16cid:durableId="565993081">
    <w:abstractNumId w:val="3"/>
  </w:num>
  <w:num w:numId="3" w16cid:durableId="2037264714">
    <w:abstractNumId w:val="1"/>
  </w:num>
  <w:num w:numId="4" w16cid:durableId="451093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8C"/>
    <w:rsid w:val="000614FD"/>
    <w:rsid w:val="000B7255"/>
    <w:rsid w:val="001E1DFA"/>
    <w:rsid w:val="001F3DB8"/>
    <w:rsid w:val="00221A50"/>
    <w:rsid w:val="00257CF6"/>
    <w:rsid w:val="002A56A2"/>
    <w:rsid w:val="00403EAD"/>
    <w:rsid w:val="00496C8F"/>
    <w:rsid w:val="004C0FE2"/>
    <w:rsid w:val="005F0A7D"/>
    <w:rsid w:val="006615F3"/>
    <w:rsid w:val="006964EE"/>
    <w:rsid w:val="00785868"/>
    <w:rsid w:val="00803855"/>
    <w:rsid w:val="008616D9"/>
    <w:rsid w:val="008720D8"/>
    <w:rsid w:val="00902FB1"/>
    <w:rsid w:val="009267C5"/>
    <w:rsid w:val="009A0672"/>
    <w:rsid w:val="00A032F0"/>
    <w:rsid w:val="00A665C5"/>
    <w:rsid w:val="00AA21C4"/>
    <w:rsid w:val="00D873C6"/>
    <w:rsid w:val="00DC08B9"/>
    <w:rsid w:val="00F044AE"/>
    <w:rsid w:val="00F51B8C"/>
    <w:rsid w:val="00FB0449"/>
    <w:rsid w:val="00FC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9BDD"/>
  <w15:chartTrackingRefBased/>
  <w15:docId w15:val="{67ED9EB8-41FB-4B13-B654-1AB8CCE7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9A0672"/>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72"/>
    <w:rPr>
      <w:color w:val="0563C1" w:themeColor="hyperlink"/>
      <w:u w:val="single"/>
    </w:rPr>
  </w:style>
  <w:style w:type="paragraph" w:styleId="ListParagraph">
    <w:name w:val="List Paragraph"/>
    <w:basedOn w:val="Normal"/>
    <w:uiPriority w:val="34"/>
    <w:qFormat/>
    <w:rsid w:val="009A0672"/>
    <w:pPr>
      <w:spacing w:after="0" w:line="240" w:lineRule="auto"/>
      <w:ind w:left="720"/>
    </w:pPr>
    <w:rPr>
      <w:rFonts w:ascii="Calibri" w:hAnsi="Calibri" w:cs="Calibri"/>
    </w:rPr>
  </w:style>
  <w:style w:type="table" w:styleId="TableGrid">
    <w:name w:val="Table Grid"/>
    <w:basedOn w:val="TableNormal"/>
    <w:uiPriority w:val="39"/>
    <w:rsid w:val="009A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A0672"/>
    <w:rPr>
      <w:rFonts w:ascii="Calibri" w:hAnsi="Calibri" w:cs="Calibri"/>
      <w:b/>
      <w:bCs/>
      <w:sz w:val="36"/>
      <w:szCs w:val="36"/>
      <w:lang w:eastAsia="en-GB"/>
    </w:rPr>
  </w:style>
  <w:style w:type="paragraph" w:customStyle="1" w:styleId="size-131">
    <w:name w:val="size-131"/>
    <w:basedOn w:val="Normal"/>
    <w:rsid w:val="009A0672"/>
    <w:pPr>
      <w:spacing w:before="100" w:beforeAutospacing="1" w:after="100" w:afterAutospacing="1" w:line="315" w:lineRule="atLeast"/>
    </w:pPr>
    <w:rPr>
      <w:rFonts w:ascii="Calibri" w:hAnsi="Calibri" w:cs="Calibri"/>
      <w:sz w:val="20"/>
      <w:szCs w:val="20"/>
      <w:lang w:eastAsia="en-GB"/>
    </w:rPr>
  </w:style>
  <w:style w:type="character" w:styleId="Strong">
    <w:name w:val="Strong"/>
    <w:basedOn w:val="DefaultParagraphFont"/>
    <w:uiPriority w:val="22"/>
    <w:qFormat/>
    <w:rsid w:val="009A0672"/>
    <w:rPr>
      <w:b/>
      <w:bCs/>
    </w:rPr>
  </w:style>
  <w:style w:type="character" w:styleId="UnresolvedMention">
    <w:name w:val="Unresolved Mention"/>
    <w:basedOn w:val="DefaultParagraphFont"/>
    <w:uiPriority w:val="99"/>
    <w:semiHidden/>
    <w:unhideWhenUsed/>
    <w:rsid w:val="009A0672"/>
    <w:rPr>
      <w:color w:val="605E5C"/>
      <w:shd w:val="clear" w:color="auto" w:fill="E1DFDD"/>
    </w:rPr>
  </w:style>
  <w:style w:type="character" w:styleId="FollowedHyperlink">
    <w:name w:val="FollowedHyperlink"/>
    <w:basedOn w:val="DefaultParagraphFont"/>
    <w:uiPriority w:val="99"/>
    <w:semiHidden/>
    <w:unhideWhenUsed/>
    <w:rsid w:val="00403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893">
      <w:bodyDiv w:val="1"/>
      <w:marLeft w:val="0"/>
      <w:marRight w:val="0"/>
      <w:marTop w:val="0"/>
      <w:marBottom w:val="0"/>
      <w:divBdr>
        <w:top w:val="none" w:sz="0" w:space="0" w:color="auto"/>
        <w:left w:val="none" w:sz="0" w:space="0" w:color="auto"/>
        <w:bottom w:val="none" w:sz="0" w:space="0" w:color="auto"/>
        <w:right w:val="none" w:sz="0" w:space="0" w:color="auto"/>
      </w:divBdr>
    </w:div>
    <w:div w:id="157549383">
      <w:bodyDiv w:val="1"/>
      <w:marLeft w:val="0"/>
      <w:marRight w:val="0"/>
      <w:marTop w:val="0"/>
      <w:marBottom w:val="0"/>
      <w:divBdr>
        <w:top w:val="none" w:sz="0" w:space="0" w:color="auto"/>
        <w:left w:val="none" w:sz="0" w:space="0" w:color="auto"/>
        <w:bottom w:val="none" w:sz="0" w:space="0" w:color="auto"/>
        <w:right w:val="none" w:sz="0" w:space="0" w:color="auto"/>
      </w:divBdr>
    </w:div>
    <w:div w:id="183828709">
      <w:bodyDiv w:val="1"/>
      <w:marLeft w:val="0"/>
      <w:marRight w:val="0"/>
      <w:marTop w:val="0"/>
      <w:marBottom w:val="0"/>
      <w:divBdr>
        <w:top w:val="none" w:sz="0" w:space="0" w:color="auto"/>
        <w:left w:val="none" w:sz="0" w:space="0" w:color="auto"/>
        <w:bottom w:val="none" w:sz="0" w:space="0" w:color="auto"/>
        <w:right w:val="none" w:sz="0" w:space="0" w:color="auto"/>
      </w:divBdr>
    </w:div>
    <w:div w:id="227543261">
      <w:bodyDiv w:val="1"/>
      <w:marLeft w:val="0"/>
      <w:marRight w:val="0"/>
      <w:marTop w:val="0"/>
      <w:marBottom w:val="0"/>
      <w:divBdr>
        <w:top w:val="none" w:sz="0" w:space="0" w:color="auto"/>
        <w:left w:val="none" w:sz="0" w:space="0" w:color="auto"/>
        <w:bottom w:val="none" w:sz="0" w:space="0" w:color="auto"/>
        <w:right w:val="none" w:sz="0" w:space="0" w:color="auto"/>
      </w:divBdr>
    </w:div>
    <w:div w:id="312486355">
      <w:bodyDiv w:val="1"/>
      <w:marLeft w:val="0"/>
      <w:marRight w:val="0"/>
      <w:marTop w:val="0"/>
      <w:marBottom w:val="0"/>
      <w:divBdr>
        <w:top w:val="none" w:sz="0" w:space="0" w:color="auto"/>
        <w:left w:val="none" w:sz="0" w:space="0" w:color="auto"/>
        <w:bottom w:val="none" w:sz="0" w:space="0" w:color="auto"/>
        <w:right w:val="none" w:sz="0" w:space="0" w:color="auto"/>
      </w:divBdr>
    </w:div>
    <w:div w:id="324288890">
      <w:bodyDiv w:val="1"/>
      <w:marLeft w:val="0"/>
      <w:marRight w:val="0"/>
      <w:marTop w:val="0"/>
      <w:marBottom w:val="0"/>
      <w:divBdr>
        <w:top w:val="none" w:sz="0" w:space="0" w:color="auto"/>
        <w:left w:val="none" w:sz="0" w:space="0" w:color="auto"/>
        <w:bottom w:val="none" w:sz="0" w:space="0" w:color="auto"/>
        <w:right w:val="none" w:sz="0" w:space="0" w:color="auto"/>
      </w:divBdr>
      <w:divsChild>
        <w:div w:id="1770081609">
          <w:marLeft w:val="360"/>
          <w:marRight w:val="0"/>
          <w:marTop w:val="200"/>
          <w:marBottom w:val="0"/>
          <w:divBdr>
            <w:top w:val="none" w:sz="0" w:space="0" w:color="auto"/>
            <w:left w:val="none" w:sz="0" w:space="0" w:color="auto"/>
            <w:bottom w:val="none" w:sz="0" w:space="0" w:color="auto"/>
            <w:right w:val="none" w:sz="0" w:space="0" w:color="auto"/>
          </w:divBdr>
        </w:div>
        <w:div w:id="807864626">
          <w:marLeft w:val="1080"/>
          <w:marRight w:val="0"/>
          <w:marTop w:val="100"/>
          <w:marBottom w:val="0"/>
          <w:divBdr>
            <w:top w:val="none" w:sz="0" w:space="0" w:color="auto"/>
            <w:left w:val="none" w:sz="0" w:space="0" w:color="auto"/>
            <w:bottom w:val="none" w:sz="0" w:space="0" w:color="auto"/>
            <w:right w:val="none" w:sz="0" w:space="0" w:color="auto"/>
          </w:divBdr>
        </w:div>
        <w:div w:id="326326968">
          <w:marLeft w:val="1080"/>
          <w:marRight w:val="0"/>
          <w:marTop w:val="100"/>
          <w:marBottom w:val="0"/>
          <w:divBdr>
            <w:top w:val="none" w:sz="0" w:space="0" w:color="auto"/>
            <w:left w:val="none" w:sz="0" w:space="0" w:color="auto"/>
            <w:bottom w:val="none" w:sz="0" w:space="0" w:color="auto"/>
            <w:right w:val="none" w:sz="0" w:space="0" w:color="auto"/>
          </w:divBdr>
        </w:div>
        <w:div w:id="130026427">
          <w:marLeft w:val="1267"/>
          <w:marRight w:val="0"/>
          <w:marTop w:val="100"/>
          <w:marBottom w:val="0"/>
          <w:divBdr>
            <w:top w:val="none" w:sz="0" w:space="0" w:color="auto"/>
            <w:left w:val="none" w:sz="0" w:space="0" w:color="auto"/>
            <w:bottom w:val="none" w:sz="0" w:space="0" w:color="auto"/>
            <w:right w:val="none" w:sz="0" w:space="0" w:color="auto"/>
          </w:divBdr>
        </w:div>
        <w:div w:id="1380319439">
          <w:marLeft w:val="1152"/>
          <w:marRight w:val="0"/>
          <w:marTop w:val="100"/>
          <w:marBottom w:val="0"/>
          <w:divBdr>
            <w:top w:val="none" w:sz="0" w:space="0" w:color="auto"/>
            <w:left w:val="none" w:sz="0" w:space="0" w:color="auto"/>
            <w:bottom w:val="none" w:sz="0" w:space="0" w:color="auto"/>
            <w:right w:val="none" w:sz="0" w:space="0" w:color="auto"/>
          </w:divBdr>
        </w:div>
      </w:divsChild>
    </w:div>
    <w:div w:id="369379306">
      <w:bodyDiv w:val="1"/>
      <w:marLeft w:val="0"/>
      <w:marRight w:val="0"/>
      <w:marTop w:val="0"/>
      <w:marBottom w:val="0"/>
      <w:divBdr>
        <w:top w:val="none" w:sz="0" w:space="0" w:color="auto"/>
        <w:left w:val="none" w:sz="0" w:space="0" w:color="auto"/>
        <w:bottom w:val="none" w:sz="0" w:space="0" w:color="auto"/>
        <w:right w:val="none" w:sz="0" w:space="0" w:color="auto"/>
      </w:divBdr>
    </w:div>
    <w:div w:id="458574426">
      <w:bodyDiv w:val="1"/>
      <w:marLeft w:val="0"/>
      <w:marRight w:val="0"/>
      <w:marTop w:val="0"/>
      <w:marBottom w:val="0"/>
      <w:divBdr>
        <w:top w:val="none" w:sz="0" w:space="0" w:color="auto"/>
        <w:left w:val="none" w:sz="0" w:space="0" w:color="auto"/>
        <w:bottom w:val="none" w:sz="0" w:space="0" w:color="auto"/>
        <w:right w:val="none" w:sz="0" w:space="0" w:color="auto"/>
      </w:divBdr>
    </w:div>
    <w:div w:id="566501577">
      <w:bodyDiv w:val="1"/>
      <w:marLeft w:val="0"/>
      <w:marRight w:val="0"/>
      <w:marTop w:val="0"/>
      <w:marBottom w:val="0"/>
      <w:divBdr>
        <w:top w:val="none" w:sz="0" w:space="0" w:color="auto"/>
        <w:left w:val="none" w:sz="0" w:space="0" w:color="auto"/>
        <w:bottom w:val="none" w:sz="0" w:space="0" w:color="auto"/>
        <w:right w:val="none" w:sz="0" w:space="0" w:color="auto"/>
      </w:divBdr>
    </w:div>
    <w:div w:id="713231885">
      <w:bodyDiv w:val="1"/>
      <w:marLeft w:val="0"/>
      <w:marRight w:val="0"/>
      <w:marTop w:val="0"/>
      <w:marBottom w:val="0"/>
      <w:divBdr>
        <w:top w:val="none" w:sz="0" w:space="0" w:color="auto"/>
        <w:left w:val="none" w:sz="0" w:space="0" w:color="auto"/>
        <w:bottom w:val="none" w:sz="0" w:space="0" w:color="auto"/>
        <w:right w:val="none" w:sz="0" w:space="0" w:color="auto"/>
      </w:divBdr>
    </w:div>
    <w:div w:id="745955847">
      <w:bodyDiv w:val="1"/>
      <w:marLeft w:val="0"/>
      <w:marRight w:val="0"/>
      <w:marTop w:val="0"/>
      <w:marBottom w:val="0"/>
      <w:divBdr>
        <w:top w:val="none" w:sz="0" w:space="0" w:color="auto"/>
        <w:left w:val="none" w:sz="0" w:space="0" w:color="auto"/>
        <w:bottom w:val="none" w:sz="0" w:space="0" w:color="auto"/>
        <w:right w:val="none" w:sz="0" w:space="0" w:color="auto"/>
      </w:divBdr>
    </w:div>
    <w:div w:id="838159367">
      <w:bodyDiv w:val="1"/>
      <w:marLeft w:val="0"/>
      <w:marRight w:val="0"/>
      <w:marTop w:val="0"/>
      <w:marBottom w:val="0"/>
      <w:divBdr>
        <w:top w:val="none" w:sz="0" w:space="0" w:color="auto"/>
        <w:left w:val="none" w:sz="0" w:space="0" w:color="auto"/>
        <w:bottom w:val="none" w:sz="0" w:space="0" w:color="auto"/>
        <w:right w:val="none" w:sz="0" w:space="0" w:color="auto"/>
      </w:divBdr>
    </w:div>
    <w:div w:id="1019425768">
      <w:bodyDiv w:val="1"/>
      <w:marLeft w:val="0"/>
      <w:marRight w:val="0"/>
      <w:marTop w:val="0"/>
      <w:marBottom w:val="0"/>
      <w:divBdr>
        <w:top w:val="none" w:sz="0" w:space="0" w:color="auto"/>
        <w:left w:val="none" w:sz="0" w:space="0" w:color="auto"/>
        <w:bottom w:val="none" w:sz="0" w:space="0" w:color="auto"/>
        <w:right w:val="none" w:sz="0" w:space="0" w:color="auto"/>
      </w:divBdr>
    </w:div>
    <w:div w:id="1303461067">
      <w:bodyDiv w:val="1"/>
      <w:marLeft w:val="0"/>
      <w:marRight w:val="0"/>
      <w:marTop w:val="0"/>
      <w:marBottom w:val="0"/>
      <w:divBdr>
        <w:top w:val="none" w:sz="0" w:space="0" w:color="auto"/>
        <w:left w:val="none" w:sz="0" w:space="0" w:color="auto"/>
        <w:bottom w:val="none" w:sz="0" w:space="0" w:color="auto"/>
        <w:right w:val="none" w:sz="0" w:space="0" w:color="auto"/>
      </w:divBdr>
    </w:div>
    <w:div w:id="1409307909">
      <w:bodyDiv w:val="1"/>
      <w:marLeft w:val="0"/>
      <w:marRight w:val="0"/>
      <w:marTop w:val="0"/>
      <w:marBottom w:val="0"/>
      <w:divBdr>
        <w:top w:val="none" w:sz="0" w:space="0" w:color="auto"/>
        <w:left w:val="none" w:sz="0" w:space="0" w:color="auto"/>
        <w:bottom w:val="none" w:sz="0" w:space="0" w:color="auto"/>
        <w:right w:val="none" w:sz="0" w:space="0" w:color="auto"/>
      </w:divBdr>
    </w:div>
    <w:div w:id="1441023895">
      <w:bodyDiv w:val="1"/>
      <w:marLeft w:val="0"/>
      <w:marRight w:val="0"/>
      <w:marTop w:val="0"/>
      <w:marBottom w:val="0"/>
      <w:divBdr>
        <w:top w:val="none" w:sz="0" w:space="0" w:color="auto"/>
        <w:left w:val="none" w:sz="0" w:space="0" w:color="auto"/>
        <w:bottom w:val="none" w:sz="0" w:space="0" w:color="auto"/>
        <w:right w:val="none" w:sz="0" w:space="0" w:color="auto"/>
      </w:divBdr>
    </w:div>
    <w:div w:id="1641156184">
      <w:bodyDiv w:val="1"/>
      <w:marLeft w:val="0"/>
      <w:marRight w:val="0"/>
      <w:marTop w:val="0"/>
      <w:marBottom w:val="0"/>
      <w:divBdr>
        <w:top w:val="none" w:sz="0" w:space="0" w:color="auto"/>
        <w:left w:val="none" w:sz="0" w:space="0" w:color="auto"/>
        <w:bottom w:val="none" w:sz="0" w:space="0" w:color="auto"/>
        <w:right w:val="none" w:sz="0" w:space="0" w:color="auto"/>
      </w:divBdr>
    </w:div>
    <w:div w:id="1809056538">
      <w:bodyDiv w:val="1"/>
      <w:marLeft w:val="0"/>
      <w:marRight w:val="0"/>
      <w:marTop w:val="0"/>
      <w:marBottom w:val="0"/>
      <w:divBdr>
        <w:top w:val="none" w:sz="0" w:space="0" w:color="auto"/>
        <w:left w:val="none" w:sz="0" w:space="0" w:color="auto"/>
        <w:bottom w:val="none" w:sz="0" w:space="0" w:color="auto"/>
        <w:right w:val="none" w:sz="0" w:space="0" w:color="auto"/>
      </w:divBdr>
    </w:div>
    <w:div w:id="2013333107">
      <w:bodyDiv w:val="1"/>
      <w:marLeft w:val="0"/>
      <w:marRight w:val="0"/>
      <w:marTop w:val="0"/>
      <w:marBottom w:val="0"/>
      <w:divBdr>
        <w:top w:val="none" w:sz="0" w:space="0" w:color="auto"/>
        <w:left w:val="none" w:sz="0" w:space="0" w:color="auto"/>
        <w:bottom w:val="none" w:sz="0" w:space="0" w:color="auto"/>
        <w:right w:val="none" w:sz="0" w:space="0" w:color="auto"/>
      </w:divBdr>
    </w:div>
    <w:div w:id="20345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s.wmp.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publication/the-nhs-digital-weight-management-programme-general-practice-toolkit/" TargetMode="Externa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image004.png@01D942D8.38F61200" TargetMode="External"/><Relationship Id="rId11" Type="http://schemas.openxmlformats.org/officeDocument/2006/relationships/hyperlink" Target="https://gbr01.safelinks.protection.outlook.com/?url=https%3A%2F%2Fwww.england.nhs.uk%2Fourwork%2Fprevention%2Fdigital-weight-management%2F&amp;data=05%7C01%7Chayley.patterson1%40nhs.net%7Ceb2d5797c6d54c38979908db1bc5c4c5%7C37c354b285b047f5b22207b48d774ee3%7C0%7C0%7C638134308447717228%7CUnknown%7CTWFpbGZsb3d8eyJWIjoiMC4wLjAwMDAiLCJQIjoiV2luMzIiLCJBTiI6Ik1haWwiLCJXVCI6Mn0%3D%7C3000%7C%7C%7C&amp;sdata=W7ilMbM9Nm8XMR0eJGL%2BvIcLxYd3HgCf0i9NJdFCXAA%3D&amp;reserved=0"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www.england.nhs.uk/publication/the-nhs-digital-weight-management-programme-patient-leaflets/" TargetMode="External"/><Relationship Id="rId4" Type="http://schemas.openxmlformats.org/officeDocument/2006/relationships/webSettings" Target="webSettings.xml"/><Relationship Id="rId9" Type="http://schemas.openxmlformats.org/officeDocument/2006/relationships/hyperlink" Target="https://saprdnemlcsutraining1.z16.web.core.windows.net/Weight_Mgmt_Programme-Emis_Web/NHSEngland_-_Referral_to_Digital_Weight_Management_Program_Process_-_Emis_Web.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9" ma:contentTypeDescription="Create a new document." ma:contentTypeScope="" ma:versionID="b2e6ba75ccedad0b63e3a2a319086bad">
  <xsd:schema xmlns:xsd="http://www.w3.org/2001/XMLSchema" xmlns:xs="http://www.w3.org/2001/XMLSchema" xmlns:p="http://schemas.microsoft.com/office/2006/metadata/properties" xmlns:ns1="http://schemas.microsoft.com/sharepoint/v3" xmlns:ns2="c04a05b0-b5dd-407d-9aec-7b903f7b628f" xmlns:ns3="f701f9b7-db48-47d9-8c7b-b43882fe4997" xmlns:ns4="cccaf3ac-2de9-44d4-aa31-54302fceb5f7" targetNamespace="http://schemas.microsoft.com/office/2006/metadata/properties" ma:root="true" ma:fieldsID="bfe4fade2865d40beb7ea1339ecf2be9" ns1:_="" ns2:_="" ns3:_="" ns4:_="">
    <xsd:import namespace="http://schemas.microsoft.com/sharepoint/v3"/>
    <xsd:import namespace="c04a05b0-b5dd-407d-9aec-7b903f7b628f"/>
    <xsd:import namespace="f701f9b7-db48-47d9-8c7b-b43882fe4997"/>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ae4b6b-6312-405e-904a-09fea6caedeb}" ma:internalName="TaxCatchAll" ma:showField="CatchAllData" ma:web="f701f9b7-db48-47d9-8c7b-b43882fe49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04a05b0-b5dd-407d-9aec-7b903f7b628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9B68C6-8B3C-40F6-936D-DD3950D0A1B5}"/>
</file>

<file path=customXml/itemProps2.xml><?xml version="1.0" encoding="utf-8"?>
<ds:datastoreItem xmlns:ds="http://schemas.openxmlformats.org/officeDocument/2006/customXml" ds:itemID="{E2D8AAED-BE04-4523-ACFC-5186685569C0}"/>
</file>

<file path=customXml/itemProps3.xml><?xml version="1.0" encoding="utf-8"?>
<ds:datastoreItem xmlns:ds="http://schemas.openxmlformats.org/officeDocument/2006/customXml" ds:itemID="{042F3D6F-29D3-4691-BCF7-C28D98DDF20D}"/>
</file>

<file path=docProps/app.xml><?xml version="1.0" encoding="utf-8"?>
<Properties xmlns="http://schemas.openxmlformats.org/officeDocument/2006/extended-properties" xmlns:vt="http://schemas.openxmlformats.org/officeDocument/2006/docPropsVTypes">
  <Template>Normal</Template>
  <TotalTime>187</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Patterson</dc:creator>
  <cp:keywords/>
  <dc:description/>
  <cp:lastModifiedBy>Hayley Patterson</cp:lastModifiedBy>
  <cp:revision>25</cp:revision>
  <dcterms:created xsi:type="dcterms:W3CDTF">2023-03-03T14:51:00Z</dcterms:created>
  <dcterms:modified xsi:type="dcterms:W3CDTF">2023-06-23T10:21:00Z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0x010100E23267B80491144BBC2F5FB910FA53ED</vt:lpwstr>
  </property>
  <property fmtid="{D5CDD505-2E9C-101B-9397-08002B2CF9AE}" pid="3" name="MediaServiceImageTags">
    <vt:lpwstr/>
  </property>
</Properties>
</file>