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5AF77" w14:textId="6D4CE377" w:rsidR="00B14A74" w:rsidRPr="003F6082" w:rsidRDefault="00B14A74" w:rsidP="00B14A74">
      <w:pPr>
        <w:rPr>
          <w:rFonts w:eastAsia="Times New Roman" w:cs="Arial"/>
          <w:kern w:val="0"/>
          <w:lang w:eastAsia="en-GB"/>
          <w14:ligatures w14:val="none"/>
        </w:rPr>
      </w:pPr>
    </w:p>
    <w:p w14:paraId="73E90E11" w14:textId="77777777" w:rsidR="00B14A74" w:rsidRPr="003F6082" w:rsidRDefault="00B14A74" w:rsidP="00B14A74">
      <w:pPr>
        <w:pStyle w:val="Heading2"/>
        <w:rPr>
          <w:rFonts w:ascii="Arial" w:eastAsia="Times New Roman" w:hAnsi="Arial" w:cs="Arial"/>
          <w:b/>
          <w:bCs/>
          <w:color w:val="auto"/>
          <w:sz w:val="24"/>
          <w:szCs w:val="24"/>
          <w:lang w:eastAsia="en-GB"/>
        </w:rPr>
      </w:pPr>
      <w:r w:rsidRPr="003F6082">
        <w:rPr>
          <w:rFonts w:ascii="Arial" w:eastAsia="Times New Roman" w:hAnsi="Arial" w:cs="Arial"/>
          <w:b/>
          <w:bCs/>
          <w:color w:val="auto"/>
          <w:sz w:val="24"/>
          <w:szCs w:val="24"/>
          <w:lang w:eastAsia="en-GB"/>
        </w:rPr>
        <w:t>Update on York and North Yorkshire Adult Autism and ADHD Assessments</w:t>
      </w:r>
    </w:p>
    <w:p w14:paraId="61051926" w14:textId="2378FE66" w:rsidR="00B14A74" w:rsidRPr="003F6082" w:rsidRDefault="00B14A74" w:rsidP="00B14A74">
      <w:pPr>
        <w:spacing w:before="100" w:beforeAutospacing="1" w:after="100" w:afterAutospacing="1"/>
        <w:rPr>
          <w:rFonts w:eastAsia="Times New Roman" w:cs="Arial"/>
          <w:kern w:val="0"/>
          <w:lang w:eastAsia="en-GB"/>
          <w14:ligatures w14:val="none"/>
        </w:rPr>
      </w:pPr>
      <w:r w:rsidRPr="003F6082">
        <w:rPr>
          <w:rFonts w:eastAsia="Times New Roman" w:cs="Arial"/>
          <w:kern w:val="0"/>
          <w:lang w:eastAsia="en-GB"/>
          <w14:ligatures w14:val="none"/>
        </w:rPr>
        <w:t xml:space="preserve">In April 2023, we started to test out a new way of assessing adults for </w:t>
      </w:r>
      <w:r w:rsidR="005B474D" w:rsidRPr="003F6082">
        <w:rPr>
          <w:rFonts w:eastAsia="Times New Roman" w:cs="Arial"/>
          <w:kern w:val="0"/>
          <w:lang w:eastAsia="en-GB"/>
          <w14:ligatures w14:val="none"/>
        </w:rPr>
        <w:t>A</w:t>
      </w:r>
      <w:r w:rsidRPr="003F6082">
        <w:rPr>
          <w:rFonts w:eastAsia="Times New Roman" w:cs="Arial"/>
          <w:kern w:val="0"/>
          <w:lang w:eastAsia="en-GB"/>
          <w14:ligatures w14:val="none"/>
        </w:rPr>
        <w:t>utism and ADHD. This pilot program ended in June 2024. Here are the key changes:</w:t>
      </w:r>
    </w:p>
    <w:p w14:paraId="2F928E41" w14:textId="6CE4D83D" w:rsidR="00B14A74" w:rsidRPr="003F6082" w:rsidRDefault="00B14A74" w:rsidP="004139EC">
      <w:pPr>
        <w:spacing w:before="100" w:beforeAutospacing="1" w:after="100" w:afterAutospacing="1"/>
        <w:rPr>
          <w:rFonts w:eastAsia="Times New Roman" w:cs="Arial"/>
          <w:kern w:val="0"/>
          <w:lang w:eastAsia="en-GB"/>
          <w14:ligatures w14:val="none"/>
        </w:rPr>
      </w:pPr>
      <w:r w:rsidRPr="003F6082">
        <w:rPr>
          <w:rFonts w:eastAsia="Times New Roman" w:cs="Arial"/>
          <w:b/>
          <w:bCs/>
          <w:kern w:val="0"/>
          <w:lang w:eastAsia="en-GB"/>
          <w14:ligatures w14:val="none"/>
        </w:rPr>
        <w:t xml:space="preserve">Why </w:t>
      </w:r>
      <w:r w:rsidR="00CD4FD7" w:rsidRPr="003F6082">
        <w:rPr>
          <w:rFonts w:eastAsia="Times New Roman" w:cs="Arial"/>
          <w:b/>
          <w:bCs/>
          <w:kern w:val="0"/>
          <w:lang w:eastAsia="en-GB"/>
          <w14:ligatures w14:val="none"/>
        </w:rPr>
        <w:t>W</w:t>
      </w:r>
      <w:r w:rsidRPr="003F6082">
        <w:rPr>
          <w:rFonts w:eastAsia="Times New Roman" w:cs="Arial"/>
          <w:b/>
          <w:bCs/>
          <w:kern w:val="0"/>
          <w:lang w:eastAsia="en-GB"/>
          <w14:ligatures w14:val="none"/>
        </w:rPr>
        <w:t xml:space="preserve">e </w:t>
      </w:r>
      <w:r w:rsidR="00CD4FD7" w:rsidRPr="003F6082">
        <w:rPr>
          <w:rFonts w:eastAsia="Times New Roman" w:cs="Arial"/>
          <w:b/>
          <w:bCs/>
          <w:kern w:val="0"/>
          <w:lang w:eastAsia="en-GB"/>
          <w14:ligatures w14:val="none"/>
        </w:rPr>
        <w:t>H</w:t>
      </w:r>
      <w:r w:rsidRPr="003F6082">
        <w:rPr>
          <w:rFonts w:eastAsia="Times New Roman" w:cs="Arial"/>
          <w:b/>
          <w:bCs/>
          <w:kern w:val="0"/>
          <w:lang w:eastAsia="en-GB"/>
          <w14:ligatures w14:val="none"/>
        </w:rPr>
        <w:t xml:space="preserve">ad to </w:t>
      </w:r>
      <w:r w:rsidR="00CD4FD7" w:rsidRPr="003F6082">
        <w:rPr>
          <w:rFonts w:eastAsia="Times New Roman" w:cs="Arial"/>
          <w:b/>
          <w:bCs/>
          <w:kern w:val="0"/>
          <w:lang w:eastAsia="en-GB"/>
          <w14:ligatures w14:val="none"/>
        </w:rPr>
        <w:t>M</w:t>
      </w:r>
      <w:r w:rsidRPr="003F6082">
        <w:rPr>
          <w:rFonts w:eastAsia="Times New Roman" w:cs="Arial"/>
          <w:b/>
          <w:bCs/>
          <w:kern w:val="0"/>
          <w:lang w:eastAsia="en-GB"/>
          <w14:ligatures w14:val="none"/>
        </w:rPr>
        <w:t xml:space="preserve">ake </w:t>
      </w:r>
      <w:r w:rsidR="00CD4FD7" w:rsidRPr="003F6082">
        <w:rPr>
          <w:rFonts w:eastAsia="Times New Roman" w:cs="Arial"/>
          <w:b/>
          <w:bCs/>
          <w:kern w:val="0"/>
          <w:lang w:eastAsia="en-GB"/>
          <w14:ligatures w14:val="none"/>
        </w:rPr>
        <w:t>C</w:t>
      </w:r>
      <w:r w:rsidRPr="003F6082">
        <w:rPr>
          <w:rFonts w:eastAsia="Times New Roman" w:cs="Arial"/>
          <w:b/>
          <w:bCs/>
          <w:kern w:val="0"/>
          <w:lang w:eastAsia="en-GB"/>
          <w14:ligatures w14:val="none"/>
        </w:rPr>
        <w:t>hanges</w:t>
      </w:r>
    </w:p>
    <w:p w14:paraId="24681DB8" w14:textId="4839571F" w:rsidR="00B14A74" w:rsidRPr="003F6082" w:rsidRDefault="005B474D" w:rsidP="005B474D">
      <w:pPr>
        <w:numPr>
          <w:ilvl w:val="0"/>
          <w:numId w:val="3"/>
        </w:numPr>
        <w:spacing w:before="100" w:beforeAutospacing="1" w:after="100" w:afterAutospacing="1"/>
        <w:rPr>
          <w:rFonts w:eastAsia="Times New Roman" w:cs="Arial"/>
          <w:kern w:val="0"/>
          <w:lang w:eastAsia="en-GB"/>
          <w14:ligatures w14:val="none"/>
        </w:rPr>
      </w:pPr>
      <w:r w:rsidRPr="003F6082">
        <w:rPr>
          <w:rFonts w:eastAsia="Times New Roman" w:cs="Arial"/>
          <w:kern w:val="0"/>
          <w:lang w:eastAsia="en-GB"/>
          <w14:ligatures w14:val="none"/>
        </w:rPr>
        <w:t>Because of the significant increase in demand for assessments, the</w:t>
      </w:r>
      <w:r w:rsidR="00B14A74" w:rsidRPr="003F6082">
        <w:rPr>
          <w:rFonts w:eastAsia="Times New Roman" w:cs="Arial"/>
          <w:kern w:val="0"/>
          <w:lang w:eastAsia="en-GB"/>
          <w14:ligatures w14:val="none"/>
        </w:rPr>
        <w:t xml:space="preserve"> service was at risk of closing </w:t>
      </w:r>
      <w:r w:rsidRPr="003F6082">
        <w:rPr>
          <w:rFonts w:eastAsia="Times New Roman" w:cs="Arial"/>
          <w:kern w:val="0"/>
          <w:lang w:eastAsia="en-GB"/>
          <w14:ligatures w14:val="none"/>
        </w:rPr>
        <w:t xml:space="preserve">to new referrals, </w:t>
      </w:r>
      <w:r w:rsidR="00B14A74" w:rsidRPr="003F6082">
        <w:rPr>
          <w:rFonts w:eastAsia="Times New Roman" w:cs="Arial"/>
          <w:kern w:val="0"/>
          <w:lang w:eastAsia="en-GB"/>
          <w14:ligatures w14:val="none"/>
        </w:rPr>
        <w:t xml:space="preserve">or the </w:t>
      </w:r>
      <w:r w:rsidRPr="003F6082">
        <w:rPr>
          <w:rFonts w:eastAsia="Times New Roman" w:cs="Arial"/>
          <w:kern w:val="0"/>
          <w:lang w:eastAsia="en-GB"/>
          <w14:ligatures w14:val="none"/>
        </w:rPr>
        <w:t>P</w:t>
      </w:r>
      <w:r w:rsidR="00B14A74" w:rsidRPr="003F6082">
        <w:rPr>
          <w:rFonts w:eastAsia="Times New Roman" w:cs="Arial"/>
          <w:kern w:val="0"/>
          <w:lang w:eastAsia="en-GB"/>
          <w14:ligatures w14:val="none"/>
        </w:rPr>
        <w:t>rovider stopping their contract.</w:t>
      </w:r>
    </w:p>
    <w:p w14:paraId="4948E7F8" w14:textId="515FBA05" w:rsidR="00B14A74" w:rsidRPr="003F6082" w:rsidRDefault="00B14A74" w:rsidP="005B474D">
      <w:pPr>
        <w:numPr>
          <w:ilvl w:val="0"/>
          <w:numId w:val="3"/>
        </w:numPr>
        <w:spacing w:before="100" w:beforeAutospacing="1" w:after="100" w:afterAutospacing="1"/>
        <w:rPr>
          <w:rFonts w:eastAsia="Times New Roman" w:cs="Arial"/>
          <w:kern w:val="0"/>
          <w:lang w:eastAsia="en-GB"/>
          <w14:ligatures w14:val="none"/>
        </w:rPr>
      </w:pPr>
      <w:r w:rsidRPr="003F6082">
        <w:rPr>
          <w:rFonts w:eastAsia="Times New Roman" w:cs="Arial"/>
          <w:kern w:val="0"/>
          <w:lang w:eastAsia="en-GB"/>
          <w14:ligatures w14:val="none"/>
        </w:rPr>
        <w:t xml:space="preserve">The ICB (Integrated Care Board) had to act quickly to keep the service </w:t>
      </w:r>
      <w:r w:rsidR="00ED66A2" w:rsidRPr="003F6082">
        <w:rPr>
          <w:rFonts w:eastAsia="Times New Roman" w:cs="Arial"/>
          <w:kern w:val="0"/>
          <w:lang w:eastAsia="en-GB"/>
          <w14:ligatures w14:val="none"/>
        </w:rPr>
        <w:t xml:space="preserve">open and </w:t>
      </w:r>
      <w:r w:rsidRPr="003F6082">
        <w:rPr>
          <w:rFonts w:eastAsia="Times New Roman" w:cs="Arial"/>
          <w:kern w:val="0"/>
          <w:lang w:eastAsia="en-GB"/>
          <w14:ligatures w14:val="none"/>
        </w:rPr>
        <w:t>running safely.</w:t>
      </w:r>
    </w:p>
    <w:p w14:paraId="0CF803EB" w14:textId="77722FB2" w:rsidR="00B14A74" w:rsidRPr="003F6082" w:rsidRDefault="00B14A74" w:rsidP="005B474D">
      <w:pPr>
        <w:numPr>
          <w:ilvl w:val="0"/>
          <w:numId w:val="3"/>
        </w:numPr>
        <w:spacing w:before="100" w:beforeAutospacing="1" w:after="100" w:afterAutospacing="1"/>
        <w:rPr>
          <w:rFonts w:eastAsia="Times New Roman" w:cs="Arial"/>
          <w:kern w:val="0"/>
          <w:lang w:eastAsia="en-GB"/>
          <w14:ligatures w14:val="none"/>
        </w:rPr>
      </w:pPr>
      <w:r w:rsidRPr="003F6082">
        <w:rPr>
          <w:rFonts w:eastAsia="Times New Roman" w:cs="Arial"/>
          <w:kern w:val="0"/>
          <w:lang w:eastAsia="en-GB"/>
          <w14:ligatures w14:val="none"/>
        </w:rPr>
        <w:t>The pilot allowed the ICB to test, evaluate, and improve the assessment process</w:t>
      </w:r>
      <w:r w:rsidR="005B474D" w:rsidRPr="003F6082">
        <w:rPr>
          <w:rFonts w:eastAsia="Times New Roman" w:cs="Arial"/>
          <w:kern w:val="0"/>
          <w:lang w:eastAsia="en-GB"/>
          <w14:ligatures w14:val="none"/>
        </w:rPr>
        <w:t xml:space="preserve"> so that it prioritised </w:t>
      </w:r>
      <w:r w:rsidR="00ED66A2" w:rsidRPr="003F6082">
        <w:rPr>
          <w:rFonts w:eastAsia="Times New Roman" w:cs="Arial"/>
          <w:kern w:val="0"/>
          <w:lang w:eastAsia="en-GB"/>
          <w14:ligatures w14:val="none"/>
        </w:rPr>
        <w:t xml:space="preserve">access for </w:t>
      </w:r>
      <w:r w:rsidR="005B474D" w:rsidRPr="003F6082">
        <w:rPr>
          <w:rFonts w:eastAsia="Times New Roman" w:cs="Arial"/>
          <w:kern w:val="0"/>
          <w:lang w:eastAsia="en-GB"/>
          <w14:ligatures w14:val="none"/>
        </w:rPr>
        <w:t xml:space="preserve">those </w:t>
      </w:r>
      <w:r w:rsidR="00ED66A2" w:rsidRPr="003F6082">
        <w:rPr>
          <w:rFonts w:eastAsia="Times New Roman" w:cs="Arial"/>
          <w:kern w:val="0"/>
          <w:lang w:eastAsia="en-GB"/>
          <w14:ligatures w14:val="none"/>
        </w:rPr>
        <w:t xml:space="preserve">people </w:t>
      </w:r>
      <w:r w:rsidR="005B474D" w:rsidRPr="003F6082">
        <w:rPr>
          <w:rFonts w:eastAsia="Times New Roman" w:cs="Arial"/>
          <w:kern w:val="0"/>
          <w:lang w:eastAsia="en-GB"/>
          <w14:ligatures w14:val="none"/>
        </w:rPr>
        <w:t xml:space="preserve">with the greatest need, </w:t>
      </w:r>
      <w:r w:rsidR="00360869" w:rsidRPr="003F6082">
        <w:rPr>
          <w:rFonts w:eastAsia="Times New Roman" w:cs="Arial"/>
          <w:kern w:val="0"/>
          <w:lang w:eastAsia="en-GB"/>
          <w14:ligatures w14:val="none"/>
        </w:rPr>
        <w:t>whilst</w:t>
      </w:r>
      <w:r w:rsidR="005B474D" w:rsidRPr="003F6082">
        <w:rPr>
          <w:rFonts w:eastAsia="Times New Roman" w:cs="Arial"/>
          <w:kern w:val="0"/>
          <w:lang w:eastAsia="en-GB"/>
          <w14:ligatures w14:val="none"/>
        </w:rPr>
        <w:t xml:space="preserve"> also </w:t>
      </w:r>
      <w:r w:rsidR="00ED66A2" w:rsidRPr="003F6082">
        <w:rPr>
          <w:rFonts w:eastAsia="Times New Roman" w:cs="Arial"/>
          <w:kern w:val="0"/>
          <w:lang w:eastAsia="en-GB"/>
          <w14:ligatures w14:val="none"/>
        </w:rPr>
        <w:t>provid</w:t>
      </w:r>
      <w:r w:rsidR="00360869" w:rsidRPr="003F6082">
        <w:rPr>
          <w:rFonts w:eastAsia="Times New Roman" w:cs="Arial"/>
          <w:kern w:val="0"/>
          <w:lang w:eastAsia="en-GB"/>
          <w14:ligatures w14:val="none"/>
        </w:rPr>
        <w:t>ing</w:t>
      </w:r>
      <w:r w:rsidR="00ED66A2" w:rsidRPr="003F6082">
        <w:rPr>
          <w:rFonts w:eastAsia="Times New Roman" w:cs="Arial"/>
          <w:kern w:val="0"/>
          <w:lang w:eastAsia="en-GB"/>
          <w14:ligatures w14:val="none"/>
        </w:rPr>
        <w:t xml:space="preserve"> access to a waiting list and support for everybody who wants to access an assessment.</w:t>
      </w:r>
    </w:p>
    <w:p w14:paraId="21BAF449" w14:textId="32E6A95B" w:rsidR="00B14A74" w:rsidRPr="003F6082" w:rsidRDefault="00ED66A2" w:rsidP="005B474D">
      <w:pPr>
        <w:numPr>
          <w:ilvl w:val="0"/>
          <w:numId w:val="3"/>
        </w:numPr>
        <w:spacing w:before="100" w:beforeAutospacing="1" w:after="100" w:afterAutospacing="1"/>
        <w:rPr>
          <w:rFonts w:eastAsia="Times New Roman" w:cs="Arial"/>
          <w:kern w:val="0"/>
          <w:lang w:eastAsia="en-GB"/>
          <w14:ligatures w14:val="none"/>
        </w:rPr>
      </w:pPr>
      <w:r w:rsidRPr="003F6082">
        <w:rPr>
          <w:rFonts w:eastAsia="Times New Roman" w:cs="Arial"/>
          <w:kern w:val="0"/>
          <w:lang w:eastAsia="en-GB"/>
          <w14:ligatures w14:val="none"/>
        </w:rPr>
        <w:t>Feedback</w:t>
      </w:r>
      <w:r w:rsidR="00B14A74" w:rsidRPr="003F6082">
        <w:rPr>
          <w:rFonts w:eastAsia="Times New Roman" w:cs="Arial"/>
          <w:kern w:val="0"/>
          <w:lang w:eastAsia="en-GB"/>
          <w14:ligatures w14:val="none"/>
        </w:rPr>
        <w:t xml:space="preserve"> from people who use the service</w:t>
      </w:r>
      <w:r w:rsidRPr="003F6082">
        <w:rPr>
          <w:rFonts w:eastAsia="Times New Roman" w:cs="Arial"/>
          <w:kern w:val="0"/>
          <w:lang w:eastAsia="en-GB"/>
          <w14:ligatures w14:val="none"/>
        </w:rPr>
        <w:t xml:space="preserve"> and from clinical professionals made it clear that the service needed to </w:t>
      </w:r>
      <w:r w:rsidR="00B14A74" w:rsidRPr="003F6082">
        <w:rPr>
          <w:rFonts w:eastAsia="Times New Roman" w:cs="Arial"/>
          <w:kern w:val="0"/>
          <w:lang w:eastAsia="en-GB"/>
          <w14:ligatures w14:val="none"/>
        </w:rPr>
        <w:t>change</w:t>
      </w:r>
      <w:r w:rsidRPr="003F6082">
        <w:rPr>
          <w:rFonts w:eastAsia="Times New Roman" w:cs="Arial"/>
          <w:kern w:val="0"/>
          <w:lang w:eastAsia="en-GB"/>
          <w14:ligatures w14:val="none"/>
        </w:rPr>
        <w:t xml:space="preserve"> in order to manage increasing demand.</w:t>
      </w:r>
    </w:p>
    <w:p w14:paraId="4304DFC7" w14:textId="2F5A1BD5" w:rsidR="00B14A74" w:rsidRPr="003F6082" w:rsidRDefault="00D60DF9" w:rsidP="004139EC">
      <w:pPr>
        <w:spacing w:before="100" w:beforeAutospacing="1" w:after="100" w:afterAutospacing="1"/>
        <w:rPr>
          <w:rFonts w:eastAsia="Times New Roman" w:cs="Arial"/>
          <w:kern w:val="0"/>
          <w:lang w:eastAsia="en-GB"/>
          <w14:ligatures w14:val="none"/>
        </w:rPr>
      </w:pPr>
      <w:r w:rsidRPr="003F6082">
        <w:rPr>
          <w:rFonts w:eastAsia="Times New Roman" w:cs="Arial"/>
          <w:b/>
          <w:bCs/>
          <w:kern w:val="0"/>
          <w:lang w:eastAsia="en-GB"/>
          <w14:ligatures w14:val="none"/>
        </w:rPr>
        <w:t xml:space="preserve">The </w:t>
      </w:r>
      <w:r w:rsidR="00CD4FD7" w:rsidRPr="003F6082">
        <w:rPr>
          <w:rFonts w:eastAsia="Times New Roman" w:cs="Arial"/>
          <w:b/>
          <w:bCs/>
          <w:kern w:val="0"/>
          <w:lang w:eastAsia="en-GB"/>
          <w14:ligatures w14:val="none"/>
        </w:rPr>
        <w:t>F</w:t>
      </w:r>
      <w:r w:rsidR="00B14A74" w:rsidRPr="003F6082">
        <w:rPr>
          <w:rFonts w:eastAsia="Times New Roman" w:cs="Arial"/>
          <w:b/>
          <w:bCs/>
          <w:kern w:val="0"/>
          <w:lang w:eastAsia="en-GB"/>
          <w14:ligatures w14:val="none"/>
        </w:rPr>
        <w:t xml:space="preserve">eedback and </w:t>
      </w:r>
      <w:r w:rsidR="00CD4FD7" w:rsidRPr="003F6082">
        <w:rPr>
          <w:rFonts w:eastAsia="Times New Roman" w:cs="Arial"/>
          <w:b/>
          <w:bCs/>
          <w:kern w:val="0"/>
          <w:lang w:eastAsia="en-GB"/>
          <w14:ligatures w14:val="none"/>
        </w:rPr>
        <w:t>I</w:t>
      </w:r>
      <w:r w:rsidR="00B14A74" w:rsidRPr="003F6082">
        <w:rPr>
          <w:rFonts w:eastAsia="Times New Roman" w:cs="Arial"/>
          <w:b/>
          <w:bCs/>
          <w:kern w:val="0"/>
          <w:lang w:eastAsia="en-GB"/>
          <w14:ligatures w14:val="none"/>
        </w:rPr>
        <w:t>nsights</w:t>
      </w:r>
      <w:r w:rsidRPr="003F6082">
        <w:rPr>
          <w:rFonts w:eastAsia="Times New Roman" w:cs="Arial"/>
          <w:b/>
          <w:bCs/>
          <w:kern w:val="0"/>
          <w:lang w:eastAsia="en-GB"/>
          <w14:ligatures w14:val="none"/>
        </w:rPr>
        <w:t xml:space="preserve"> that </w:t>
      </w:r>
      <w:r w:rsidR="00CD4FD7" w:rsidRPr="003F6082">
        <w:rPr>
          <w:rFonts w:eastAsia="Times New Roman" w:cs="Arial"/>
          <w:b/>
          <w:bCs/>
          <w:kern w:val="0"/>
          <w:lang w:eastAsia="en-GB"/>
          <w14:ligatures w14:val="none"/>
        </w:rPr>
        <w:t>H</w:t>
      </w:r>
      <w:r w:rsidRPr="003F6082">
        <w:rPr>
          <w:rFonts w:eastAsia="Times New Roman" w:cs="Arial"/>
          <w:b/>
          <w:bCs/>
          <w:kern w:val="0"/>
          <w:lang w:eastAsia="en-GB"/>
          <w14:ligatures w14:val="none"/>
        </w:rPr>
        <w:t xml:space="preserve">elped us </w:t>
      </w:r>
      <w:r w:rsidR="00360869" w:rsidRPr="003F6082">
        <w:rPr>
          <w:rFonts w:eastAsia="Times New Roman" w:cs="Arial"/>
          <w:b/>
          <w:bCs/>
          <w:kern w:val="0"/>
          <w:lang w:eastAsia="en-GB"/>
          <w14:ligatures w14:val="none"/>
        </w:rPr>
        <w:t xml:space="preserve">to </w:t>
      </w:r>
      <w:r w:rsidR="00CD4FD7" w:rsidRPr="003F6082">
        <w:rPr>
          <w:rFonts w:eastAsia="Times New Roman" w:cs="Arial"/>
          <w:b/>
          <w:bCs/>
          <w:kern w:val="0"/>
          <w:lang w:eastAsia="en-GB"/>
          <w14:ligatures w14:val="none"/>
        </w:rPr>
        <w:t>D</w:t>
      </w:r>
      <w:r w:rsidRPr="003F6082">
        <w:rPr>
          <w:rFonts w:eastAsia="Times New Roman" w:cs="Arial"/>
          <w:b/>
          <w:bCs/>
          <w:kern w:val="0"/>
          <w:lang w:eastAsia="en-GB"/>
          <w14:ligatures w14:val="none"/>
        </w:rPr>
        <w:t xml:space="preserve">evelop the </w:t>
      </w:r>
      <w:r w:rsidR="00E666B2" w:rsidRPr="003F6082">
        <w:rPr>
          <w:rFonts w:eastAsia="Times New Roman" w:cs="Arial"/>
          <w:b/>
          <w:bCs/>
          <w:kern w:val="0"/>
          <w:lang w:eastAsia="en-GB"/>
          <w14:ligatures w14:val="none"/>
        </w:rPr>
        <w:t>P</w:t>
      </w:r>
      <w:r w:rsidRPr="003F6082">
        <w:rPr>
          <w:rFonts w:eastAsia="Times New Roman" w:cs="Arial"/>
          <w:b/>
          <w:bCs/>
          <w:kern w:val="0"/>
          <w:lang w:eastAsia="en-GB"/>
          <w14:ligatures w14:val="none"/>
        </w:rPr>
        <w:t>athway</w:t>
      </w:r>
    </w:p>
    <w:p w14:paraId="2D09AA57" w14:textId="77777777" w:rsidR="00B14A74" w:rsidRPr="003F6082" w:rsidRDefault="00B14A74" w:rsidP="00B14A74">
      <w:pPr>
        <w:numPr>
          <w:ilvl w:val="0"/>
          <w:numId w:val="3"/>
        </w:numPr>
        <w:spacing w:before="100" w:beforeAutospacing="1" w:after="100" w:afterAutospacing="1"/>
        <w:rPr>
          <w:rFonts w:eastAsia="Times New Roman" w:cs="Arial"/>
          <w:kern w:val="0"/>
          <w:lang w:eastAsia="en-GB"/>
          <w14:ligatures w14:val="none"/>
        </w:rPr>
      </w:pPr>
      <w:r w:rsidRPr="003F6082">
        <w:rPr>
          <w:rFonts w:eastAsia="Times New Roman" w:cs="Arial"/>
          <w:kern w:val="0"/>
          <w:lang w:eastAsia="en-GB"/>
          <w14:ligatures w14:val="none"/>
        </w:rPr>
        <w:t>Healthwatch York evaluated the pilot in August 2023.</w:t>
      </w:r>
    </w:p>
    <w:p w14:paraId="66D8854C" w14:textId="68C087D1" w:rsidR="00B14A74" w:rsidRPr="003F6082" w:rsidRDefault="00B14A74" w:rsidP="00B14A74">
      <w:pPr>
        <w:numPr>
          <w:ilvl w:val="0"/>
          <w:numId w:val="3"/>
        </w:numPr>
        <w:spacing w:before="100" w:beforeAutospacing="1" w:after="100" w:afterAutospacing="1"/>
        <w:rPr>
          <w:rFonts w:eastAsia="Times New Roman" w:cs="Arial"/>
          <w:kern w:val="0"/>
          <w:lang w:eastAsia="en-GB"/>
          <w14:ligatures w14:val="none"/>
        </w:rPr>
      </w:pPr>
      <w:r w:rsidRPr="003F6082">
        <w:rPr>
          <w:rFonts w:eastAsia="Times New Roman" w:cs="Arial"/>
          <w:kern w:val="0"/>
          <w:lang w:eastAsia="en-GB"/>
          <w14:ligatures w14:val="none"/>
        </w:rPr>
        <w:t xml:space="preserve">People with lived experience shared their feedback during </w:t>
      </w:r>
      <w:r w:rsidR="00360869" w:rsidRPr="003F6082">
        <w:rPr>
          <w:rFonts w:eastAsia="Times New Roman" w:cs="Arial"/>
          <w:kern w:val="0"/>
          <w:lang w:eastAsia="en-GB"/>
          <w14:ligatures w14:val="none"/>
        </w:rPr>
        <w:t xml:space="preserve">a programme of </w:t>
      </w:r>
      <w:r w:rsidRPr="003F6082">
        <w:rPr>
          <w:rFonts w:eastAsia="Times New Roman" w:cs="Arial"/>
          <w:kern w:val="0"/>
          <w:lang w:eastAsia="en-GB"/>
          <w14:ligatures w14:val="none"/>
        </w:rPr>
        <w:t>engagement events in December 2023 and April/May 2024.</w:t>
      </w:r>
    </w:p>
    <w:p w14:paraId="0F28675B" w14:textId="043BE7B8" w:rsidR="00D60DF9" w:rsidRPr="003F6082" w:rsidRDefault="00B14A74" w:rsidP="00D60DF9">
      <w:pPr>
        <w:numPr>
          <w:ilvl w:val="0"/>
          <w:numId w:val="3"/>
        </w:numPr>
        <w:spacing w:before="100" w:beforeAutospacing="1" w:after="100" w:afterAutospacing="1"/>
        <w:rPr>
          <w:rFonts w:eastAsia="Times New Roman" w:cs="Arial"/>
          <w:kern w:val="0"/>
          <w:lang w:eastAsia="en-GB"/>
          <w14:ligatures w14:val="none"/>
        </w:rPr>
      </w:pPr>
      <w:r w:rsidRPr="003F6082">
        <w:rPr>
          <w:rFonts w:eastAsia="Times New Roman" w:cs="Arial"/>
          <w:kern w:val="0"/>
          <w:lang w:eastAsia="en-GB"/>
          <w14:ligatures w14:val="none"/>
        </w:rPr>
        <w:t>This feedback directly helped to create the final solutions for the new assessment process.</w:t>
      </w:r>
    </w:p>
    <w:p w14:paraId="71FEB804" w14:textId="1F8CFA40" w:rsidR="00360869" w:rsidRPr="003F6082" w:rsidRDefault="00360869" w:rsidP="00D60DF9">
      <w:pPr>
        <w:spacing w:before="100" w:beforeAutospacing="1" w:after="100" w:afterAutospacing="1"/>
        <w:rPr>
          <w:rFonts w:eastAsia="Times New Roman" w:cs="Arial"/>
          <w:i/>
          <w:iCs/>
          <w:kern w:val="0"/>
          <w:lang w:eastAsia="en-GB"/>
          <w14:ligatures w14:val="none"/>
        </w:rPr>
      </w:pPr>
      <w:r w:rsidRPr="003F6082">
        <w:rPr>
          <w:rFonts w:eastAsia="Times New Roman" w:cs="Arial"/>
          <w:i/>
          <w:iCs/>
          <w:kern w:val="0"/>
          <w:lang w:eastAsia="en-GB"/>
          <w14:ligatures w14:val="none"/>
        </w:rPr>
        <w:t>Engagement with professionals and people with lived experience has driven our learning and the development of the pilot project, and we thank all our stakeholders for taking the time – often in emotive circumstances – to share their stories and give their feedback and suggestions for how we improve the local offer, and how we can continue to work with them in the future.</w:t>
      </w:r>
    </w:p>
    <w:p w14:paraId="43D165C6" w14:textId="16811B3D" w:rsidR="00B14A74" w:rsidRPr="003F6082" w:rsidRDefault="00D60DF9" w:rsidP="00D60DF9">
      <w:pPr>
        <w:spacing w:before="100" w:beforeAutospacing="1" w:after="100" w:afterAutospacing="1"/>
        <w:rPr>
          <w:rFonts w:eastAsia="Times New Roman" w:cs="Arial"/>
          <w:kern w:val="0"/>
          <w:lang w:eastAsia="en-GB"/>
          <w14:ligatures w14:val="none"/>
        </w:rPr>
      </w:pPr>
      <w:r w:rsidRPr="003F6082">
        <w:rPr>
          <w:rFonts w:eastAsia="Times New Roman" w:cs="Arial"/>
          <w:kern w:val="0"/>
          <w:lang w:eastAsia="en-GB"/>
          <w14:ligatures w14:val="none"/>
        </w:rPr>
        <w:t xml:space="preserve">The </w:t>
      </w:r>
      <w:r w:rsidR="00B14A74" w:rsidRPr="003F6082">
        <w:rPr>
          <w:rFonts w:eastAsia="Times New Roman" w:cs="Arial"/>
          <w:kern w:val="0"/>
          <w:lang w:eastAsia="en-GB"/>
          <w14:ligatures w14:val="none"/>
        </w:rPr>
        <w:t>table below shows how feedback influenced the design of the pathway</w:t>
      </w:r>
      <w:r w:rsidRPr="003F6082">
        <w:rPr>
          <w:rFonts w:eastAsia="Times New Roman" w:cs="Arial"/>
          <w:kern w:val="0"/>
          <w:lang w:eastAsia="en-GB"/>
          <w14:ligatures w14:val="none"/>
        </w:rPr>
        <w:t>:</w:t>
      </w:r>
    </w:p>
    <w:tbl>
      <w:tblPr>
        <w:tblStyle w:val="TableGrid"/>
        <w:tblW w:w="0" w:type="auto"/>
        <w:jc w:val="center"/>
        <w:tblLook w:val="04A0" w:firstRow="1" w:lastRow="0" w:firstColumn="1" w:lastColumn="0" w:noHBand="0" w:noVBand="1"/>
      </w:tblPr>
      <w:tblGrid>
        <w:gridCol w:w="4525"/>
        <w:gridCol w:w="4491"/>
      </w:tblGrid>
      <w:tr w:rsidR="003F6082" w:rsidRPr="003F6082" w14:paraId="2053656D" w14:textId="77777777" w:rsidTr="0087473E">
        <w:trPr>
          <w:jc w:val="center"/>
        </w:trPr>
        <w:tc>
          <w:tcPr>
            <w:tcW w:w="4525" w:type="dxa"/>
            <w:shd w:val="clear" w:color="auto" w:fill="D9D9D9" w:themeFill="background1" w:themeFillShade="D9"/>
          </w:tcPr>
          <w:p w14:paraId="1A3DB51B" w14:textId="77777777" w:rsidR="0047537B" w:rsidRPr="003F6082" w:rsidRDefault="0047537B" w:rsidP="00E94474">
            <w:pPr>
              <w:rPr>
                <w:rFonts w:cs="Arial"/>
              </w:rPr>
            </w:pPr>
            <w:r w:rsidRPr="003F6082">
              <w:rPr>
                <w:rFonts w:cs="Arial"/>
              </w:rPr>
              <w:t>You said!</w:t>
            </w:r>
          </w:p>
        </w:tc>
        <w:tc>
          <w:tcPr>
            <w:tcW w:w="4491" w:type="dxa"/>
            <w:shd w:val="clear" w:color="auto" w:fill="D9D9D9" w:themeFill="background1" w:themeFillShade="D9"/>
          </w:tcPr>
          <w:p w14:paraId="4C597E69" w14:textId="77777777" w:rsidR="0047537B" w:rsidRPr="003F6082" w:rsidRDefault="0047537B" w:rsidP="00E94474">
            <w:pPr>
              <w:rPr>
                <w:rFonts w:cs="Arial"/>
              </w:rPr>
            </w:pPr>
            <w:r w:rsidRPr="003F6082">
              <w:rPr>
                <w:rFonts w:cs="Arial"/>
              </w:rPr>
              <w:t>We did!</w:t>
            </w:r>
          </w:p>
        </w:tc>
      </w:tr>
      <w:tr w:rsidR="003F6082" w:rsidRPr="003F6082" w14:paraId="3CD65751" w14:textId="77777777" w:rsidTr="0087473E">
        <w:trPr>
          <w:jc w:val="center"/>
        </w:trPr>
        <w:tc>
          <w:tcPr>
            <w:tcW w:w="4525" w:type="dxa"/>
          </w:tcPr>
          <w:p w14:paraId="3A66D3ED" w14:textId="71D918D8" w:rsidR="0047537B" w:rsidRPr="003F6082" w:rsidRDefault="0047537B" w:rsidP="00E94474">
            <w:pPr>
              <w:rPr>
                <w:rFonts w:cs="Arial"/>
              </w:rPr>
            </w:pPr>
            <w:r w:rsidRPr="003F6082">
              <w:rPr>
                <w:rFonts w:cs="Arial"/>
              </w:rPr>
              <w:t>The referral acceptance criteria on introduction of the pilot barred access to an assessment</w:t>
            </w:r>
            <w:r w:rsidR="008A5E8A" w:rsidRPr="003F6082">
              <w:rPr>
                <w:rFonts w:cs="Arial"/>
              </w:rPr>
              <w:t>.</w:t>
            </w:r>
          </w:p>
          <w:p w14:paraId="15DCEFF6" w14:textId="77777777" w:rsidR="0047537B" w:rsidRPr="003F6082" w:rsidRDefault="0047537B" w:rsidP="00E94474">
            <w:pPr>
              <w:rPr>
                <w:rFonts w:cs="Arial"/>
              </w:rPr>
            </w:pPr>
          </w:p>
        </w:tc>
        <w:tc>
          <w:tcPr>
            <w:tcW w:w="4491" w:type="dxa"/>
          </w:tcPr>
          <w:p w14:paraId="57EE6112" w14:textId="2096E041" w:rsidR="0047537B" w:rsidRPr="003F6082" w:rsidRDefault="00BB0BB8" w:rsidP="00E94474">
            <w:pPr>
              <w:rPr>
                <w:rFonts w:cs="Arial"/>
              </w:rPr>
            </w:pPr>
            <w:r w:rsidRPr="003F6082">
              <w:rPr>
                <w:rFonts w:cs="Arial"/>
              </w:rPr>
              <w:t>The referral acceptance criteria</w:t>
            </w:r>
            <w:r w:rsidR="008A5E8A" w:rsidRPr="003F6082">
              <w:rPr>
                <w:rFonts w:cs="Arial"/>
              </w:rPr>
              <w:t xml:space="preserve"> </w:t>
            </w:r>
            <w:r w:rsidRPr="003F6082">
              <w:rPr>
                <w:rFonts w:cs="Arial"/>
              </w:rPr>
              <w:t>has now been removed from the pathway, meaning that any person who wishes to be referred can access a waiting list to be clinically triaged for assessment.</w:t>
            </w:r>
            <w:r w:rsidR="0047537B" w:rsidRPr="003F6082">
              <w:rPr>
                <w:rFonts w:cs="Arial"/>
              </w:rPr>
              <w:t xml:space="preserve"> </w:t>
            </w:r>
          </w:p>
          <w:p w14:paraId="5CA998C8" w14:textId="77777777" w:rsidR="0087473E" w:rsidRPr="003F6082" w:rsidRDefault="0087473E" w:rsidP="00E94474">
            <w:pPr>
              <w:rPr>
                <w:rFonts w:cs="Arial"/>
              </w:rPr>
            </w:pPr>
          </w:p>
          <w:p w14:paraId="6F0ECBEC" w14:textId="4432D664" w:rsidR="0047537B" w:rsidRPr="003F6082" w:rsidRDefault="0047537B" w:rsidP="00E94474">
            <w:pPr>
              <w:rPr>
                <w:rFonts w:cs="Arial"/>
              </w:rPr>
            </w:pPr>
            <w:r w:rsidRPr="003F6082">
              <w:rPr>
                <w:rFonts w:cs="Arial"/>
              </w:rPr>
              <w:t>The online platform will no longer be used as a screening tool to check referral acceptance criteria</w:t>
            </w:r>
            <w:r w:rsidR="00AD1FC4" w:rsidRPr="003F6082">
              <w:rPr>
                <w:rFonts w:cs="Arial"/>
              </w:rPr>
              <w:t>.</w:t>
            </w:r>
          </w:p>
          <w:p w14:paraId="25B21B84" w14:textId="77777777" w:rsidR="0047537B" w:rsidRPr="003F6082" w:rsidRDefault="0047537B" w:rsidP="00E94474">
            <w:pPr>
              <w:rPr>
                <w:rFonts w:cs="Arial"/>
              </w:rPr>
            </w:pPr>
          </w:p>
        </w:tc>
      </w:tr>
      <w:tr w:rsidR="003F6082" w:rsidRPr="003F6082" w14:paraId="65AABA9C" w14:textId="77777777" w:rsidTr="0087473E">
        <w:trPr>
          <w:jc w:val="center"/>
        </w:trPr>
        <w:tc>
          <w:tcPr>
            <w:tcW w:w="4525" w:type="dxa"/>
          </w:tcPr>
          <w:p w14:paraId="038E7656" w14:textId="77777777" w:rsidR="008A5E8A" w:rsidRPr="003F6082" w:rsidRDefault="008A5E8A" w:rsidP="008A5E8A">
            <w:pPr>
              <w:rPr>
                <w:rFonts w:cs="Arial"/>
              </w:rPr>
            </w:pPr>
            <w:r w:rsidRPr="003F6082">
              <w:rPr>
                <w:rFonts w:cs="Arial"/>
              </w:rPr>
              <w:t>The ‘RAG rating’ approach is confusing.</w:t>
            </w:r>
          </w:p>
          <w:p w14:paraId="012E969F" w14:textId="77777777" w:rsidR="008A5E8A" w:rsidRPr="003F6082" w:rsidRDefault="008A5E8A" w:rsidP="00E94474">
            <w:pPr>
              <w:rPr>
                <w:rFonts w:cs="Arial"/>
              </w:rPr>
            </w:pPr>
          </w:p>
          <w:p w14:paraId="1F5ACAF9" w14:textId="77777777" w:rsidR="008A5E8A" w:rsidRPr="003F6082" w:rsidRDefault="008A5E8A" w:rsidP="00E94474">
            <w:pPr>
              <w:rPr>
                <w:rFonts w:cs="Arial"/>
              </w:rPr>
            </w:pPr>
          </w:p>
          <w:p w14:paraId="36179CBE" w14:textId="77777777" w:rsidR="008A5E8A" w:rsidRPr="003F6082" w:rsidRDefault="008A5E8A" w:rsidP="00E94474">
            <w:pPr>
              <w:rPr>
                <w:rFonts w:cs="Arial"/>
              </w:rPr>
            </w:pPr>
          </w:p>
        </w:tc>
        <w:tc>
          <w:tcPr>
            <w:tcW w:w="4491" w:type="dxa"/>
          </w:tcPr>
          <w:p w14:paraId="3CAC35A9" w14:textId="7152A3A8" w:rsidR="008A5E8A" w:rsidRPr="003F6082" w:rsidRDefault="008A5E8A" w:rsidP="008A5E8A">
            <w:pPr>
              <w:rPr>
                <w:rFonts w:cs="Arial"/>
              </w:rPr>
            </w:pPr>
            <w:r w:rsidRPr="003F6082">
              <w:rPr>
                <w:rFonts w:cs="Arial"/>
              </w:rPr>
              <w:lastRenderedPageBreak/>
              <w:t xml:space="preserve">The screening tool and Red/Amber/Green rating of referrals </w:t>
            </w:r>
            <w:r w:rsidRPr="003F6082">
              <w:rPr>
                <w:rFonts w:cs="Arial"/>
              </w:rPr>
              <w:lastRenderedPageBreak/>
              <w:t>has been removed from the Online Platform.</w:t>
            </w:r>
          </w:p>
          <w:p w14:paraId="42E4FC2A" w14:textId="77777777" w:rsidR="008A5E8A" w:rsidRPr="003F6082" w:rsidRDefault="008A5E8A" w:rsidP="00E94474">
            <w:pPr>
              <w:rPr>
                <w:rFonts w:cs="Arial"/>
              </w:rPr>
            </w:pPr>
          </w:p>
        </w:tc>
      </w:tr>
      <w:tr w:rsidR="003F6082" w:rsidRPr="003F6082" w14:paraId="4BE6339E" w14:textId="77777777" w:rsidTr="0087473E">
        <w:trPr>
          <w:jc w:val="center"/>
        </w:trPr>
        <w:tc>
          <w:tcPr>
            <w:tcW w:w="4525" w:type="dxa"/>
          </w:tcPr>
          <w:p w14:paraId="02BF3732" w14:textId="2B7497A4" w:rsidR="008A5E8A" w:rsidRPr="003F6082" w:rsidRDefault="008A5E8A" w:rsidP="008A5E8A">
            <w:pPr>
              <w:rPr>
                <w:rFonts w:cs="Arial"/>
              </w:rPr>
            </w:pPr>
            <w:r w:rsidRPr="003F6082">
              <w:rPr>
                <w:rFonts w:cs="Arial"/>
              </w:rPr>
              <w:lastRenderedPageBreak/>
              <w:t>The referral process is confusing.</w:t>
            </w:r>
          </w:p>
        </w:tc>
        <w:tc>
          <w:tcPr>
            <w:tcW w:w="4491" w:type="dxa"/>
          </w:tcPr>
          <w:p w14:paraId="35AE27F3" w14:textId="4A1F1E9A" w:rsidR="008A5E8A" w:rsidRPr="003F6082" w:rsidRDefault="008A5E8A" w:rsidP="008A5E8A">
            <w:pPr>
              <w:rPr>
                <w:rFonts w:cs="Arial"/>
              </w:rPr>
            </w:pPr>
            <w:r w:rsidRPr="003F6082">
              <w:rPr>
                <w:rFonts w:cs="Arial"/>
              </w:rPr>
              <w:t>Prioritisation of referrals according to need has been simplified and will now be based on clinical professional judgement by GP</w:t>
            </w:r>
            <w:r w:rsidR="0087473E" w:rsidRPr="003F6082">
              <w:rPr>
                <w:rFonts w:cs="Arial"/>
              </w:rPr>
              <w:t>'</w:t>
            </w:r>
            <w:r w:rsidRPr="003F6082">
              <w:rPr>
                <w:rFonts w:cs="Arial"/>
              </w:rPr>
              <w:t xml:space="preserve">s and Community Mental Health Teams at the start of the pathway, with clear guidelines re. prioritisation. </w:t>
            </w:r>
          </w:p>
          <w:p w14:paraId="350946FD" w14:textId="77777777" w:rsidR="0087473E" w:rsidRPr="003F6082" w:rsidRDefault="0087473E" w:rsidP="008A5E8A">
            <w:pPr>
              <w:rPr>
                <w:rFonts w:cs="Arial"/>
              </w:rPr>
            </w:pPr>
          </w:p>
          <w:p w14:paraId="753F73FC" w14:textId="77777777" w:rsidR="008A5E8A" w:rsidRPr="003F6082" w:rsidRDefault="008A5E8A" w:rsidP="008A5E8A">
            <w:pPr>
              <w:rPr>
                <w:rFonts w:cs="Arial"/>
              </w:rPr>
            </w:pPr>
            <w:r w:rsidRPr="003F6082">
              <w:rPr>
                <w:rFonts w:cs="Arial"/>
              </w:rPr>
              <w:t xml:space="preserve">This is similar in practice to how demand for clinical/specialist treatment is managed across most health conditions, where clinicians are empowered to take different action if a person's needs are ‘urgent’ vs. ‘routine’. </w:t>
            </w:r>
          </w:p>
          <w:p w14:paraId="3AC1F899" w14:textId="77777777" w:rsidR="0087473E" w:rsidRPr="003F6082" w:rsidRDefault="0087473E" w:rsidP="008A5E8A">
            <w:pPr>
              <w:rPr>
                <w:rFonts w:cs="Arial"/>
              </w:rPr>
            </w:pPr>
          </w:p>
          <w:p w14:paraId="0617271F" w14:textId="77777777" w:rsidR="008A5E8A" w:rsidRPr="003F6082" w:rsidRDefault="008A5E8A" w:rsidP="008A5E8A">
            <w:pPr>
              <w:rPr>
                <w:rFonts w:cs="Arial"/>
              </w:rPr>
            </w:pPr>
            <w:r w:rsidRPr="003F6082">
              <w:rPr>
                <w:rFonts w:cs="Arial"/>
              </w:rPr>
              <w:t>All clinically prioritised referrals will go directly to The Retreat via referral forms which have been developed by The Retreat's clinicians.</w:t>
            </w:r>
          </w:p>
          <w:p w14:paraId="7CB521FF" w14:textId="1E517B2B" w:rsidR="00C7279C" w:rsidRPr="003F6082" w:rsidRDefault="00C7279C" w:rsidP="008A5E8A">
            <w:pPr>
              <w:rPr>
                <w:rFonts w:cs="Arial"/>
              </w:rPr>
            </w:pPr>
          </w:p>
        </w:tc>
      </w:tr>
      <w:tr w:rsidR="003F6082" w:rsidRPr="003F6082" w14:paraId="12C8E396" w14:textId="77777777" w:rsidTr="0087473E">
        <w:trPr>
          <w:jc w:val="center"/>
        </w:trPr>
        <w:tc>
          <w:tcPr>
            <w:tcW w:w="4525" w:type="dxa"/>
          </w:tcPr>
          <w:p w14:paraId="3EB03111" w14:textId="1BE4A5F9" w:rsidR="008A5E8A" w:rsidRPr="003F6082" w:rsidRDefault="008A5E8A" w:rsidP="008A5E8A">
            <w:pPr>
              <w:rPr>
                <w:rFonts w:cs="Arial"/>
              </w:rPr>
            </w:pPr>
            <w:r w:rsidRPr="003F6082">
              <w:rPr>
                <w:rFonts w:cs="Arial"/>
              </w:rPr>
              <w:t>How will my routine referral be managed?</w:t>
            </w:r>
          </w:p>
        </w:tc>
        <w:tc>
          <w:tcPr>
            <w:tcW w:w="4491" w:type="dxa"/>
          </w:tcPr>
          <w:p w14:paraId="7BAABA78" w14:textId="439CCC33" w:rsidR="008A5E8A" w:rsidRPr="003F6082" w:rsidRDefault="008A5E8A" w:rsidP="0087473E">
            <w:pPr>
              <w:rPr>
                <w:rFonts w:cs="Arial"/>
              </w:rPr>
            </w:pPr>
            <w:r w:rsidRPr="003F6082">
              <w:rPr>
                <w:rFonts w:cs="Arial"/>
              </w:rPr>
              <w:t>Routine referrals will be managed via the Online Platform. Any person who wishes to access an Autism or ADHD assessment whose needs are not considered to be time sensitive will have the option to complete The Retreat's standard referral form on the Online Platform, where they will join the 'routine' waiting list and be able to access pre-diagnosis functional support while they wait for their referral to be triaged</w:t>
            </w:r>
            <w:r w:rsidR="0087473E" w:rsidRPr="003F6082">
              <w:rPr>
                <w:rFonts w:cs="Arial"/>
              </w:rPr>
              <w:t xml:space="preserve"> when capacity becomes available.</w:t>
            </w:r>
            <w:r w:rsidRPr="003F6082">
              <w:rPr>
                <w:rFonts w:cs="Arial"/>
              </w:rPr>
              <w:t xml:space="preserve"> </w:t>
            </w:r>
          </w:p>
          <w:p w14:paraId="085728E7" w14:textId="41447FB1" w:rsidR="0087473E" w:rsidRPr="003F6082" w:rsidRDefault="0087473E" w:rsidP="0087473E">
            <w:pPr>
              <w:rPr>
                <w:rFonts w:cs="Arial"/>
              </w:rPr>
            </w:pPr>
          </w:p>
        </w:tc>
      </w:tr>
      <w:tr w:rsidR="003F6082" w:rsidRPr="003F6082" w14:paraId="6182D182" w14:textId="77777777" w:rsidTr="0087473E">
        <w:trPr>
          <w:jc w:val="center"/>
        </w:trPr>
        <w:tc>
          <w:tcPr>
            <w:tcW w:w="4525" w:type="dxa"/>
          </w:tcPr>
          <w:p w14:paraId="16FA655D" w14:textId="1EEE5AB0" w:rsidR="008A5E8A" w:rsidRPr="003F6082" w:rsidRDefault="008A5E8A" w:rsidP="008A5E8A">
            <w:pPr>
              <w:rPr>
                <w:rFonts w:cs="Arial"/>
              </w:rPr>
            </w:pPr>
            <w:r w:rsidRPr="003F6082">
              <w:rPr>
                <w:rFonts w:cs="Arial"/>
              </w:rPr>
              <w:t>Waiting lists are too long</w:t>
            </w:r>
            <w:r w:rsidR="00A4399E" w:rsidRPr="003F6082">
              <w:rPr>
                <w:rFonts w:cs="Arial"/>
              </w:rPr>
              <w:t>.</w:t>
            </w:r>
          </w:p>
          <w:p w14:paraId="0595FE13" w14:textId="77777777" w:rsidR="008A5E8A" w:rsidRPr="003F6082" w:rsidRDefault="008A5E8A" w:rsidP="008A5E8A">
            <w:pPr>
              <w:rPr>
                <w:rFonts w:cs="Arial"/>
              </w:rPr>
            </w:pPr>
          </w:p>
        </w:tc>
        <w:tc>
          <w:tcPr>
            <w:tcW w:w="4491" w:type="dxa"/>
          </w:tcPr>
          <w:p w14:paraId="11F12F51" w14:textId="4CBE2165" w:rsidR="008703F0" w:rsidRPr="003F6082" w:rsidRDefault="008A5E8A" w:rsidP="0087473E">
            <w:pPr>
              <w:rPr>
                <w:rFonts w:cs="Arial"/>
              </w:rPr>
            </w:pPr>
            <w:r w:rsidRPr="003F6082">
              <w:rPr>
                <w:rFonts w:cs="Arial"/>
              </w:rPr>
              <w:t xml:space="preserve">It is acknowledged that 'routine' wait times are currently much longer than we would normally aim to achieve, and steps </w:t>
            </w:r>
            <w:r w:rsidR="0087473E" w:rsidRPr="003F6082">
              <w:rPr>
                <w:rFonts w:cs="Arial"/>
              </w:rPr>
              <w:t xml:space="preserve">that </w:t>
            </w:r>
            <w:r w:rsidRPr="003F6082">
              <w:rPr>
                <w:rFonts w:cs="Arial"/>
              </w:rPr>
              <w:t xml:space="preserve">are being taken to maximise the capacity available for triage and assessment </w:t>
            </w:r>
            <w:r w:rsidR="008703F0" w:rsidRPr="003F6082">
              <w:rPr>
                <w:rFonts w:cs="Arial"/>
              </w:rPr>
              <w:t xml:space="preserve">include: </w:t>
            </w:r>
          </w:p>
          <w:p w14:paraId="5A3BE95F" w14:textId="77777777" w:rsidR="0087473E" w:rsidRPr="003F6082" w:rsidRDefault="0087473E" w:rsidP="0087473E">
            <w:pPr>
              <w:rPr>
                <w:rFonts w:cs="Arial"/>
              </w:rPr>
            </w:pPr>
          </w:p>
          <w:p w14:paraId="4F8F7989" w14:textId="4CEFFE84" w:rsidR="008703F0" w:rsidRPr="003F6082" w:rsidRDefault="008703F0" w:rsidP="0087473E">
            <w:pPr>
              <w:rPr>
                <w:rFonts w:cs="Arial"/>
              </w:rPr>
            </w:pPr>
            <w:proofErr w:type="spellStart"/>
            <w:r w:rsidRPr="003F6082">
              <w:rPr>
                <w:rFonts w:cs="Arial"/>
              </w:rPr>
              <w:t>i</w:t>
            </w:r>
            <w:proofErr w:type="spellEnd"/>
            <w:r w:rsidRPr="003F6082">
              <w:rPr>
                <w:rFonts w:cs="Arial"/>
              </w:rPr>
              <w:t>) Streamlining The Retreat's Autism assessment process</w:t>
            </w:r>
            <w:r w:rsidR="0087473E" w:rsidRPr="003F6082">
              <w:rPr>
                <w:rFonts w:cs="Arial"/>
              </w:rPr>
              <w:t xml:space="preserve"> to make this significantly quicker – reducing the number of appointments needed.</w:t>
            </w:r>
          </w:p>
          <w:p w14:paraId="64A0393A" w14:textId="77777777" w:rsidR="0087473E" w:rsidRPr="003F6082" w:rsidRDefault="0087473E" w:rsidP="0087473E">
            <w:pPr>
              <w:rPr>
                <w:rFonts w:cs="Arial"/>
              </w:rPr>
            </w:pPr>
          </w:p>
          <w:p w14:paraId="37E47145" w14:textId="2833E75E" w:rsidR="008703F0" w:rsidRPr="003F6082" w:rsidRDefault="008703F0" w:rsidP="0087473E">
            <w:pPr>
              <w:rPr>
                <w:rFonts w:cs="Arial"/>
              </w:rPr>
            </w:pPr>
            <w:r w:rsidRPr="003F6082">
              <w:rPr>
                <w:rFonts w:cs="Arial"/>
              </w:rPr>
              <w:lastRenderedPageBreak/>
              <w:t xml:space="preserve">ii) Use of additional 'waiting list initiative' funding </w:t>
            </w:r>
            <w:r w:rsidR="0087473E" w:rsidRPr="003F6082">
              <w:rPr>
                <w:rFonts w:cs="Arial"/>
              </w:rPr>
              <w:t xml:space="preserve">from the ICB </w:t>
            </w:r>
            <w:r w:rsidRPr="003F6082">
              <w:rPr>
                <w:rFonts w:cs="Arial"/>
              </w:rPr>
              <w:t xml:space="preserve">for additional triage </w:t>
            </w:r>
            <w:r w:rsidR="0087473E" w:rsidRPr="003F6082">
              <w:rPr>
                <w:rFonts w:cs="Arial"/>
              </w:rPr>
              <w:t xml:space="preserve">and assessment </w:t>
            </w:r>
            <w:r w:rsidRPr="003F6082">
              <w:rPr>
                <w:rFonts w:cs="Arial"/>
              </w:rPr>
              <w:t>capacity and addressing pressure points in the service.</w:t>
            </w:r>
          </w:p>
          <w:p w14:paraId="6640DD9E" w14:textId="40672FD8" w:rsidR="0087473E" w:rsidRPr="003F6082" w:rsidRDefault="0087473E" w:rsidP="0087473E">
            <w:pPr>
              <w:rPr>
                <w:rFonts w:cs="Arial"/>
              </w:rPr>
            </w:pPr>
          </w:p>
        </w:tc>
      </w:tr>
      <w:tr w:rsidR="003F6082" w:rsidRPr="003F6082" w14:paraId="738BA87D" w14:textId="77777777" w:rsidTr="0087473E">
        <w:trPr>
          <w:jc w:val="center"/>
        </w:trPr>
        <w:tc>
          <w:tcPr>
            <w:tcW w:w="4525" w:type="dxa"/>
          </w:tcPr>
          <w:p w14:paraId="1B2A78EB" w14:textId="702D2ABB" w:rsidR="008A5E8A" w:rsidRPr="003F6082" w:rsidRDefault="008A5E8A" w:rsidP="008A5E8A">
            <w:pPr>
              <w:rPr>
                <w:rFonts w:cs="Arial"/>
              </w:rPr>
            </w:pPr>
            <w:r w:rsidRPr="003F6082">
              <w:rPr>
                <w:rFonts w:cs="Arial"/>
              </w:rPr>
              <w:lastRenderedPageBreak/>
              <w:t>The online platform is badly organised and does not provide truly unique or personalised advice</w:t>
            </w:r>
            <w:r w:rsidR="00EA5178" w:rsidRPr="003F6082">
              <w:rPr>
                <w:rFonts w:cs="Arial"/>
              </w:rPr>
              <w:t>.</w:t>
            </w:r>
          </w:p>
          <w:p w14:paraId="0C380BF3" w14:textId="77777777" w:rsidR="008A5E8A" w:rsidRPr="003F6082" w:rsidRDefault="008A5E8A" w:rsidP="008A5E8A">
            <w:pPr>
              <w:rPr>
                <w:rFonts w:cs="Arial"/>
              </w:rPr>
            </w:pPr>
          </w:p>
        </w:tc>
        <w:tc>
          <w:tcPr>
            <w:tcW w:w="4491" w:type="dxa"/>
          </w:tcPr>
          <w:p w14:paraId="054AC17D" w14:textId="273D3562" w:rsidR="008A5E8A" w:rsidRPr="003F6082" w:rsidRDefault="008A5E8A" w:rsidP="008A5E8A">
            <w:pPr>
              <w:spacing w:after="200" w:line="276" w:lineRule="auto"/>
              <w:rPr>
                <w:rFonts w:cs="Arial"/>
              </w:rPr>
            </w:pPr>
            <w:r w:rsidRPr="003F6082">
              <w:rPr>
                <w:rFonts w:cs="Arial"/>
              </w:rPr>
              <w:t>The Online Platform is now an additional offer to the commissioned service, rather than a mandatory step to access the commissioned service</w:t>
            </w:r>
            <w:r w:rsidR="00351467" w:rsidRPr="003F6082">
              <w:rPr>
                <w:rFonts w:cs="Arial"/>
              </w:rPr>
              <w:t>.</w:t>
            </w:r>
            <w:r w:rsidRPr="003F6082">
              <w:rPr>
                <w:rFonts w:cs="Arial"/>
              </w:rPr>
              <w:t xml:space="preserve"> </w:t>
            </w:r>
          </w:p>
          <w:p w14:paraId="640A21F0" w14:textId="72E6C443" w:rsidR="00351467" w:rsidRPr="003F6082" w:rsidRDefault="0087473E" w:rsidP="008A5E8A">
            <w:pPr>
              <w:rPr>
                <w:rFonts w:cs="Arial"/>
              </w:rPr>
            </w:pPr>
            <w:r w:rsidRPr="003F6082">
              <w:rPr>
                <w:rFonts w:cs="Arial"/>
              </w:rPr>
              <w:t>T</w:t>
            </w:r>
            <w:r w:rsidR="008A5E8A" w:rsidRPr="003F6082">
              <w:rPr>
                <w:rFonts w:cs="Arial"/>
              </w:rPr>
              <w:t xml:space="preserve">he online platform has </w:t>
            </w:r>
            <w:r w:rsidR="00351467" w:rsidRPr="003F6082">
              <w:rPr>
                <w:rFonts w:cs="Arial"/>
              </w:rPr>
              <w:t>continued to be adapted and revised based on feedback received through</w:t>
            </w:r>
            <w:r w:rsidR="00B43B71" w:rsidRPr="003F6082">
              <w:rPr>
                <w:rFonts w:cs="Arial"/>
              </w:rPr>
              <w:t xml:space="preserve"> the platform itself, and from what we've heard during</w:t>
            </w:r>
            <w:r w:rsidR="00351467" w:rsidRPr="003F6082">
              <w:rPr>
                <w:rFonts w:cs="Arial"/>
              </w:rPr>
              <w:t xml:space="preserve"> the engagement sessions.</w:t>
            </w:r>
            <w:r w:rsidR="00B43B71" w:rsidRPr="003F6082">
              <w:rPr>
                <w:rFonts w:cs="Arial"/>
              </w:rPr>
              <w:br/>
            </w:r>
          </w:p>
          <w:p w14:paraId="7CE1BE54" w14:textId="5A509D8E" w:rsidR="00351467" w:rsidRPr="003F6082" w:rsidRDefault="00351467" w:rsidP="00351467">
            <w:pPr>
              <w:spacing w:after="200" w:line="276" w:lineRule="auto"/>
              <w:rPr>
                <w:rFonts w:cs="Arial"/>
              </w:rPr>
            </w:pPr>
            <w:proofErr w:type="spellStart"/>
            <w:r w:rsidRPr="003F6082">
              <w:rPr>
                <w:rFonts w:cs="Arial"/>
              </w:rPr>
              <w:t>i</w:t>
            </w:r>
            <w:proofErr w:type="spellEnd"/>
            <w:r w:rsidRPr="003F6082">
              <w:rPr>
                <w:rFonts w:cs="Arial"/>
              </w:rPr>
              <w:t xml:space="preserve">) We have made it clearer for users of the Online Platform to understand how to access its different functions - the waiting list for assessment, how to create their 'personal portrait', and how to access functional support. </w:t>
            </w:r>
          </w:p>
          <w:p w14:paraId="7B4F9F43" w14:textId="77777777" w:rsidR="00351467" w:rsidRPr="003F6082" w:rsidRDefault="00351467" w:rsidP="00351467">
            <w:pPr>
              <w:spacing w:after="200" w:line="276" w:lineRule="auto"/>
              <w:rPr>
                <w:rFonts w:cs="Arial"/>
              </w:rPr>
            </w:pPr>
            <w:r w:rsidRPr="003F6082">
              <w:rPr>
                <w:rFonts w:cs="Arial"/>
              </w:rPr>
              <w:t xml:space="preserve">ii) The Retreat's standard referral form is included on the Online Platform to enable (with consent) comprehensive 'patient history' to be entered by users to streamline The Retreat's triage/referral process. </w:t>
            </w:r>
          </w:p>
          <w:p w14:paraId="5D2F1D80" w14:textId="7BE38250" w:rsidR="008A5E8A" w:rsidRPr="003F6082" w:rsidRDefault="00351467" w:rsidP="00C7279C">
            <w:pPr>
              <w:spacing w:after="200" w:line="276" w:lineRule="auto"/>
              <w:rPr>
                <w:rFonts w:cs="Arial"/>
              </w:rPr>
            </w:pPr>
            <w:r w:rsidRPr="003F6082">
              <w:rPr>
                <w:rFonts w:cs="Arial"/>
              </w:rPr>
              <w:t>iii) We will continue to develop, for students choosing to use the Online Platform, the personalised reports which the University of York and York St. John have agreed to accept in reviewing neurodivergent students' requests for academic adjustments and student support plans.</w:t>
            </w:r>
          </w:p>
        </w:tc>
      </w:tr>
      <w:tr w:rsidR="003F6082" w:rsidRPr="003F6082" w14:paraId="32910433" w14:textId="77777777" w:rsidTr="0087473E">
        <w:trPr>
          <w:jc w:val="center"/>
        </w:trPr>
        <w:tc>
          <w:tcPr>
            <w:tcW w:w="4525" w:type="dxa"/>
          </w:tcPr>
          <w:p w14:paraId="38F250FC" w14:textId="7A407BE8" w:rsidR="008A5E8A" w:rsidRPr="003F6082" w:rsidRDefault="008A5E8A" w:rsidP="008A5E8A">
            <w:pPr>
              <w:rPr>
                <w:rFonts w:cs="Arial"/>
              </w:rPr>
            </w:pPr>
            <w:r w:rsidRPr="003F6082">
              <w:rPr>
                <w:rFonts w:cs="Arial"/>
              </w:rPr>
              <w:t xml:space="preserve">The online approach </w:t>
            </w:r>
            <w:r w:rsidR="00B43B71" w:rsidRPr="003F6082">
              <w:rPr>
                <w:rFonts w:cs="Arial"/>
              </w:rPr>
              <w:t>disadvantages</w:t>
            </w:r>
            <w:r w:rsidRPr="003F6082">
              <w:rPr>
                <w:rFonts w:cs="Arial"/>
              </w:rPr>
              <w:t xml:space="preserve"> people who are digitally excluded</w:t>
            </w:r>
            <w:r w:rsidR="00B43B71" w:rsidRPr="003F6082">
              <w:rPr>
                <w:rFonts w:cs="Arial"/>
              </w:rPr>
              <w:t>.</w:t>
            </w:r>
          </w:p>
          <w:p w14:paraId="7E4AC221" w14:textId="77777777" w:rsidR="008A5E8A" w:rsidRPr="003F6082" w:rsidRDefault="008A5E8A" w:rsidP="008A5E8A">
            <w:pPr>
              <w:rPr>
                <w:rFonts w:cs="Arial"/>
              </w:rPr>
            </w:pPr>
          </w:p>
        </w:tc>
        <w:tc>
          <w:tcPr>
            <w:tcW w:w="4491" w:type="dxa"/>
          </w:tcPr>
          <w:p w14:paraId="35607016" w14:textId="2827658B" w:rsidR="008A5E8A" w:rsidRPr="003F6082" w:rsidRDefault="008A5E8A" w:rsidP="008A5E8A">
            <w:pPr>
              <w:rPr>
                <w:rFonts w:cs="Arial"/>
              </w:rPr>
            </w:pPr>
            <w:r w:rsidRPr="003F6082">
              <w:rPr>
                <w:rFonts w:cs="Arial"/>
              </w:rPr>
              <w:t xml:space="preserve">For those without digital access, or </w:t>
            </w:r>
            <w:r w:rsidR="00B43B71" w:rsidRPr="003F6082">
              <w:rPr>
                <w:rFonts w:cs="Arial"/>
              </w:rPr>
              <w:t xml:space="preserve">who </w:t>
            </w:r>
            <w:r w:rsidRPr="003F6082">
              <w:rPr>
                <w:rFonts w:cs="Arial"/>
              </w:rPr>
              <w:t xml:space="preserve">struggle with forms, people are able to join the routine waiting list for assessment by telephoning the York Place Referral Support Service (RSS) team who, with appropriate consent, will add a person's details to the Online </w:t>
            </w:r>
            <w:r w:rsidRPr="003F6082">
              <w:rPr>
                <w:rFonts w:cs="Arial"/>
              </w:rPr>
              <w:lastRenderedPageBreak/>
              <w:t>Platform where the routine waiting list is held.</w:t>
            </w:r>
          </w:p>
          <w:p w14:paraId="621D8B6A" w14:textId="77777777" w:rsidR="00C7279C" w:rsidRPr="003F6082" w:rsidRDefault="00C7279C" w:rsidP="008A5E8A">
            <w:pPr>
              <w:rPr>
                <w:rFonts w:cs="Arial"/>
              </w:rPr>
            </w:pPr>
          </w:p>
          <w:p w14:paraId="73858488" w14:textId="4FB8D694" w:rsidR="008A5E8A" w:rsidRPr="003F6082" w:rsidRDefault="008A5E8A" w:rsidP="008A5E8A">
            <w:pPr>
              <w:rPr>
                <w:rFonts w:cs="Arial"/>
              </w:rPr>
            </w:pPr>
            <w:r w:rsidRPr="003F6082">
              <w:rPr>
                <w:rFonts w:cs="Arial"/>
              </w:rPr>
              <w:t xml:space="preserve">It should be noted that The Retreat will still require a 'patient history' in order to clinically triage these referrals and will invariably have to contact the person for further information at some point. </w:t>
            </w:r>
          </w:p>
          <w:p w14:paraId="4AB303EB" w14:textId="77777777" w:rsidR="00C7279C" w:rsidRPr="003F6082" w:rsidRDefault="00C7279C" w:rsidP="008A5E8A">
            <w:pPr>
              <w:rPr>
                <w:rFonts w:cs="Arial"/>
              </w:rPr>
            </w:pPr>
          </w:p>
          <w:p w14:paraId="3335F0E4" w14:textId="77777777" w:rsidR="008A5E8A" w:rsidRPr="003F6082" w:rsidRDefault="008A5E8A" w:rsidP="008A5E8A">
            <w:pPr>
              <w:spacing w:after="200" w:line="276" w:lineRule="auto"/>
              <w:rPr>
                <w:rFonts w:cs="Arial"/>
              </w:rPr>
            </w:pPr>
            <w:r w:rsidRPr="003F6082">
              <w:rPr>
                <w:rFonts w:cs="Arial"/>
              </w:rPr>
              <w:t xml:space="preserve">We are </w:t>
            </w:r>
            <w:r w:rsidR="0071144D" w:rsidRPr="003F6082">
              <w:rPr>
                <w:rFonts w:cs="Arial"/>
              </w:rPr>
              <w:t xml:space="preserve">also </w:t>
            </w:r>
            <w:r w:rsidRPr="003F6082">
              <w:rPr>
                <w:rFonts w:cs="Arial"/>
              </w:rPr>
              <w:t>exploring options to support neurodivergent people who may struggle to complete forms to provide their 'patient history' – potentially with help from General Practice based Mental Health Practitioners or community-based services.</w:t>
            </w:r>
          </w:p>
          <w:p w14:paraId="15066D05" w14:textId="01721163" w:rsidR="0013323A" w:rsidRPr="003F6082" w:rsidRDefault="0013323A" w:rsidP="008A5E8A">
            <w:pPr>
              <w:spacing w:after="200" w:line="276" w:lineRule="auto"/>
              <w:rPr>
                <w:rFonts w:cs="Arial"/>
              </w:rPr>
            </w:pPr>
            <w:r w:rsidRPr="003F6082">
              <w:rPr>
                <w:rFonts w:cs="Arial"/>
              </w:rPr>
              <w:t>Again, this is similar to how referrals for Hospital elective planned treatment is managed.</w:t>
            </w:r>
          </w:p>
        </w:tc>
      </w:tr>
      <w:tr w:rsidR="003F6082" w:rsidRPr="003F6082" w14:paraId="0FA917B7" w14:textId="77777777" w:rsidTr="0087473E">
        <w:trPr>
          <w:jc w:val="center"/>
        </w:trPr>
        <w:tc>
          <w:tcPr>
            <w:tcW w:w="4525" w:type="dxa"/>
          </w:tcPr>
          <w:p w14:paraId="4314D847" w14:textId="4E8AB1BD" w:rsidR="008703F0" w:rsidRPr="003F6082" w:rsidRDefault="008703F0" w:rsidP="008703F0">
            <w:pPr>
              <w:rPr>
                <w:rFonts w:cs="Arial"/>
              </w:rPr>
            </w:pPr>
            <w:r w:rsidRPr="003F6082">
              <w:rPr>
                <w:rFonts w:cs="Arial"/>
              </w:rPr>
              <w:lastRenderedPageBreak/>
              <w:t>For patients who have been diagnosed with ADHD outside the NHS, shared care arrangements for access to medication do not always work.</w:t>
            </w:r>
          </w:p>
          <w:p w14:paraId="663C3B2A" w14:textId="77777777" w:rsidR="008703F0" w:rsidRPr="003F6082" w:rsidRDefault="008703F0" w:rsidP="008703F0">
            <w:pPr>
              <w:rPr>
                <w:rFonts w:cs="Arial"/>
              </w:rPr>
            </w:pPr>
          </w:p>
        </w:tc>
        <w:tc>
          <w:tcPr>
            <w:tcW w:w="4491" w:type="dxa"/>
          </w:tcPr>
          <w:p w14:paraId="1DCBE01D" w14:textId="74FCAED9" w:rsidR="008703F0" w:rsidRPr="003F6082" w:rsidRDefault="008703F0" w:rsidP="00C7279C">
            <w:pPr>
              <w:rPr>
                <w:rFonts w:cs="Arial"/>
              </w:rPr>
            </w:pPr>
            <w:r w:rsidRPr="003F6082">
              <w:rPr>
                <w:rFonts w:cs="Arial"/>
              </w:rPr>
              <w:t>A revised shared care agreement is now in place, which means that people</w:t>
            </w:r>
            <w:r w:rsidR="0071144D" w:rsidRPr="003F6082">
              <w:rPr>
                <w:rFonts w:cs="Arial"/>
              </w:rPr>
              <w:t xml:space="preserve"> who are</w:t>
            </w:r>
            <w:r w:rsidRPr="003F6082">
              <w:rPr>
                <w:rFonts w:cs="Arial"/>
              </w:rPr>
              <w:t xml:space="preserve"> stable on medication, or diagnosed elsewhere can receive ongoing prescription</w:t>
            </w:r>
            <w:r w:rsidR="0071144D" w:rsidRPr="003F6082">
              <w:rPr>
                <w:rFonts w:cs="Arial"/>
              </w:rPr>
              <w:t>s</w:t>
            </w:r>
            <w:r w:rsidRPr="003F6082">
              <w:rPr>
                <w:rFonts w:cs="Arial"/>
              </w:rPr>
              <w:t xml:space="preserve"> from their GP with specialist oversight by The Retreat</w:t>
            </w:r>
            <w:r w:rsidR="0071144D" w:rsidRPr="003F6082">
              <w:rPr>
                <w:rFonts w:cs="Arial"/>
              </w:rPr>
              <w:t>.</w:t>
            </w:r>
          </w:p>
          <w:p w14:paraId="2FB6B777" w14:textId="50AA3D90" w:rsidR="00C7279C" w:rsidRPr="003F6082" w:rsidRDefault="00C7279C" w:rsidP="00C7279C">
            <w:pPr>
              <w:rPr>
                <w:rFonts w:cs="Arial"/>
              </w:rPr>
            </w:pPr>
          </w:p>
        </w:tc>
      </w:tr>
      <w:tr w:rsidR="003F6082" w:rsidRPr="003F6082" w14:paraId="783B1796" w14:textId="77777777" w:rsidTr="0087473E">
        <w:trPr>
          <w:jc w:val="center"/>
        </w:trPr>
        <w:tc>
          <w:tcPr>
            <w:tcW w:w="4525" w:type="dxa"/>
          </w:tcPr>
          <w:p w14:paraId="72311694" w14:textId="77777777" w:rsidR="008703F0" w:rsidRPr="003F6082" w:rsidRDefault="008703F0" w:rsidP="008703F0">
            <w:pPr>
              <w:rPr>
                <w:rFonts w:cs="Arial"/>
              </w:rPr>
            </w:pPr>
            <w:r w:rsidRPr="003F6082">
              <w:rPr>
                <w:rFonts w:cs="Arial"/>
              </w:rPr>
              <w:t>There is not enough support both pre and post diagnosis.</w:t>
            </w:r>
          </w:p>
          <w:p w14:paraId="2A265C47" w14:textId="77777777" w:rsidR="008703F0" w:rsidRPr="003F6082" w:rsidRDefault="008703F0" w:rsidP="008703F0">
            <w:pPr>
              <w:rPr>
                <w:rFonts w:cs="Arial"/>
              </w:rPr>
            </w:pPr>
          </w:p>
        </w:tc>
        <w:tc>
          <w:tcPr>
            <w:tcW w:w="4491" w:type="dxa"/>
          </w:tcPr>
          <w:p w14:paraId="5FAFD752" w14:textId="5FD704F3" w:rsidR="0071144D" w:rsidRPr="003F6082" w:rsidRDefault="008703F0" w:rsidP="00C7279C">
            <w:pPr>
              <w:rPr>
                <w:rFonts w:cs="Arial"/>
              </w:rPr>
            </w:pPr>
            <w:r w:rsidRPr="003F6082">
              <w:rPr>
                <w:rFonts w:cs="Arial"/>
              </w:rPr>
              <w:t xml:space="preserve">Joint working </w:t>
            </w:r>
            <w:r w:rsidR="00C7279C" w:rsidRPr="003F6082">
              <w:rPr>
                <w:rFonts w:cs="Arial"/>
              </w:rPr>
              <w:t xml:space="preserve">continues </w:t>
            </w:r>
            <w:r w:rsidRPr="003F6082">
              <w:rPr>
                <w:rFonts w:cs="Arial"/>
              </w:rPr>
              <w:t xml:space="preserve">across </w:t>
            </w:r>
            <w:r w:rsidR="0071144D" w:rsidRPr="003F6082">
              <w:rPr>
                <w:rFonts w:cs="Arial"/>
              </w:rPr>
              <w:t xml:space="preserve">the </w:t>
            </w:r>
            <w:r w:rsidRPr="003F6082">
              <w:rPr>
                <w:rFonts w:cs="Arial"/>
              </w:rPr>
              <w:t xml:space="preserve">NHS, </w:t>
            </w:r>
            <w:r w:rsidR="0071144D" w:rsidRPr="003F6082">
              <w:rPr>
                <w:rFonts w:cs="Arial"/>
              </w:rPr>
              <w:t>L</w:t>
            </w:r>
            <w:r w:rsidRPr="003F6082">
              <w:rPr>
                <w:rFonts w:cs="Arial"/>
              </w:rPr>
              <w:t xml:space="preserve">ocal </w:t>
            </w:r>
            <w:r w:rsidR="0071144D" w:rsidRPr="003F6082">
              <w:rPr>
                <w:rFonts w:cs="Arial"/>
              </w:rPr>
              <w:t>A</w:t>
            </w:r>
            <w:r w:rsidRPr="003F6082">
              <w:rPr>
                <w:rFonts w:cs="Arial"/>
              </w:rPr>
              <w:t>uthority, neurodiver</w:t>
            </w:r>
            <w:r w:rsidR="0071144D" w:rsidRPr="003F6082">
              <w:rPr>
                <w:rFonts w:cs="Arial"/>
              </w:rPr>
              <w:t>gent</w:t>
            </w:r>
            <w:r w:rsidRPr="003F6082">
              <w:rPr>
                <w:rFonts w:cs="Arial"/>
              </w:rPr>
              <w:t xml:space="preserve"> communities and other service </w:t>
            </w:r>
            <w:r w:rsidR="0071144D" w:rsidRPr="003F6082">
              <w:rPr>
                <w:rFonts w:cs="Arial"/>
              </w:rPr>
              <w:t>P</w:t>
            </w:r>
            <w:r w:rsidRPr="003F6082">
              <w:rPr>
                <w:rFonts w:cs="Arial"/>
              </w:rPr>
              <w:t xml:space="preserve">roviders to </w:t>
            </w:r>
            <w:r w:rsidR="0071144D" w:rsidRPr="003F6082">
              <w:rPr>
                <w:rFonts w:cs="Arial"/>
              </w:rPr>
              <w:t>co-produce solutions to meet peoples' needs</w:t>
            </w:r>
            <w:r w:rsidRPr="003F6082">
              <w:rPr>
                <w:rFonts w:cs="Arial"/>
              </w:rPr>
              <w:t xml:space="preserve"> </w:t>
            </w:r>
            <w:r w:rsidR="0071144D" w:rsidRPr="003F6082">
              <w:rPr>
                <w:rFonts w:cs="Arial"/>
              </w:rPr>
              <w:t xml:space="preserve">as </w:t>
            </w:r>
            <w:r w:rsidRPr="003F6082">
              <w:rPr>
                <w:rFonts w:cs="Arial"/>
              </w:rPr>
              <w:t>effectively</w:t>
            </w:r>
            <w:r w:rsidR="0071144D" w:rsidRPr="003F6082">
              <w:rPr>
                <w:rFonts w:cs="Arial"/>
              </w:rPr>
              <w:t xml:space="preserve"> as possible within our collective abilities</w:t>
            </w:r>
            <w:r w:rsidRPr="003F6082">
              <w:rPr>
                <w:rFonts w:cs="Arial"/>
              </w:rPr>
              <w:t>.</w:t>
            </w:r>
          </w:p>
          <w:p w14:paraId="1CAEC7FE" w14:textId="08C3EEE1" w:rsidR="0071144D" w:rsidRPr="003F6082" w:rsidRDefault="008703F0" w:rsidP="00C7279C">
            <w:pPr>
              <w:rPr>
                <w:rFonts w:cs="Arial"/>
              </w:rPr>
            </w:pPr>
            <w:r w:rsidRPr="003F6082">
              <w:rPr>
                <w:rFonts w:cs="Arial"/>
              </w:rPr>
              <w:t xml:space="preserve"> </w:t>
            </w:r>
          </w:p>
        </w:tc>
      </w:tr>
    </w:tbl>
    <w:p w14:paraId="335FD688" w14:textId="77777777" w:rsidR="002D7AEB" w:rsidRPr="003F6082" w:rsidRDefault="002D7AEB">
      <w:pPr>
        <w:rPr>
          <w:rFonts w:cs="Arial"/>
        </w:rPr>
      </w:pPr>
    </w:p>
    <w:p w14:paraId="44BDE6D1" w14:textId="77777777" w:rsidR="0013323A" w:rsidRPr="003F6082" w:rsidRDefault="0013323A" w:rsidP="0013323A">
      <w:pPr>
        <w:spacing w:before="100" w:beforeAutospacing="1" w:after="100" w:afterAutospacing="1"/>
        <w:rPr>
          <w:rFonts w:eastAsia="Times New Roman" w:cs="Arial"/>
          <w:kern w:val="0"/>
          <w:lang w:eastAsia="en-GB"/>
          <w14:ligatures w14:val="none"/>
        </w:rPr>
      </w:pPr>
      <w:r w:rsidRPr="003F6082">
        <w:rPr>
          <w:rFonts w:eastAsia="Times New Roman" w:cs="Arial"/>
          <w:b/>
          <w:bCs/>
          <w:kern w:val="0"/>
          <w:lang w:eastAsia="en-GB"/>
          <w14:ligatures w14:val="none"/>
        </w:rPr>
        <w:t xml:space="preserve">What is Different? </w:t>
      </w:r>
    </w:p>
    <w:p w14:paraId="444CAFCD" w14:textId="77777777" w:rsidR="0013323A" w:rsidRPr="003F6082" w:rsidRDefault="0013323A" w:rsidP="0013323A">
      <w:pPr>
        <w:spacing w:before="100" w:beforeAutospacing="1" w:after="100" w:afterAutospacing="1"/>
        <w:rPr>
          <w:rFonts w:cs="Arial"/>
        </w:rPr>
      </w:pPr>
      <w:r w:rsidRPr="003F6082">
        <w:rPr>
          <w:rFonts w:cs="Arial"/>
        </w:rPr>
        <w:t>The assessment pathway is now a needs-led model. The table below compares the old pathway to the new model.</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Look w:val="04A0" w:firstRow="1" w:lastRow="0" w:firstColumn="1" w:lastColumn="0" w:noHBand="0" w:noVBand="1"/>
      </w:tblPr>
      <w:tblGrid>
        <w:gridCol w:w="4306"/>
        <w:gridCol w:w="4744"/>
      </w:tblGrid>
      <w:tr w:rsidR="003F6082" w:rsidRPr="003F6082" w14:paraId="32B45176" w14:textId="77777777" w:rsidTr="00AE5EE0">
        <w:tc>
          <w:tcPr>
            <w:tcW w:w="4395" w:type="dxa"/>
            <w:shd w:val="clear" w:color="auto" w:fill="auto"/>
          </w:tcPr>
          <w:p w14:paraId="4D011713" w14:textId="77777777" w:rsidR="0013323A" w:rsidRPr="003F6082" w:rsidRDefault="0013323A" w:rsidP="00AE5EE0">
            <w:pPr>
              <w:rPr>
                <w:rFonts w:eastAsia="Calibri" w:cs="Arial"/>
                <w:b/>
                <w:bCs/>
              </w:rPr>
            </w:pPr>
            <w:r w:rsidRPr="003F6082">
              <w:rPr>
                <w:rFonts w:eastAsia="Calibri" w:cs="Arial"/>
                <w:b/>
                <w:bCs/>
              </w:rPr>
              <w:t>Old pathway</w:t>
            </w:r>
          </w:p>
        </w:tc>
        <w:tc>
          <w:tcPr>
            <w:tcW w:w="4819" w:type="dxa"/>
            <w:shd w:val="clear" w:color="auto" w:fill="auto"/>
          </w:tcPr>
          <w:p w14:paraId="3DDF184F" w14:textId="77777777" w:rsidR="0013323A" w:rsidRPr="003F6082" w:rsidRDefault="0013323A" w:rsidP="00AE5EE0">
            <w:pPr>
              <w:rPr>
                <w:rFonts w:eastAsia="Calibri" w:cs="Arial"/>
                <w:b/>
                <w:bCs/>
              </w:rPr>
            </w:pPr>
            <w:r w:rsidRPr="003F6082">
              <w:rPr>
                <w:rFonts w:eastAsia="Calibri" w:cs="Arial"/>
                <w:b/>
                <w:bCs/>
              </w:rPr>
              <w:t>New needs-led model</w:t>
            </w:r>
          </w:p>
        </w:tc>
      </w:tr>
      <w:tr w:rsidR="003F6082" w:rsidRPr="003F6082" w14:paraId="6F4C97D7" w14:textId="77777777" w:rsidTr="00AE5EE0">
        <w:tc>
          <w:tcPr>
            <w:tcW w:w="4395" w:type="dxa"/>
            <w:shd w:val="clear" w:color="auto" w:fill="auto"/>
          </w:tcPr>
          <w:p w14:paraId="4AA5EFA3" w14:textId="77777777" w:rsidR="0013323A" w:rsidRPr="003F6082" w:rsidRDefault="0013323A" w:rsidP="00AE5EE0">
            <w:pPr>
              <w:rPr>
                <w:rFonts w:eastAsia="Calibri" w:cs="Arial"/>
              </w:rPr>
            </w:pPr>
            <w:r w:rsidRPr="003F6082">
              <w:rPr>
                <w:rFonts w:eastAsia="Calibri" w:cs="Arial"/>
              </w:rPr>
              <w:t>No restrictions on who can be referred</w:t>
            </w:r>
          </w:p>
        </w:tc>
        <w:tc>
          <w:tcPr>
            <w:tcW w:w="4819" w:type="dxa"/>
            <w:shd w:val="clear" w:color="auto" w:fill="auto"/>
          </w:tcPr>
          <w:p w14:paraId="5AE71CE6" w14:textId="77777777" w:rsidR="0013323A" w:rsidRPr="003F6082" w:rsidRDefault="0013323A" w:rsidP="00AE5EE0">
            <w:pPr>
              <w:rPr>
                <w:rFonts w:eastAsia="Calibri" w:cs="Arial"/>
              </w:rPr>
            </w:pPr>
            <w:r w:rsidRPr="003F6082">
              <w:rPr>
                <w:rFonts w:eastAsia="Calibri" w:cs="Arial"/>
              </w:rPr>
              <w:t>Clear pathway eligibility/prioritisation guidelines for referrers (clinically agreed)</w:t>
            </w:r>
          </w:p>
        </w:tc>
      </w:tr>
      <w:tr w:rsidR="003F6082" w:rsidRPr="003F6082" w14:paraId="671F0E05" w14:textId="77777777" w:rsidTr="00AE5EE0">
        <w:tc>
          <w:tcPr>
            <w:tcW w:w="4395" w:type="dxa"/>
            <w:shd w:val="clear" w:color="auto" w:fill="auto"/>
          </w:tcPr>
          <w:p w14:paraId="686A0FB6" w14:textId="77777777" w:rsidR="0013323A" w:rsidRPr="003F6082" w:rsidRDefault="0013323A" w:rsidP="00AE5EE0">
            <w:pPr>
              <w:rPr>
                <w:rFonts w:eastAsia="Calibri" w:cs="Arial"/>
              </w:rPr>
            </w:pPr>
            <w:r w:rsidRPr="003F6082">
              <w:rPr>
                <w:rFonts w:eastAsia="Calibri" w:cs="Arial"/>
              </w:rPr>
              <w:t>No prioritisation of patients based on their need at the point of referral</w:t>
            </w:r>
          </w:p>
        </w:tc>
        <w:tc>
          <w:tcPr>
            <w:tcW w:w="4819" w:type="dxa"/>
            <w:shd w:val="clear" w:color="auto" w:fill="auto"/>
          </w:tcPr>
          <w:p w14:paraId="47E995A7" w14:textId="77777777" w:rsidR="0013323A" w:rsidRPr="003F6082" w:rsidRDefault="0013323A" w:rsidP="00AE5EE0">
            <w:pPr>
              <w:rPr>
                <w:rFonts w:eastAsia="Calibri" w:cs="Arial"/>
              </w:rPr>
            </w:pPr>
            <w:r w:rsidRPr="003F6082">
              <w:rPr>
                <w:rFonts w:eastAsia="Calibri" w:cs="Arial"/>
              </w:rPr>
              <w:t>Clear guidelines for referrers to ensure that clinical need is prioritised</w:t>
            </w:r>
          </w:p>
        </w:tc>
      </w:tr>
      <w:tr w:rsidR="003F6082" w:rsidRPr="003F6082" w14:paraId="0FE42501" w14:textId="77777777" w:rsidTr="00AE5EE0">
        <w:tc>
          <w:tcPr>
            <w:tcW w:w="4395" w:type="dxa"/>
            <w:shd w:val="clear" w:color="auto" w:fill="auto"/>
          </w:tcPr>
          <w:p w14:paraId="2D69B44D" w14:textId="77777777" w:rsidR="0013323A" w:rsidRPr="003F6082" w:rsidRDefault="0013323A" w:rsidP="00AE5EE0">
            <w:pPr>
              <w:rPr>
                <w:rFonts w:eastAsia="Calibri" w:cs="Arial"/>
              </w:rPr>
            </w:pPr>
            <w:r w:rsidRPr="003F6082">
              <w:rPr>
                <w:rFonts w:eastAsia="Calibri" w:cs="Arial"/>
              </w:rPr>
              <w:lastRenderedPageBreak/>
              <w:t xml:space="preserve">Waiting list is triaged in chronological order </w:t>
            </w:r>
          </w:p>
        </w:tc>
        <w:tc>
          <w:tcPr>
            <w:tcW w:w="4819" w:type="dxa"/>
            <w:shd w:val="clear" w:color="auto" w:fill="auto"/>
          </w:tcPr>
          <w:p w14:paraId="4B36C9AF" w14:textId="77777777" w:rsidR="0013323A" w:rsidRPr="003F6082" w:rsidRDefault="0013323A" w:rsidP="00AE5EE0">
            <w:pPr>
              <w:rPr>
                <w:rFonts w:eastAsia="Calibri" w:cs="Arial"/>
              </w:rPr>
            </w:pPr>
            <w:r w:rsidRPr="003F6082">
              <w:rPr>
                <w:rFonts w:eastAsia="Calibri" w:cs="Arial"/>
              </w:rPr>
              <w:t>Prioritised referrals are clinically triaged by The Retreat to understand any time sensitive needs for assessment</w:t>
            </w:r>
          </w:p>
        </w:tc>
      </w:tr>
      <w:tr w:rsidR="003F6082" w:rsidRPr="003F6082" w14:paraId="1A2727BD" w14:textId="77777777" w:rsidTr="00AE5EE0">
        <w:tc>
          <w:tcPr>
            <w:tcW w:w="4395" w:type="dxa"/>
            <w:shd w:val="clear" w:color="auto" w:fill="auto"/>
          </w:tcPr>
          <w:p w14:paraId="3E6C5674" w14:textId="77777777" w:rsidR="0013323A" w:rsidRPr="003F6082" w:rsidRDefault="0013323A" w:rsidP="00AE5EE0">
            <w:pPr>
              <w:rPr>
                <w:rFonts w:eastAsia="Calibri" w:cs="Arial"/>
              </w:rPr>
            </w:pPr>
            <w:r w:rsidRPr="003F6082">
              <w:rPr>
                <w:rFonts w:eastAsia="Calibri" w:cs="Arial"/>
              </w:rPr>
              <w:t>Little pre-assessment support for people while they wait for an assessment</w:t>
            </w:r>
          </w:p>
        </w:tc>
        <w:tc>
          <w:tcPr>
            <w:tcW w:w="4819" w:type="dxa"/>
            <w:shd w:val="clear" w:color="auto" w:fill="auto"/>
          </w:tcPr>
          <w:p w14:paraId="5D3D77BB" w14:textId="52879EA8" w:rsidR="0013323A" w:rsidRPr="003F6082" w:rsidRDefault="0013323A" w:rsidP="00AE5EE0">
            <w:pPr>
              <w:rPr>
                <w:rFonts w:eastAsia="Calibri" w:cs="Arial"/>
              </w:rPr>
            </w:pPr>
            <w:r w:rsidRPr="003F6082">
              <w:rPr>
                <w:rFonts w:eastAsia="Calibri" w:cs="Arial"/>
              </w:rPr>
              <w:t>Functional support available for people via the Online Platform while waiting for triage/assessment</w:t>
            </w:r>
            <w:r w:rsidRPr="003F6082">
              <w:rPr>
                <w:rFonts w:eastAsia="Calibri" w:cs="Arial"/>
              </w:rPr>
              <w:t xml:space="preserve"> – and we're facilitating co-creation of support services</w:t>
            </w:r>
          </w:p>
        </w:tc>
      </w:tr>
      <w:tr w:rsidR="003F6082" w:rsidRPr="003F6082" w14:paraId="799FA4B1" w14:textId="77777777" w:rsidTr="00AE5EE0">
        <w:tc>
          <w:tcPr>
            <w:tcW w:w="4395" w:type="dxa"/>
            <w:shd w:val="clear" w:color="auto" w:fill="auto"/>
          </w:tcPr>
          <w:p w14:paraId="6B2C393A" w14:textId="77777777" w:rsidR="0013323A" w:rsidRPr="003F6082" w:rsidRDefault="0013323A" w:rsidP="00AE5EE0">
            <w:pPr>
              <w:rPr>
                <w:rFonts w:eastAsia="Calibri" w:cs="Arial"/>
              </w:rPr>
            </w:pPr>
            <w:r w:rsidRPr="003F6082">
              <w:rPr>
                <w:rFonts w:eastAsia="Calibri" w:cs="Arial"/>
              </w:rPr>
              <w:t>Safety risks around managing increasing service demand versus Provider capacity</w:t>
            </w:r>
          </w:p>
        </w:tc>
        <w:tc>
          <w:tcPr>
            <w:tcW w:w="4819" w:type="dxa"/>
            <w:shd w:val="clear" w:color="auto" w:fill="auto"/>
          </w:tcPr>
          <w:p w14:paraId="1A9C4F6C" w14:textId="74411231" w:rsidR="0013323A" w:rsidRPr="003F6082" w:rsidRDefault="0013323A" w:rsidP="00AE5EE0">
            <w:pPr>
              <w:rPr>
                <w:rFonts w:eastAsia="Calibri" w:cs="Arial"/>
              </w:rPr>
            </w:pPr>
            <w:r w:rsidRPr="003F6082">
              <w:rPr>
                <w:rFonts w:eastAsia="Calibri" w:cs="Arial"/>
              </w:rPr>
              <w:t>Clearer understanding of which people are at higher need/ris</w:t>
            </w:r>
            <w:r w:rsidRPr="003F6082">
              <w:rPr>
                <w:rFonts w:eastAsia="Calibri" w:cs="Arial"/>
              </w:rPr>
              <w:t>k</w:t>
            </w:r>
          </w:p>
        </w:tc>
      </w:tr>
    </w:tbl>
    <w:p w14:paraId="6870A6DA" w14:textId="77777777" w:rsidR="0013323A" w:rsidRPr="003F6082" w:rsidRDefault="0013323A">
      <w:pPr>
        <w:rPr>
          <w:rFonts w:cs="Arial"/>
        </w:rPr>
      </w:pPr>
    </w:p>
    <w:p w14:paraId="22C72E74" w14:textId="77777777" w:rsidR="00EA5178" w:rsidRPr="003F6082" w:rsidRDefault="00EA5178">
      <w:pPr>
        <w:rPr>
          <w:rFonts w:cs="Arial"/>
        </w:rPr>
      </w:pPr>
    </w:p>
    <w:p w14:paraId="23168BC6" w14:textId="63E7C086" w:rsidR="00A51815" w:rsidRPr="003F6082" w:rsidRDefault="00A51815">
      <w:pPr>
        <w:rPr>
          <w:rFonts w:cs="Arial"/>
          <w:b/>
          <w:bCs/>
        </w:rPr>
      </w:pPr>
      <w:r w:rsidRPr="003F6082">
        <w:rPr>
          <w:rFonts w:cs="Arial"/>
          <w:b/>
          <w:bCs/>
        </w:rPr>
        <w:t xml:space="preserve">York </w:t>
      </w:r>
      <w:r w:rsidR="00341B54" w:rsidRPr="003F6082">
        <w:rPr>
          <w:rFonts w:cs="Arial"/>
          <w:b/>
          <w:bCs/>
        </w:rPr>
        <w:t>Plans for Developing Support Services for Neurodivergent People</w:t>
      </w:r>
    </w:p>
    <w:p w14:paraId="5D4ABC10" w14:textId="4169CDB8" w:rsidR="00B14A74" w:rsidRPr="003F6082" w:rsidRDefault="00B14A74" w:rsidP="00B14A74">
      <w:pPr>
        <w:spacing w:before="100" w:beforeAutospacing="1" w:after="100" w:afterAutospacing="1"/>
        <w:rPr>
          <w:rFonts w:eastAsia="Times New Roman" w:cs="Arial"/>
          <w:kern w:val="0"/>
          <w:lang w:eastAsia="en-GB"/>
          <w14:ligatures w14:val="none"/>
        </w:rPr>
      </w:pPr>
      <w:r w:rsidRPr="003F6082">
        <w:rPr>
          <w:rFonts w:eastAsia="Times New Roman" w:cs="Arial"/>
          <w:kern w:val="0"/>
          <w:lang w:eastAsia="en-GB"/>
          <w14:ligatures w14:val="none"/>
        </w:rPr>
        <w:t>A</w:t>
      </w:r>
      <w:r w:rsidR="00CD4FD7" w:rsidRPr="003F6082">
        <w:rPr>
          <w:rFonts w:eastAsia="Times New Roman" w:cs="Arial"/>
          <w:kern w:val="0"/>
          <w:lang w:eastAsia="en-GB"/>
          <w14:ligatures w14:val="none"/>
        </w:rPr>
        <w:t>longside the Autism and ADHD assessment pathway, a</w:t>
      </w:r>
      <w:r w:rsidRPr="003F6082">
        <w:rPr>
          <w:rFonts w:eastAsia="Times New Roman" w:cs="Arial"/>
          <w:kern w:val="0"/>
          <w:lang w:eastAsia="en-GB"/>
          <w14:ligatures w14:val="none"/>
        </w:rPr>
        <w:t xml:space="preserve"> group in York called the Connecting our City Working Group is planning to </w:t>
      </w:r>
      <w:r w:rsidR="00CD4FD7" w:rsidRPr="003F6082">
        <w:rPr>
          <w:rFonts w:eastAsia="Times New Roman" w:cs="Arial"/>
          <w:kern w:val="0"/>
          <w:lang w:eastAsia="en-GB"/>
          <w14:ligatures w14:val="none"/>
        </w:rPr>
        <w:t>lead the co-</w:t>
      </w:r>
      <w:r w:rsidRPr="003F6082">
        <w:rPr>
          <w:rFonts w:eastAsia="Times New Roman" w:cs="Arial"/>
          <w:kern w:val="0"/>
          <w:lang w:eastAsia="en-GB"/>
          <w14:ligatures w14:val="none"/>
        </w:rPr>
        <w:t>creat</w:t>
      </w:r>
      <w:r w:rsidR="00CD4FD7" w:rsidRPr="003F6082">
        <w:rPr>
          <w:rFonts w:eastAsia="Times New Roman" w:cs="Arial"/>
          <w:kern w:val="0"/>
          <w:lang w:eastAsia="en-GB"/>
          <w14:ligatures w14:val="none"/>
        </w:rPr>
        <w:t>ion of</w:t>
      </w:r>
      <w:r w:rsidRPr="003F6082">
        <w:rPr>
          <w:rFonts w:eastAsia="Times New Roman" w:cs="Arial"/>
          <w:kern w:val="0"/>
          <w:lang w:eastAsia="en-GB"/>
          <w14:ligatures w14:val="none"/>
        </w:rPr>
        <w:t xml:space="preserve"> community-based support that anyone can access. They have secured £15,000 </w:t>
      </w:r>
      <w:r w:rsidR="00CD4FD7" w:rsidRPr="003F6082">
        <w:rPr>
          <w:rFonts w:eastAsia="Times New Roman" w:cs="Arial"/>
          <w:kern w:val="0"/>
          <w:lang w:eastAsia="en-GB"/>
          <w14:ligatures w14:val="none"/>
        </w:rPr>
        <w:t>with an opportunity to have this match funded by York Together, working with the York Disability Rights Forum</w:t>
      </w:r>
      <w:r w:rsidRPr="003F6082">
        <w:rPr>
          <w:rFonts w:eastAsia="Times New Roman" w:cs="Arial"/>
          <w:kern w:val="0"/>
          <w:lang w:eastAsia="en-GB"/>
          <w14:ligatures w14:val="none"/>
        </w:rPr>
        <w:t>. They are working on deciding how to use this money and want to hear from the community through a survey. Here are the priorities they have identified so far:</w:t>
      </w:r>
    </w:p>
    <w:p w14:paraId="171D941F" w14:textId="77777777" w:rsidR="00B14A74" w:rsidRPr="003F6082" w:rsidRDefault="00B14A74" w:rsidP="00B14A74">
      <w:pPr>
        <w:numPr>
          <w:ilvl w:val="0"/>
          <w:numId w:val="5"/>
        </w:numPr>
        <w:spacing w:before="100" w:beforeAutospacing="1" w:after="100" w:afterAutospacing="1"/>
        <w:rPr>
          <w:rFonts w:eastAsia="Times New Roman" w:cs="Arial"/>
          <w:kern w:val="0"/>
          <w:lang w:eastAsia="en-GB"/>
          <w14:ligatures w14:val="none"/>
        </w:rPr>
      </w:pPr>
      <w:r w:rsidRPr="003F6082">
        <w:rPr>
          <w:rFonts w:eastAsia="Times New Roman" w:cs="Arial"/>
          <w:b/>
          <w:bCs/>
          <w:kern w:val="0"/>
          <w:lang w:eastAsia="en-GB"/>
          <w14:ligatures w14:val="none"/>
        </w:rPr>
        <w:t>Voluntary Peer Support</w:t>
      </w:r>
    </w:p>
    <w:p w14:paraId="64C828B9" w14:textId="77777777" w:rsidR="00B14A74" w:rsidRPr="003F6082" w:rsidRDefault="00B14A74" w:rsidP="00B14A74">
      <w:pPr>
        <w:numPr>
          <w:ilvl w:val="1"/>
          <w:numId w:val="5"/>
        </w:numPr>
        <w:spacing w:before="100" w:beforeAutospacing="1" w:after="100" w:afterAutospacing="1"/>
        <w:rPr>
          <w:rFonts w:eastAsia="Times New Roman" w:cs="Arial"/>
          <w:kern w:val="0"/>
          <w:lang w:eastAsia="en-GB"/>
          <w14:ligatures w14:val="none"/>
        </w:rPr>
      </w:pPr>
      <w:r w:rsidRPr="003F6082">
        <w:rPr>
          <w:rFonts w:eastAsia="Times New Roman" w:cs="Arial"/>
          <w:kern w:val="0"/>
          <w:lang w:eastAsia="en-GB"/>
          <w14:ligatures w14:val="none"/>
        </w:rPr>
        <w:t>Informal and unpaid support within community settings.</w:t>
      </w:r>
    </w:p>
    <w:p w14:paraId="6DCF3BA3" w14:textId="77777777" w:rsidR="00B14A74" w:rsidRPr="003F6082" w:rsidRDefault="00B14A74" w:rsidP="00B14A74">
      <w:pPr>
        <w:numPr>
          <w:ilvl w:val="0"/>
          <w:numId w:val="5"/>
        </w:numPr>
        <w:spacing w:before="100" w:beforeAutospacing="1" w:after="100" w:afterAutospacing="1"/>
        <w:rPr>
          <w:rFonts w:eastAsia="Times New Roman" w:cs="Arial"/>
          <w:kern w:val="0"/>
          <w:lang w:eastAsia="en-GB"/>
          <w14:ligatures w14:val="none"/>
        </w:rPr>
      </w:pPr>
      <w:r w:rsidRPr="003F6082">
        <w:rPr>
          <w:rFonts w:eastAsia="Times New Roman" w:cs="Arial"/>
          <w:b/>
          <w:bCs/>
          <w:kern w:val="0"/>
          <w:lang w:eastAsia="en-GB"/>
          <w14:ligatures w14:val="none"/>
        </w:rPr>
        <w:t>Formal Peer Support</w:t>
      </w:r>
    </w:p>
    <w:p w14:paraId="422FD4C6" w14:textId="0562D0E3" w:rsidR="00B14A74" w:rsidRPr="003F6082" w:rsidRDefault="00B14A74" w:rsidP="00B14A74">
      <w:pPr>
        <w:numPr>
          <w:ilvl w:val="1"/>
          <w:numId w:val="5"/>
        </w:numPr>
        <w:spacing w:before="100" w:beforeAutospacing="1" w:after="100" w:afterAutospacing="1"/>
        <w:rPr>
          <w:rFonts w:eastAsia="Times New Roman" w:cs="Arial"/>
          <w:kern w:val="0"/>
          <w:lang w:eastAsia="en-GB"/>
          <w14:ligatures w14:val="none"/>
        </w:rPr>
      </w:pPr>
      <w:r w:rsidRPr="003F6082">
        <w:rPr>
          <w:rFonts w:eastAsia="Times New Roman" w:cs="Arial"/>
          <w:kern w:val="0"/>
          <w:lang w:eastAsia="en-GB"/>
          <w14:ligatures w14:val="none"/>
        </w:rPr>
        <w:t>Peer supporters are employed by a group or organi</w:t>
      </w:r>
      <w:r w:rsidR="00CD4FD7" w:rsidRPr="003F6082">
        <w:rPr>
          <w:rFonts w:eastAsia="Times New Roman" w:cs="Arial"/>
          <w:kern w:val="0"/>
          <w:lang w:eastAsia="en-GB"/>
          <w14:ligatures w14:val="none"/>
        </w:rPr>
        <w:t>s</w:t>
      </w:r>
      <w:r w:rsidRPr="003F6082">
        <w:rPr>
          <w:rFonts w:eastAsia="Times New Roman" w:cs="Arial"/>
          <w:kern w:val="0"/>
          <w:lang w:eastAsia="en-GB"/>
          <w14:ligatures w14:val="none"/>
        </w:rPr>
        <w:t>ation.</w:t>
      </w:r>
    </w:p>
    <w:p w14:paraId="400293CF" w14:textId="77777777" w:rsidR="00B14A74" w:rsidRPr="003F6082" w:rsidRDefault="00B14A74" w:rsidP="00B14A74">
      <w:pPr>
        <w:numPr>
          <w:ilvl w:val="0"/>
          <w:numId w:val="5"/>
        </w:numPr>
        <w:spacing w:before="100" w:beforeAutospacing="1" w:after="100" w:afterAutospacing="1"/>
        <w:rPr>
          <w:rFonts w:eastAsia="Times New Roman" w:cs="Arial"/>
          <w:kern w:val="0"/>
          <w:lang w:eastAsia="en-GB"/>
          <w14:ligatures w14:val="none"/>
        </w:rPr>
      </w:pPr>
      <w:r w:rsidRPr="003F6082">
        <w:rPr>
          <w:rFonts w:eastAsia="Times New Roman" w:cs="Arial"/>
          <w:b/>
          <w:bCs/>
          <w:kern w:val="0"/>
          <w:lang w:eastAsia="en-GB"/>
          <w14:ligatures w14:val="none"/>
        </w:rPr>
        <w:t>Mentoring/Coaching Services for Neurodivergent People</w:t>
      </w:r>
    </w:p>
    <w:p w14:paraId="3DED4AE9" w14:textId="77777777" w:rsidR="00B14A74" w:rsidRPr="003F6082" w:rsidRDefault="00B14A74" w:rsidP="00B14A74">
      <w:pPr>
        <w:numPr>
          <w:ilvl w:val="1"/>
          <w:numId w:val="5"/>
        </w:numPr>
        <w:spacing w:before="100" w:beforeAutospacing="1" w:after="100" w:afterAutospacing="1"/>
        <w:rPr>
          <w:rFonts w:eastAsia="Times New Roman" w:cs="Arial"/>
          <w:kern w:val="0"/>
          <w:lang w:eastAsia="en-GB"/>
          <w14:ligatures w14:val="none"/>
        </w:rPr>
      </w:pPr>
      <w:r w:rsidRPr="003F6082">
        <w:rPr>
          <w:rFonts w:eastAsia="Times New Roman" w:cs="Arial"/>
          <w:kern w:val="0"/>
          <w:lang w:eastAsia="en-GB"/>
          <w14:ligatures w14:val="none"/>
        </w:rPr>
        <w:t>A mentor offers advice, shares insights, and provides encouragement to help someone overcome challenges and achieve their goals.</w:t>
      </w:r>
    </w:p>
    <w:p w14:paraId="535F96E6" w14:textId="124EC1B4" w:rsidR="00B14A74" w:rsidRPr="003F6082" w:rsidRDefault="00B14A74" w:rsidP="00B14A74">
      <w:pPr>
        <w:numPr>
          <w:ilvl w:val="0"/>
          <w:numId w:val="5"/>
        </w:numPr>
        <w:spacing w:before="100" w:beforeAutospacing="1" w:after="100" w:afterAutospacing="1"/>
        <w:rPr>
          <w:rFonts w:eastAsia="Times New Roman" w:cs="Arial"/>
          <w:kern w:val="0"/>
          <w:lang w:eastAsia="en-GB"/>
          <w14:ligatures w14:val="none"/>
        </w:rPr>
      </w:pPr>
      <w:r w:rsidRPr="003F6082">
        <w:rPr>
          <w:rFonts w:eastAsia="Times New Roman" w:cs="Arial"/>
          <w:b/>
          <w:bCs/>
          <w:kern w:val="0"/>
          <w:lang w:eastAsia="en-GB"/>
          <w14:ligatures w14:val="none"/>
        </w:rPr>
        <w:t>Training and Advice for Local Organi</w:t>
      </w:r>
      <w:r w:rsidR="0013323A" w:rsidRPr="003F6082">
        <w:rPr>
          <w:rFonts w:eastAsia="Times New Roman" w:cs="Arial"/>
          <w:b/>
          <w:bCs/>
          <w:kern w:val="0"/>
          <w:lang w:eastAsia="en-GB"/>
          <w14:ligatures w14:val="none"/>
        </w:rPr>
        <w:t>s</w:t>
      </w:r>
      <w:r w:rsidRPr="003F6082">
        <w:rPr>
          <w:rFonts w:eastAsia="Times New Roman" w:cs="Arial"/>
          <w:b/>
          <w:bCs/>
          <w:kern w:val="0"/>
          <w:lang w:eastAsia="en-GB"/>
          <w14:ligatures w14:val="none"/>
        </w:rPr>
        <w:t>ations</w:t>
      </w:r>
    </w:p>
    <w:p w14:paraId="152CCF9F" w14:textId="77777777" w:rsidR="00B14A74" w:rsidRPr="003F6082" w:rsidRDefault="00B14A74" w:rsidP="00B14A74">
      <w:pPr>
        <w:numPr>
          <w:ilvl w:val="1"/>
          <w:numId w:val="5"/>
        </w:numPr>
        <w:spacing w:before="100" w:beforeAutospacing="1" w:after="100" w:afterAutospacing="1"/>
        <w:rPr>
          <w:rFonts w:eastAsia="Times New Roman" w:cs="Arial"/>
          <w:kern w:val="0"/>
          <w:lang w:eastAsia="en-GB"/>
          <w14:ligatures w14:val="none"/>
        </w:rPr>
      </w:pPr>
      <w:r w:rsidRPr="003F6082">
        <w:rPr>
          <w:rFonts w:eastAsia="Times New Roman" w:cs="Arial"/>
          <w:kern w:val="0"/>
          <w:lang w:eastAsia="en-GB"/>
          <w14:ligatures w14:val="none"/>
        </w:rPr>
        <w:t>Training developed and led by neurodivergent people to educate local organizations, community groups, and businesses on increasing accessibility for neurodivergent individuals.</w:t>
      </w:r>
    </w:p>
    <w:p w14:paraId="7325C6F9" w14:textId="77777777" w:rsidR="00B14A74" w:rsidRPr="003F6082" w:rsidRDefault="00B14A74" w:rsidP="00B14A74">
      <w:pPr>
        <w:numPr>
          <w:ilvl w:val="0"/>
          <w:numId w:val="5"/>
        </w:numPr>
        <w:spacing w:before="100" w:beforeAutospacing="1" w:after="100" w:afterAutospacing="1"/>
        <w:rPr>
          <w:rFonts w:eastAsia="Times New Roman" w:cs="Arial"/>
          <w:kern w:val="0"/>
          <w:lang w:eastAsia="en-GB"/>
          <w14:ligatures w14:val="none"/>
        </w:rPr>
      </w:pPr>
      <w:r w:rsidRPr="003F6082">
        <w:rPr>
          <w:rFonts w:eastAsia="Times New Roman" w:cs="Arial"/>
          <w:b/>
          <w:bCs/>
          <w:kern w:val="0"/>
          <w:lang w:eastAsia="en-GB"/>
          <w14:ligatures w14:val="none"/>
        </w:rPr>
        <w:t>Community Outreach and Engagement Work</w:t>
      </w:r>
    </w:p>
    <w:p w14:paraId="0B4F31DA" w14:textId="23794FB5" w:rsidR="00B14A74" w:rsidRPr="003F6082" w:rsidRDefault="00B14A74" w:rsidP="00B14A74">
      <w:pPr>
        <w:numPr>
          <w:ilvl w:val="1"/>
          <w:numId w:val="5"/>
        </w:numPr>
        <w:spacing w:before="100" w:beforeAutospacing="1" w:after="100" w:afterAutospacing="1"/>
        <w:rPr>
          <w:rFonts w:eastAsia="Times New Roman" w:cs="Arial"/>
          <w:kern w:val="0"/>
          <w:lang w:eastAsia="en-GB"/>
          <w14:ligatures w14:val="none"/>
        </w:rPr>
      </w:pPr>
      <w:r w:rsidRPr="003F6082">
        <w:rPr>
          <w:rFonts w:eastAsia="Times New Roman" w:cs="Arial"/>
          <w:kern w:val="0"/>
          <w:lang w:eastAsia="en-GB"/>
          <w14:ligatures w14:val="none"/>
        </w:rPr>
        <w:t>Working with local GP</w:t>
      </w:r>
      <w:r w:rsidR="00CD4FD7" w:rsidRPr="003F6082">
        <w:rPr>
          <w:rFonts w:eastAsia="Times New Roman" w:cs="Arial"/>
          <w:kern w:val="0"/>
          <w:lang w:eastAsia="en-GB"/>
          <w14:ligatures w14:val="none"/>
        </w:rPr>
        <w:t>'</w:t>
      </w:r>
      <w:r w:rsidRPr="003F6082">
        <w:rPr>
          <w:rFonts w:eastAsia="Times New Roman" w:cs="Arial"/>
          <w:kern w:val="0"/>
          <w:lang w:eastAsia="en-GB"/>
          <w14:ligatures w14:val="none"/>
        </w:rPr>
        <w:t xml:space="preserve">s, hospitals, businesses, and community </w:t>
      </w:r>
      <w:r w:rsidR="00CD4FD7" w:rsidRPr="003F6082">
        <w:rPr>
          <w:rFonts w:eastAsia="Times New Roman" w:cs="Arial"/>
          <w:kern w:val="0"/>
          <w:lang w:eastAsia="en-GB"/>
          <w14:ligatures w14:val="none"/>
        </w:rPr>
        <w:t>centres</w:t>
      </w:r>
      <w:r w:rsidRPr="003F6082">
        <w:rPr>
          <w:rFonts w:eastAsia="Times New Roman" w:cs="Arial"/>
          <w:kern w:val="0"/>
          <w:lang w:eastAsia="en-GB"/>
          <w14:ligatures w14:val="none"/>
        </w:rPr>
        <w:t xml:space="preserve"> to host inclusive events and activities that increase understanding and awareness of neurodivergence.</w:t>
      </w:r>
    </w:p>
    <w:p w14:paraId="7838212E" w14:textId="658358AA" w:rsidR="00B14A74" w:rsidRPr="003F6082" w:rsidRDefault="00B14A74" w:rsidP="00B14A74">
      <w:pPr>
        <w:spacing w:before="100" w:beforeAutospacing="1" w:after="100" w:afterAutospacing="1"/>
        <w:rPr>
          <w:rFonts w:eastAsia="Times New Roman" w:cs="Arial"/>
          <w:kern w:val="0"/>
          <w:lang w:eastAsia="en-GB"/>
          <w14:ligatures w14:val="none"/>
        </w:rPr>
      </w:pPr>
      <w:r w:rsidRPr="003F6082">
        <w:rPr>
          <w:rFonts w:eastAsia="Times New Roman" w:cs="Arial"/>
          <w:kern w:val="0"/>
          <w:lang w:eastAsia="en-GB"/>
          <w14:ligatures w14:val="none"/>
        </w:rPr>
        <w:t>If the</w:t>
      </w:r>
      <w:r w:rsidR="00CD4FD7" w:rsidRPr="003F6082">
        <w:rPr>
          <w:rFonts w:eastAsia="Times New Roman" w:cs="Arial"/>
          <w:kern w:val="0"/>
          <w:lang w:eastAsia="en-GB"/>
          <w14:ligatures w14:val="none"/>
        </w:rPr>
        <w:t xml:space="preserve"> group</w:t>
      </w:r>
      <w:r w:rsidRPr="003F6082">
        <w:rPr>
          <w:rFonts w:eastAsia="Times New Roman" w:cs="Arial"/>
          <w:kern w:val="0"/>
          <w:lang w:eastAsia="en-GB"/>
          <w14:ligatures w14:val="none"/>
        </w:rPr>
        <w:t xml:space="preserve"> </w:t>
      </w:r>
      <w:r w:rsidR="00CD4FD7" w:rsidRPr="003F6082">
        <w:rPr>
          <w:rFonts w:eastAsia="Times New Roman" w:cs="Arial"/>
          <w:kern w:val="0"/>
          <w:lang w:eastAsia="en-GB"/>
          <w14:ligatures w14:val="none"/>
        </w:rPr>
        <w:t>secures</w:t>
      </w:r>
      <w:r w:rsidRPr="003F6082">
        <w:rPr>
          <w:rFonts w:eastAsia="Times New Roman" w:cs="Arial"/>
          <w:kern w:val="0"/>
          <w:lang w:eastAsia="en-GB"/>
          <w14:ligatures w14:val="none"/>
        </w:rPr>
        <w:t xml:space="preserve"> additional funding, they plan to hire a facilitator/coordinator who will:</w:t>
      </w:r>
    </w:p>
    <w:p w14:paraId="1C5DC944" w14:textId="77777777" w:rsidR="00B14A74" w:rsidRPr="003F6082" w:rsidRDefault="00B14A74" w:rsidP="00B14A74">
      <w:pPr>
        <w:numPr>
          <w:ilvl w:val="0"/>
          <w:numId w:val="6"/>
        </w:numPr>
        <w:spacing w:before="100" w:beforeAutospacing="1" w:after="100" w:afterAutospacing="1"/>
        <w:rPr>
          <w:rFonts w:eastAsia="Times New Roman" w:cs="Arial"/>
          <w:kern w:val="0"/>
          <w:lang w:eastAsia="en-GB"/>
          <w14:ligatures w14:val="none"/>
        </w:rPr>
      </w:pPr>
      <w:r w:rsidRPr="003F6082">
        <w:rPr>
          <w:rFonts w:eastAsia="Times New Roman" w:cs="Arial"/>
          <w:kern w:val="0"/>
          <w:lang w:eastAsia="en-GB"/>
          <w14:ligatures w14:val="none"/>
        </w:rPr>
        <w:t>Support and advise groups that receive funding for neurodivergent support services.</w:t>
      </w:r>
    </w:p>
    <w:p w14:paraId="54FEEA60" w14:textId="00D82BF3" w:rsidR="00B14A74" w:rsidRPr="003F6082" w:rsidRDefault="00B14A74" w:rsidP="00B14A74">
      <w:pPr>
        <w:numPr>
          <w:ilvl w:val="0"/>
          <w:numId w:val="6"/>
        </w:numPr>
        <w:spacing w:before="100" w:beforeAutospacing="1" w:after="100" w:afterAutospacing="1"/>
        <w:rPr>
          <w:rFonts w:eastAsia="Times New Roman" w:cs="Arial"/>
          <w:kern w:val="0"/>
          <w:lang w:eastAsia="en-GB"/>
          <w14:ligatures w14:val="none"/>
        </w:rPr>
      </w:pPr>
      <w:r w:rsidRPr="003F6082">
        <w:rPr>
          <w:rFonts w:eastAsia="Times New Roman" w:cs="Arial"/>
          <w:kern w:val="0"/>
          <w:lang w:eastAsia="en-GB"/>
          <w14:ligatures w14:val="none"/>
        </w:rPr>
        <w:t>Organi</w:t>
      </w:r>
      <w:r w:rsidR="00CD4FD7" w:rsidRPr="003F6082">
        <w:rPr>
          <w:rFonts w:eastAsia="Times New Roman" w:cs="Arial"/>
          <w:kern w:val="0"/>
          <w:lang w:eastAsia="en-GB"/>
          <w14:ligatures w14:val="none"/>
        </w:rPr>
        <w:t>s</w:t>
      </w:r>
      <w:r w:rsidRPr="003F6082">
        <w:rPr>
          <w:rFonts w:eastAsia="Times New Roman" w:cs="Arial"/>
          <w:kern w:val="0"/>
          <w:lang w:eastAsia="en-GB"/>
          <w14:ligatures w14:val="none"/>
        </w:rPr>
        <w:t>e regular meetings for these groups to share experiences and learn from each other.</w:t>
      </w:r>
    </w:p>
    <w:p w14:paraId="52725950" w14:textId="1DF2FC57" w:rsidR="00B14A74" w:rsidRPr="003F6082" w:rsidRDefault="00B14A74" w:rsidP="00B14A74">
      <w:pPr>
        <w:numPr>
          <w:ilvl w:val="0"/>
          <w:numId w:val="6"/>
        </w:numPr>
        <w:spacing w:before="100" w:beforeAutospacing="1" w:after="100" w:afterAutospacing="1"/>
        <w:rPr>
          <w:rFonts w:eastAsia="Times New Roman" w:cs="Arial"/>
          <w:kern w:val="0"/>
          <w:lang w:eastAsia="en-GB"/>
          <w14:ligatures w14:val="none"/>
        </w:rPr>
      </w:pPr>
      <w:r w:rsidRPr="003F6082">
        <w:rPr>
          <w:rFonts w:eastAsia="Times New Roman" w:cs="Arial"/>
          <w:kern w:val="0"/>
          <w:lang w:eastAsia="en-GB"/>
          <w14:ligatures w14:val="none"/>
        </w:rPr>
        <w:t>Coordinate training across the funded groups and organi</w:t>
      </w:r>
      <w:r w:rsidR="00CD4FD7" w:rsidRPr="003F6082">
        <w:rPr>
          <w:rFonts w:eastAsia="Times New Roman" w:cs="Arial"/>
          <w:kern w:val="0"/>
          <w:lang w:eastAsia="en-GB"/>
          <w14:ligatures w14:val="none"/>
        </w:rPr>
        <w:t>s</w:t>
      </w:r>
      <w:r w:rsidRPr="003F6082">
        <w:rPr>
          <w:rFonts w:eastAsia="Times New Roman" w:cs="Arial"/>
          <w:kern w:val="0"/>
          <w:lang w:eastAsia="en-GB"/>
          <w14:ligatures w14:val="none"/>
        </w:rPr>
        <w:t>ations.</w:t>
      </w:r>
    </w:p>
    <w:p w14:paraId="07D9363F" w14:textId="77777777" w:rsidR="00B14A74" w:rsidRPr="003F6082" w:rsidRDefault="00B14A74" w:rsidP="00B14A74">
      <w:pPr>
        <w:numPr>
          <w:ilvl w:val="0"/>
          <w:numId w:val="6"/>
        </w:numPr>
        <w:spacing w:before="100" w:beforeAutospacing="1" w:after="100" w:afterAutospacing="1"/>
        <w:rPr>
          <w:rFonts w:eastAsia="Times New Roman" w:cs="Arial"/>
          <w:kern w:val="0"/>
          <w:lang w:eastAsia="en-GB"/>
          <w14:ligatures w14:val="none"/>
        </w:rPr>
      </w:pPr>
      <w:r w:rsidRPr="003F6082">
        <w:rPr>
          <w:rFonts w:eastAsia="Times New Roman" w:cs="Arial"/>
          <w:kern w:val="0"/>
          <w:lang w:eastAsia="en-GB"/>
          <w14:ligatures w14:val="none"/>
        </w:rPr>
        <w:t>Be the main contact point for funded neurodivergent service support.</w:t>
      </w:r>
    </w:p>
    <w:p w14:paraId="3302BCBE" w14:textId="77777777" w:rsidR="00B14A74" w:rsidRPr="003F6082" w:rsidRDefault="00B14A74" w:rsidP="00B14A74">
      <w:pPr>
        <w:numPr>
          <w:ilvl w:val="0"/>
          <w:numId w:val="6"/>
        </w:numPr>
        <w:spacing w:before="100" w:beforeAutospacing="1" w:after="100" w:afterAutospacing="1"/>
        <w:rPr>
          <w:rFonts w:eastAsia="Times New Roman" w:cs="Arial"/>
          <w:kern w:val="0"/>
          <w:lang w:eastAsia="en-GB"/>
          <w14:ligatures w14:val="none"/>
        </w:rPr>
      </w:pPr>
      <w:r w:rsidRPr="003F6082">
        <w:rPr>
          <w:rFonts w:eastAsia="Times New Roman" w:cs="Arial"/>
          <w:kern w:val="0"/>
          <w:lang w:eastAsia="en-GB"/>
          <w14:ligatures w14:val="none"/>
        </w:rPr>
        <w:t>Provide advice and support for peer support services.</w:t>
      </w:r>
    </w:p>
    <w:p w14:paraId="0B0FA529" w14:textId="77777777" w:rsidR="00B14A74" w:rsidRPr="003F6082" w:rsidRDefault="00B14A74" w:rsidP="00B14A74">
      <w:pPr>
        <w:numPr>
          <w:ilvl w:val="0"/>
          <w:numId w:val="6"/>
        </w:numPr>
        <w:spacing w:before="100" w:beforeAutospacing="1" w:after="100" w:afterAutospacing="1"/>
        <w:rPr>
          <w:rFonts w:eastAsia="Times New Roman" w:cs="Arial"/>
          <w:kern w:val="0"/>
          <w:lang w:eastAsia="en-GB"/>
          <w14:ligatures w14:val="none"/>
        </w:rPr>
      </w:pPr>
      <w:r w:rsidRPr="003F6082">
        <w:rPr>
          <w:rFonts w:eastAsia="Times New Roman" w:cs="Arial"/>
          <w:kern w:val="0"/>
          <w:lang w:eastAsia="en-GB"/>
          <w14:ligatures w14:val="none"/>
        </w:rPr>
        <w:t>Manage training activities for the funded groups.</w:t>
      </w:r>
    </w:p>
    <w:p w14:paraId="723FCB17" w14:textId="77777777" w:rsidR="00B14A74" w:rsidRPr="003F6082" w:rsidRDefault="00B14A74" w:rsidP="00B14A74">
      <w:pPr>
        <w:numPr>
          <w:ilvl w:val="0"/>
          <w:numId w:val="6"/>
        </w:numPr>
        <w:spacing w:before="100" w:beforeAutospacing="1" w:after="100" w:afterAutospacing="1"/>
        <w:rPr>
          <w:rFonts w:eastAsia="Times New Roman" w:cs="Arial"/>
          <w:kern w:val="0"/>
          <w:lang w:eastAsia="en-GB"/>
          <w14:ligatures w14:val="none"/>
        </w:rPr>
      </w:pPr>
      <w:r w:rsidRPr="003F6082">
        <w:rPr>
          <w:rFonts w:eastAsia="Times New Roman" w:cs="Arial"/>
          <w:kern w:val="0"/>
          <w:lang w:eastAsia="en-GB"/>
          <w14:ligatures w14:val="none"/>
        </w:rPr>
        <w:lastRenderedPageBreak/>
        <w:t>Help groups with development support, like governance, policies, and structure.</w:t>
      </w:r>
    </w:p>
    <w:p w14:paraId="075C7CD7" w14:textId="77777777" w:rsidR="00EA5178" w:rsidRPr="003F6082" w:rsidRDefault="00EA5178">
      <w:pPr>
        <w:rPr>
          <w:rFonts w:cs="Arial"/>
        </w:rPr>
      </w:pPr>
    </w:p>
    <w:p w14:paraId="555A82A1" w14:textId="682AD83E" w:rsidR="00B14A74" w:rsidRPr="003F6082" w:rsidRDefault="00B14A74" w:rsidP="00B14A74">
      <w:pPr>
        <w:rPr>
          <w:rFonts w:cs="Arial"/>
          <w:b/>
          <w:bCs/>
          <w:kern w:val="0"/>
          <w:lang w:eastAsia="en-GB"/>
          <w14:ligatures w14:val="none"/>
        </w:rPr>
      </w:pPr>
      <w:r w:rsidRPr="003F6082">
        <w:rPr>
          <w:rFonts w:cs="Arial"/>
          <w:b/>
          <w:bCs/>
          <w:kern w:val="0"/>
          <w:lang w:eastAsia="en-GB"/>
          <w14:ligatures w14:val="none"/>
        </w:rPr>
        <w:t xml:space="preserve">Plans to Improve Autism and ADHD Services in York and North Yorkshire, and the </w:t>
      </w:r>
      <w:r w:rsidR="00CD4FD7" w:rsidRPr="003F6082">
        <w:rPr>
          <w:rFonts w:cs="Arial"/>
          <w:b/>
          <w:bCs/>
          <w:kern w:val="0"/>
          <w:lang w:eastAsia="en-GB"/>
          <w14:ligatures w14:val="none"/>
        </w:rPr>
        <w:t>W</w:t>
      </w:r>
      <w:r w:rsidRPr="003F6082">
        <w:rPr>
          <w:rFonts w:cs="Arial"/>
          <w:b/>
          <w:bCs/>
          <w:kern w:val="0"/>
          <w:lang w:eastAsia="en-GB"/>
          <w14:ligatures w14:val="none"/>
        </w:rPr>
        <w:t xml:space="preserve">ider ICB </w:t>
      </w:r>
      <w:r w:rsidR="00CD4FD7" w:rsidRPr="003F6082">
        <w:rPr>
          <w:rFonts w:cs="Arial"/>
          <w:b/>
          <w:bCs/>
          <w:kern w:val="0"/>
          <w:lang w:eastAsia="en-GB"/>
          <w14:ligatures w14:val="none"/>
        </w:rPr>
        <w:t>I</w:t>
      </w:r>
      <w:r w:rsidRPr="003F6082">
        <w:rPr>
          <w:rFonts w:cs="Arial"/>
          <w:b/>
          <w:bCs/>
          <w:kern w:val="0"/>
          <w:lang w:eastAsia="en-GB"/>
          <w14:ligatures w14:val="none"/>
        </w:rPr>
        <w:t>nclude</w:t>
      </w:r>
    </w:p>
    <w:p w14:paraId="77143064" w14:textId="77777777" w:rsidR="00B14A74" w:rsidRPr="003F6082" w:rsidRDefault="00B14A74" w:rsidP="00B14A74">
      <w:pPr>
        <w:rPr>
          <w:rFonts w:cs="Arial"/>
        </w:rPr>
      </w:pPr>
    </w:p>
    <w:p w14:paraId="0C5246D7" w14:textId="77777777" w:rsidR="00B14A74" w:rsidRPr="003F6082" w:rsidRDefault="00B14A74" w:rsidP="00B14A74">
      <w:pPr>
        <w:numPr>
          <w:ilvl w:val="0"/>
          <w:numId w:val="7"/>
        </w:numPr>
        <w:spacing w:before="100" w:beforeAutospacing="1" w:after="100" w:afterAutospacing="1"/>
        <w:rPr>
          <w:rFonts w:eastAsia="Times New Roman" w:cs="Arial"/>
          <w:kern w:val="0"/>
          <w:lang w:eastAsia="en-GB"/>
          <w14:ligatures w14:val="none"/>
        </w:rPr>
      </w:pPr>
      <w:r w:rsidRPr="003F6082">
        <w:rPr>
          <w:rFonts w:eastAsia="Times New Roman" w:cs="Arial"/>
          <w:b/>
          <w:bCs/>
          <w:kern w:val="0"/>
          <w:lang w:eastAsia="en-GB"/>
          <w14:ligatures w14:val="none"/>
        </w:rPr>
        <w:t>Engaging with the Community</w:t>
      </w:r>
    </w:p>
    <w:p w14:paraId="4B744C3E" w14:textId="77777777" w:rsidR="00B14A74" w:rsidRPr="003F6082" w:rsidRDefault="00B14A74" w:rsidP="00B14A74">
      <w:pPr>
        <w:numPr>
          <w:ilvl w:val="1"/>
          <w:numId w:val="7"/>
        </w:numPr>
        <w:spacing w:before="100" w:beforeAutospacing="1" w:after="100" w:afterAutospacing="1"/>
        <w:rPr>
          <w:rFonts w:eastAsia="Times New Roman" w:cs="Arial"/>
          <w:kern w:val="0"/>
          <w:lang w:eastAsia="en-GB"/>
          <w14:ligatures w14:val="none"/>
        </w:rPr>
      </w:pPr>
      <w:r w:rsidRPr="003F6082">
        <w:rPr>
          <w:rFonts w:eastAsia="Times New Roman" w:cs="Arial"/>
          <w:kern w:val="0"/>
          <w:lang w:eastAsia="en-GB"/>
          <w14:ligatures w14:val="none"/>
        </w:rPr>
        <w:t>We will keep talking with neurodivergent people and our partners in Health, Local Authorities, and VCSE (Voluntary, Community, and Social Enterprise) to improve our services.</w:t>
      </w:r>
    </w:p>
    <w:p w14:paraId="479DD1D2" w14:textId="77777777" w:rsidR="00B14A74" w:rsidRPr="003F6082" w:rsidRDefault="00B14A74" w:rsidP="00B14A74">
      <w:pPr>
        <w:numPr>
          <w:ilvl w:val="0"/>
          <w:numId w:val="7"/>
        </w:numPr>
        <w:spacing w:before="100" w:beforeAutospacing="1" w:after="100" w:afterAutospacing="1"/>
        <w:rPr>
          <w:rFonts w:eastAsia="Times New Roman" w:cs="Arial"/>
          <w:kern w:val="0"/>
          <w:lang w:eastAsia="en-GB"/>
          <w14:ligatures w14:val="none"/>
        </w:rPr>
      </w:pPr>
      <w:r w:rsidRPr="003F6082">
        <w:rPr>
          <w:rFonts w:eastAsia="Times New Roman" w:cs="Arial"/>
          <w:b/>
          <w:bCs/>
          <w:kern w:val="0"/>
          <w:lang w:eastAsia="en-GB"/>
          <w14:ligatures w14:val="none"/>
        </w:rPr>
        <w:t>Improving the Online Platform</w:t>
      </w:r>
    </w:p>
    <w:p w14:paraId="0C874354" w14:textId="5EADBF75" w:rsidR="00B14A74" w:rsidRPr="003F6082" w:rsidRDefault="00B14A74" w:rsidP="00B14A74">
      <w:pPr>
        <w:numPr>
          <w:ilvl w:val="1"/>
          <w:numId w:val="7"/>
        </w:numPr>
        <w:spacing w:before="100" w:beforeAutospacing="1" w:after="100" w:afterAutospacing="1"/>
        <w:rPr>
          <w:rFonts w:eastAsia="Times New Roman" w:cs="Arial"/>
          <w:kern w:val="0"/>
          <w:lang w:eastAsia="en-GB"/>
          <w14:ligatures w14:val="none"/>
        </w:rPr>
      </w:pPr>
      <w:r w:rsidRPr="003F6082">
        <w:rPr>
          <w:rFonts w:eastAsia="Times New Roman" w:cs="Arial"/>
          <w:kern w:val="0"/>
          <w:lang w:eastAsia="en-GB"/>
          <w14:ligatures w14:val="none"/>
        </w:rPr>
        <w:t xml:space="preserve">We are updating our </w:t>
      </w:r>
      <w:r w:rsidR="00CD4FD7" w:rsidRPr="003F6082">
        <w:rPr>
          <w:rFonts w:eastAsia="Times New Roman" w:cs="Arial"/>
          <w:kern w:val="0"/>
          <w:lang w:eastAsia="en-GB"/>
          <w14:ligatures w14:val="none"/>
        </w:rPr>
        <w:t>O</w:t>
      </w:r>
      <w:r w:rsidRPr="003F6082">
        <w:rPr>
          <w:rFonts w:eastAsia="Times New Roman" w:cs="Arial"/>
          <w:kern w:val="0"/>
          <w:lang w:eastAsia="en-GB"/>
          <w14:ligatures w14:val="none"/>
        </w:rPr>
        <w:t xml:space="preserve">nline </w:t>
      </w:r>
      <w:r w:rsidR="00CD4FD7" w:rsidRPr="003F6082">
        <w:rPr>
          <w:rFonts w:eastAsia="Times New Roman" w:cs="Arial"/>
          <w:kern w:val="0"/>
          <w:lang w:eastAsia="en-GB"/>
          <w14:ligatures w14:val="none"/>
        </w:rPr>
        <w:t>P</w:t>
      </w:r>
      <w:r w:rsidRPr="003F6082">
        <w:rPr>
          <w:rFonts w:eastAsia="Times New Roman" w:cs="Arial"/>
          <w:kern w:val="0"/>
          <w:lang w:eastAsia="en-GB"/>
          <w14:ligatures w14:val="none"/>
        </w:rPr>
        <w:t>latform based on user feedback to make it better.</w:t>
      </w:r>
    </w:p>
    <w:p w14:paraId="3C2E9F6B" w14:textId="77777777" w:rsidR="00B14A74" w:rsidRPr="003F6082" w:rsidRDefault="00B14A74" w:rsidP="00B14A74">
      <w:pPr>
        <w:numPr>
          <w:ilvl w:val="0"/>
          <w:numId w:val="7"/>
        </w:numPr>
        <w:spacing w:before="100" w:beforeAutospacing="1" w:after="100" w:afterAutospacing="1"/>
        <w:rPr>
          <w:rFonts w:eastAsia="Times New Roman" w:cs="Arial"/>
          <w:kern w:val="0"/>
          <w:lang w:eastAsia="en-GB"/>
          <w14:ligatures w14:val="none"/>
        </w:rPr>
      </w:pPr>
      <w:r w:rsidRPr="003F6082">
        <w:rPr>
          <w:rFonts w:eastAsia="Times New Roman" w:cs="Arial"/>
          <w:b/>
          <w:bCs/>
          <w:kern w:val="0"/>
          <w:lang w:eastAsia="en-GB"/>
          <w14:ligatures w14:val="none"/>
        </w:rPr>
        <w:t>Co-Designing Support Services</w:t>
      </w:r>
    </w:p>
    <w:p w14:paraId="63A6A4A9" w14:textId="77777777" w:rsidR="00B14A74" w:rsidRPr="003F6082" w:rsidRDefault="00B14A74" w:rsidP="00B14A74">
      <w:pPr>
        <w:numPr>
          <w:ilvl w:val="1"/>
          <w:numId w:val="7"/>
        </w:numPr>
        <w:spacing w:before="100" w:beforeAutospacing="1" w:after="100" w:afterAutospacing="1"/>
        <w:rPr>
          <w:rFonts w:eastAsia="Times New Roman" w:cs="Arial"/>
          <w:kern w:val="0"/>
          <w:lang w:eastAsia="en-GB"/>
          <w14:ligatures w14:val="none"/>
        </w:rPr>
      </w:pPr>
      <w:r w:rsidRPr="003F6082">
        <w:rPr>
          <w:rFonts w:eastAsia="Times New Roman" w:cs="Arial"/>
          <w:kern w:val="0"/>
          <w:lang w:eastAsia="en-GB"/>
          <w14:ligatures w14:val="none"/>
        </w:rPr>
        <w:t>We want neurodivergent people to help us design and develop support services for before and after diagnosis.</w:t>
      </w:r>
    </w:p>
    <w:p w14:paraId="0B07CA9A" w14:textId="77777777" w:rsidR="00B14A74" w:rsidRPr="003F6082" w:rsidRDefault="00B14A74" w:rsidP="00B14A74">
      <w:pPr>
        <w:numPr>
          <w:ilvl w:val="0"/>
          <w:numId w:val="7"/>
        </w:numPr>
        <w:spacing w:before="100" w:beforeAutospacing="1" w:after="100" w:afterAutospacing="1"/>
        <w:rPr>
          <w:rFonts w:eastAsia="Times New Roman" w:cs="Arial"/>
          <w:kern w:val="0"/>
          <w:lang w:eastAsia="en-GB"/>
          <w14:ligatures w14:val="none"/>
        </w:rPr>
      </w:pPr>
      <w:r w:rsidRPr="003F6082">
        <w:rPr>
          <w:rFonts w:eastAsia="Times New Roman" w:cs="Arial"/>
          <w:b/>
          <w:bCs/>
          <w:kern w:val="0"/>
          <w:lang w:eastAsia="en-GB"/>
          <w14:ligatures w14:val="none"/>
        </w:rPr>
        <w:t>Working with The Retreat</w:t>
      </w:r>
    </w:p>
    <w:p w14:paraId="44F43C4E" w14:textId="74024157" w:rsidR="00B14A74" w:rsidRPr="003F6082" w:rsidRDefault="00B14A74" w:rsidP="00B14A74">
      <w:pPr>
        <w:numPr>
          <w:ilvl w:val="1"/>
          <w:numId w:val="7"/>
        </w:numPr>
        <w:spacing w:before="100" w:beforeAutospacing="1" w:after="100" w:afterAutospacing="1"/>
        <w:rPr>
          <w:rFonts w:eastAsia="Times New Roman" w:cs="Arial"/>
          <w:kern w:val="0"/>
          <w:lang w:eastAsia="en-GB"/>
          <w14:ligatures w14:val="none"/>
        </w:rPr>
      </w:pPr>
      <w:r w:rsidRPr="003F6082">
        <w:rPr>
          <w:rFonts w:eastAsia="Times New Roman" w:cs="Arial"/>
          <w:kern w:val="0"/>
          <w:lang w:eastAsia="en-GB"/>
          <w14:ligatures w14:val="none"/>
        </w:rPr>
        <w:t xml:space="preserve">We are </w:t>
      </w:r>
      <w:r w:rsidR="00CD4FD7" w:rsidRPr="003F6082">
        <w:rPr>
          <w:rFonts w:eastAsia="Times New Roman" w:cs="Arial"/>
          <w:kern w:val="0"/>
          <w:lang w:eastAsia="en-GB"/>
          <w14:ligatures w14:val="none"/>
        </w:rPr>
        <w:t>working</w:t>
      </w:r>
      <w:r w:rsidRPr="003F6082">
        <w:rPr>
          <w:rFonts w:eastAsia="Times New Roman" w:cs="Arial"/>
          <w:kern w:val="0"/>
          <w:lang w:eastAsia="en-GB"/>
          <w14:ligatures w14:val="none"/>
        </w:rPr>
        <w:t xml:space="preserve"> with The Retreat to</w:t>
      </w:r>
      <w:r w:rsidR="00DC0D2A" w:rsidRPr="003F6082">
        <w:rPr>
          <w:rFonts w:eastAsia="Times New Roman" w:cs="Arial"/>
          <w:kern w:val="0"/>
          <w:lang w:eastAsia="en-GB"/>
          <w14:ligatures w14:val="none"/>
        </w:rPr>
        <w:t xml:space="preserve"> explore opportunities to</w:t>
      </w:r>
      <w:r w:rsidRPr="003F6082">
        <w:rPr>
          <w:rFonts w:eastAsia="Times New Roman" w:cs="Arial"/>
          <w:kern w:val="0"/>
          <w:lang w:eastAsia="en-GB"/>
          <w14:ligatures w14:val="none"/>
        </w:rPr>
        <w:t xml:space="preserve"> increase the number of triage and assessment slots available.</w:t>
      </w:r>
    </w:p>
    <w:p w14:paraId="68BA4550" w14:textId="77777777" w:rsidR="00B14A74" w:rsidRPr="003F6082" w:rsidRDefault="00B14A74" w:rsidP="00B14A74">
      <w:pPr>
        <w:numPr>
          <w:ilvl w:val="0"/>
          <w:numId w:val="7"/>
        </w:numPr>
        <w:spacing w:before="100" w:beforeAutospacing="1" w:after="100" w:afterAutospacing="1"/>
        <w:rPr>
          <w:rFonts w:eastAsia="Times New Roman" w:cs="Arial"/>
          <w:kern w:val="0"/>
          <w:lang w:eastAsia="en-GB"/>
          <w14:ligatures w14:val="none"/>
        </w:rPr>
      </w:pPr>
      <w:r w:rsidRPr="003F6082">
        <w:rPr>
          <w:rFonts w:eastAsia="Times New Roman" w:cs="Arial"/>
          <w:b/>
          <w:bCs/>
          <w:kern w:val="0"/>
          <w:lang w:eastAsia="en-GB"/>
          <w14:ligatures w14:val="none"/>
        </w:rPr>
        <w:t>Improving Access and Support</w:t>
      </w:r>
    </w:p>
    <w:p w14:paraId="4D020B1E" w14:textId="73AFECDC" w:rsidR="00B14A74" w:rsidRPr="003F6082" w:rsidRDefault="00B14A74" w:rsidP="00B14A74">
      <w:pPr>
        <w:numPr>
          <w:ilvl w:val="1"/>
          <w:numId w:val="7"/>
        </w:numPr>
        <w:spacing w:before="100" w:beforeAutospacing="1" w:after="100" w:afterAutospacing="1"/>
        <w:rPr>
          <w:rFonts w:eastAsia="Times New Roman" w:cs="Arial"/>
          <w:kern w:val="0"/>
          <w:lang w:eastAsia="en-GB"/>
          <w14:ligatures w14:val="none"/>
        </w:rPr>
      </w:pPr>
      <w:r w:rsidRPr="003F6082">
        <w:rPr>
          <w:rFonts w:eastAsia="Times New Roman" w:cs="Arial"/>
          <w:kern w:val="0"/>
          <w:lang w:eastAsia="en-GB"/>
          <w14:ligatures w14:val="none"/>
        </w:rPr>
        <w:t xml:space="preserve">The </w:t>
      </w:r>
      <w:r w:rsidR="00DC0D2A" w:rsidRPr="003F6082">
        <w:rPr>
          <w:rFonts w:eastAsia="Times New Roman" w:cs="Arial"/>
          <w:kern w:val="0"/>
          <w:lang w:eastAsia="en-GB"/>
          <w14:ligatures w14:val="none"/>
        </w:rPr>
        <w:t xml:space="preserve">ICB's </w:t>
      </w:r>
      <w:r w:rsidRPr="003F6082">
        <w:rPr>
          <w:rFonts w:eastAsia="Times New Roman" w:cs="Arial"/>
          <w:kern w:val="0"/>
          <w:lang w:eastAsia="en-GB"/>
          <w14:ligatures w14:val="none"/>
        </w:rPr>
        <w:t>Mental Health, Learning Disability, and Autism Collaborative is working with partners to improve:</w:t>
      </w:r>
    </w:p>
    <w:p w14:paraId="62715DCE" w14:textId="77777777" w:rsidR="00B14A74" w:rsidRPr="003F6082" w:rsidRDefault="00B14A74" w:rsidP="00B14A74">
      <w:pPr>
        <w:numPr>
          <w:ilvl w:val="2"/>
          <w:numId w:val="7"/>
        </w:numPr>
        <w:spacing w:before="100" w:beforeAutospacing="1" w:after="100" w:afterAutospacing="1"/>
        <w:rPr>
          <w:rFonts w:eastAsia="Times New Roman" w:cs="Arial"/>
          <w:kern w:val="0"/>
          <w:lang w:eastAsia="en-GB"/>
          <w14:ligatures w14:val="none"/>
        </w:rPr>
      </w:pPr>
      <w:r w:rsidRPr="003F6082">
        <w:rPr>
          <w:rFonts w:eastAsia="Times New Roman" w:cs="Arial"/>
          <w:kern w:val="0"/>
          <w:lang w:eastAsia="en-GB"/>
          <w14:ligatures w14:val="none"/>
        </w:rPr>
        <w:t>Access to Autism and ADHD assessments for all ages.</w:t>
      </w:r>
    </w:p>
    <w:p w14:paraId="322894DC" w14:textId="77777777" w:rsidR="00B14A74" w:rsidRPr="003F6082" w:rsidRDefault="00B14A74" w:rsidP="00B14A74">
      <w:pPr>
        <w:numPr>
          <w:ilvl w:val="2"/>
          <w:numId w:val="7"/>
        </w:numPr>
        <w:spacing w:before="100" w:beforeAutospacing="1" w:after="100" w:afterAutospacing="1"/>
        <w:rPr>
          <w:rFonts w:eastAsia="Times New Roman" w:cs="Arial"/>
          <w:kern w:val="0"/>
          <w:lang w:eastAsia="en-GB"/>
          <w14:ligatures w14:val="none"/>
        </w:rPr>
      </w:pPr>
      <w:r w:rsidRPr="003F6082">
        <w:rPr>
          <w:rFonts w:eastAsia="Times New Roman" w:cs="Arial"/>
          <w:kern w:val="0"/>
          <w:lang w:eastAsia="en-GB"/>
          <w14:ligatures w14:val="none"/>
        </w:rPr>
        <w:t>The assessment process.</w:t>
      </w:r>
    </w:p>
    <w:p w14:paraId="59E37A69" w14:textId="77777777" w:rsidR="00B14A74" w:rsidRPr="003F6082" w:rsidRDefault="00B14A74" w:rsidP="00B14A74">
      <w:pPr>
        <w:numPr>
          <w:ilvl w:val="2"/>
          <w:numId w:val="7"/>
        </w:numPr>
        <w:spacing w:before="100" w:beforeAutospacing="1" w:after="100" w:afterAutospacing="1"/>
        <w:rPr>
          <w:rFonts w:eastAsia="Times New Roman" w:cs="Arial"/>
          <w:kern w:val="0"/>
          <w:lang w:eastAsia="en-GB"/>
          <w14:ligatures w14:val="none"/>
        </w:rPr>
      </w:pPr>
      <w:r w:rsidRPr="003F6082">
        <w:rPr>
          <w:rFonts w:eastAsia="Times New Roman" w:cs="Arial"/>
          <w:kern w:val="0"/>
          <w:lang w:eastAsia="en-GB"/>
          <w14:ligatures w14:val="none"/>
        </w:rPr>
        <w:t>Support for individuals before and after diagnosis.</w:t>
      </w:r>
    </w:p>
    <w:p w14:paraId="06DBFAB8" w14:textId="2274EF4C" w:rsidR="00B14A74" w:rsidRPr="003F6082" w:rsidRDefault="00DC0D2A" w:rsidP="00B14A74">
      <w:pPr>
        <w:numPr>
          <w:ilvl w:val="1"/>
          <w:numId w:val="7"/>
        </w:numPr>
        <w:spacing w:before="100" w:beforeAutospacing="1" w:after="100" w:afterAutospacing="1"/>
        <w:rPr>
          <w:rFonts w:eastAsia="Times New Roman" w:cs="Arial"/>
          <w:kern w:val="0"/>
          <w:lang w:eastAsia="en-GB"/>
          <w14:ligatures w14:val="none"/>
        </w:rPr>
      </w:pPr>
      <w:r w:rsidRPr="003F6082">
        <w:rPr>
          <w:rFonts w:eastAsia="Times New Roman" w:cs="Arial"/>
          <w:kern w:val="0"/>
          <w:lang w:eastAsia="en-GB"/>
          <w14:ligatures w14:val="none"/>
        </w:rPr>
        <w:t>Their</w:t>
      </w:r>
      <w:r w:rsidR="00B14A74" w:rsidRPr="003F6082">
        <w:rPr>
          <w:rFonts w:eastAsia="Times New Roman" w:cs="Arial"/>
          <w:kern w:val="0"/>
          <w:lang w:eastAsia="en-GB"/>
          <w14:ligatures w14:val="none"/>
        </w:rPr>
        <w:t xml:space="preserve"> goal is to have a consistent assessment criteria and support across Humber and North Yorkshire, but flexible enough to meet local needs.</w:t>
      </w:r>
    </w:p>
    <w:p w14:paraId="402E1FE3" w14:textId="77777777" w:rsidR="00B14A74" w:rsidRPr="003F6082" w:rsidRDefault="00B14A74" w:rsidP="00B14A74">
      <w:pPr>
        <w:numPr>
          <w:ilvl w:val="1"/>
          <w:numId w:val="7"/>
        </w:numPr>
        <w:spacing w:before="100" w:beforeAutospacing="1" w:after="100" w:afterAutospacing="1"/>
        <w:rPr>
          <w:rFonts w:eastAsia="Times New Roman" w:cs="Arial"/>
          <w:kern w:val="0"/>
          <w:lang w:eastAsia="en-GB"/>
          <w14:ligatures w14:val="none"/>
        </w:rPr>
      </w:pPr>
      <w:r w:rsidRPr="003F6082">
        <w:rPr>
          <w:rFonts w:eastAsia="Times New Roman" w:cs="Arial"/>
          <w:kern w:val="0"/>
          <w:lang w:eastAsia="en-GB"/>
          <w14:ligatures w14:val="none"/>
        </w:rPr>
        <w:t>This will be supported by a 5-year Strategy, co-created with people who have lived experience.</w:t>
      </w:r>
    </w:p>
    <w:sectPr w:rsidR="00B14A74" w:rsidRPr="003F608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5C769" w14:textId="77777777" w:rsidR="00AD09F2" w:rsidRDefault="00AD09F2" w:rsidP="00351467">
      <w:r>
        <w:separator/>
      </w:r>
    </w:p>
  </w:endnote>
  <w:endnote w:type="continuationSeparator" w:id="0">
    <w:p w14:paraId="14DC57F1" w14:textId="77777777" w:rsidR="00AD09F2" w:rsidRDefault="00AD09F2" w:rsidP="0035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14848"/>
      <w:docPartObj>
        <w:docPartGallery w:val="Page Numbers (Bottom of Page)"/>
        <w:docPartUnique/>
      </w:docPartObj>
    </w:sdtPr>
    <w:sdtEndPr>
      <w:rPr>
        <w:noProof/>
      </w:rPr>
    </w:sdtEndPr>
    <w:sdtContent>
      <w:p w14:paraId="603DBF16" w14:textId="4D188589" w:rsidR="00351467" w:rsidRDefault="003514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55759D" w14:textId="77777777" w:rsidR="00351467" w:rsidRDefault="00351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9F77F" w14:textId="77777777" w:rsidR="00AD09F2" w:rsidRDefault="00AD09F2" w:rsidP="00351467">
      <w:r>
        <w:separator/>
      </w:r>
    </w:p>
  </w:footnote>
  <w:footnote w:type="continuationSeparator" w:id="0">
    <w:p w14:paraId="668317B9" w14:textId="77777777" w:rsidR="00AD09F2" w:rsidRDefault="00AD09F2" w:rsidP="00351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3FAB"/>
    <w:multiLevelType w:val="hybridMultilevel"/>
    <w:tmpl w:val="8D1AA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56F6A"/>
    <w:multiLevelType w:val="multilevel"/>
    <w:tmpl w:val="2EA83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8097D"/>
    <w:multiLevelType w:val="multilevel"/>
    <w:tmpl w:val="5C6621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EA670D"/>
    <w:multiLevelType w:val="multilevel"/>
    <w:tmpl w:val="36B6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97F49"/>
    <w:multiLevelType w:val="multilevel"/>
    <w:tmpl w:val="E54C42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2F6CD0"/>
    <w:multiLevelType w:val="multilevel"/>
    <w:tmpl w:val="74C2BC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C252BC"/>
    <w:multiLevelType w:val="hybridMultilevel"/>
    <w:tmpl w:val="74205A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7320842">
    <w:abstractNumId w:val="0"/>
  </w:num>
  <w:num w:numId="2" w16cid:durableId="926692640">
    <w:abstractNumId w:val="6"/>
  </w:num>
  <w:num w:numId="3" w16cid:durableId="1274554446">
    <w:abstractNumId w:val="1"/>
  </w:num>
  <w:num w:numId="4" w16cid:durableId="1358659442">
    <w:abstractNumId w:val="5"/>
  </w:num>
  <w:num w:numId="5" w16cid:durableId="603659255">
    <w:abstractNumId w:val="2"/>
  </w:num>
  <w:num w:numId="6" w16cid:durableId="53936385">
    <w:abstractNumId w:val="3"/>
  </w:num>
  <w:num w:numId="7" w16cid:durableId="13537263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B0"/>
    <w:rsid w:val="0011433B"/>
    <w:rsid w:val="0013323A"/>
    <w:rsid w:val="0016769E"/>
    <w:rsid w:val="00181EE9"/>
    <w:rsid w:val="002929B0"/>
    <w:rsid w:val="002D7AEB"/>
    <w:rsid w:val="00341B54"/>
    <w:rsid w:val="00351467"/>
    <w:rsid w:val="00360869"/>
    <w:rsid w:val="003E0389"/>
    <w:rsid w:val="003F6082"/>
    <w:rsid w:val="004041FC"/>
    <w:rsid w:val="004750B7"/>
    <w:rsid w:val="0047537B"/>
    <w:rsid w:val="0055484C"/>
    <w:rsid w:val="005B474D"/>
    <w:rsid w:val="00633518"/>
    <w:rsid w:val="006A1310"/>
    <w:rsid w:val="0071144D"/>
    <w:rsid w:val="00715FFB"/>
    <w:rsid w:val="00762BE4"/>
    <w:rsid w:val="007C3D00"/>
    <w:rsid w:val="00865F4A"/>
    <w:rsid w:val="008703F0"/>
    <w:rsid w:val="0087473E"/>
    <w:rsid w:val="008A5E8A"/>
    <w:rsid w:val="008C6E8D"/>
    <w:rsid w:val="008F516D"/>
    <w:rsid w:val="00A4399E"/>
    <w:rsid w:val="00A51815"/>
    <w:rsid w:val="00AD09F2"/>
    <w:rsid w:val="00AD1FC4"/>
    <w:rsid w:val="00B14A74"/>
    <w:rsid w:val="00B43B71"/>
    <w:rsid w:val="00B97F63"/>
    <w:rsid w:val="00BB0BB8"/>
    <w:rsid w:val="00C7279C"/>
    <w:rsid w:val="00CD4FD7"/>
    <w:rsid w:val="00D60DF9"/>
    <w:rsid w:val="00D85F46"/>
    <w:rsid w:val="00DC0D2A"/>
    <w:rsid w:val="00DD1A7B"/>
    <w:rsid w:val="00E666B2"/>
    <w:rsid w:val="00EA5178"/>
    <w:rsid w:val="00ED66A2"/>
    <w:rsid w:val="00EE4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97D9A"/>
  <w15:chartTrackingRefBased/>
  <w15:docId w15:val="{C9E706AA-3CA0-4F71-816D-3D998564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A7B"/>
    <w:pPr>
      <w:spacing w:after="0" w:line="240" w:lineRule="auto"/>
    </w:pPr>
    <w:rPr>
      <w:rFonts w:ascii="Arial" w:hAnsi="Arial"/>
      <w:sz w:val="24"/>
      <w:szCs w:val="24"/>
    </w:rPr>
  </w:style>
  <w:style w:type="paragraph" w:styleId="Heading2">
    <w:name w:val="heading 2"/>
    <w:basedOn w:val="Normal"/>
    <w:next w:val="Normal"/>
    <w:link w:val="Heading2Char"/>
    <w:uiPriority w:val="9"/>
    <w:unhideWhenUsed/>
    <w:qFormat/>
    <w:rsid w:val="00B14A7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A7B"/>
    <w:pPr>
      <w:ind w:left="720"/>
    </w:pPr>
    <w:rPr>
      <w:rFonts w:eastAsia="Times New Roman" w:cs="Times New Roman"/>
    </w:rPr>
  </w:style>
  <w:style w:type="table" w:styleId="TableGrid">
    <w:name w:val="Table Grid"/>
    <w:basedOn w:val="TableNormal"/>
    <w:uiPriority w:val="39"/>
    <w:rsid w:val="00475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1467"/>
    <w:pPr>
      <w:tabs>
        <w:tab w:val="center" w:pos="4513"/>
        <w:tab w:val="right" w:pos="9026"/>
      </w:tabs>
    </w:pPr>
  </w:style>
  <w:style w:type="character" w:customStyle="1" w:styleId="HeaderChar">
    <w:name w:val="Header Char"/>
    <w:basedOn w:val="DefaultParagraphFont"/>
    <w:link w:val="Header"/>
    <w:uiPriority w:val="99"/>
    <w:rsid w:val="00351467"/>
    <w:rPr>
      <w:rFonts w:ascii="Arial" w:hAnsi="Arial"/>
      <w:sz w:val="24"/>
      <w:szCs w:val="24"/>
    </w:rPr>
  </w:style>
  <w:style w:type="paragraph" w:styleId="Footer">
    <w:name w:val="footer"/>
    <w:basedOn w:val="Normal"/>
    <w:link w:val="FooterChar"/>
    <w:uiPriority w:val="99"/>
    <w:unhideWhenUsed/>
    <w:rsid w:val="00351467"/>
    <w:pPr>
      <w:tabs>
        <w:tab w:val="center" w:pos="4513"/>
        <w:tab w:val="right" w:pos="9026"/>
      </w:tabs>
    </w:pPr>
  </w:style>
  <w:style w:type="character" w:customStyle="1" w:styleId="FooterChar">
    <w:name w:val="Footer Char"/>
    <w:basedOn w:val="DefaultParagraphFont"/>
    <w:link w:val="Footer"/>
    <w:uiPriority w:val="99"/>
    <w:rsid w:val="00351467"/>
    <w:rPr>
      <w:rFonts w:ascii="Arial" w:hAnsi="Arial"/>
      <w:sz w:val="24"/>
      <w:szCs w:val="24"/>
    </w:rPr>
  </w:style>
  <w:style w:type="character" w:customStyle="1" w:styleId="Heading2Char">
    <w:name w:val="Heading 2 Char"/>
    <w:basedOn w:val="DefaultParagraphFont"/>
    <w:link w:val="Heading2"/>
    <w:uiPriority w:val="9"/>
    <w:rsid w:val="00B14A74"/>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B14A74"/>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B14A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23247">
      <w:bodyDiv w:val="1"/>
      <w:marLeft w:val="0"/>
      <w:marRight w:val="0"/>
      <w:marTop w:val="0"/>
      <w:marBottom w:val="0"/>
      <w:divBdr>
        <w:top w:val="none" w:sz="0" w:space="0" w:color="auto"/>
        <w:left w:val="none" w:sz="0" w:space="0" w:color="auto"/>
        <w:bottom w:val="none" w:sz="0" w:space="0" w:color="auto"/>
        <w:right w:val="none" w:sz="0" w:space="0" w:color="auto"/>
      </w:divBdr>
    </w:div>
    <w:div w:id="1683627175">
      <w:bodyDiv w:val="1"/>
      <w:marLeft w:val="0"/>
      <w:marRight w:val="0"/>
      <w:marTop w:val="0"/>
      <w:marBottom w:val="0"/>
      <w:divBdr>
        <w:top w:val="none" w:sz="0" w:space="0" w:color="auto"/>
        <w:left w:val="none" w:sz="0" w:space="0" w:color="auto"/>
        <w:bottom w:val="none" w:sz="0" w:space="0" w:color="auto"/>
        <w:right w:val="none" w:sz="0" w:space="0" w:color="auto"/>
      </w:divBdr>
      <w:divsChild>
        <w:div w:id="2052534130">
          <w:marLeft w:val="0"/>
          <w:marRight w:val="0"/>
          <w:marTop w:val="0"/>
          <w:marBottom w:val="0"/>
          <w:divBdr>
            <w:top w:val="none" w:sz="0" w:space="0" w:color="auto"/>
            <w:left w:val="none" w:sz="0" w:space="0" w:color="auto"/>
            <w:bottom w:val="none" w:sz="0" w:space="0" w:color="auto"/>
            <w:right w:val="none" w:sz="0" w:space="0" w:color="auto"/>
          </w:divBdr>
        </w:div>
        <w:div w:id="953051100">
          <w:marLeft w:val="0"/>
          <w:marRight w:val="0"/>
          <w:marTop w:val="0"/>
          <w:marBottom w:val="0"/>
          <w:divBdr>
            <w:top w:val="none" w:sz="0" w:space="0" w:color="auto"/>
            <w:left w:val="none" w:sz="0" w:space="0" w:color="auto"/>
            <w:bottom w:val="none" w:sz="0" w:space="0" w:color="auto"/>
            <w:right w:val="none" w:sz="0" w:space="0" w:color="auto"/>
          </w:divBdr>
        </w:div>
        <w:div w:id="201210121">
          <w:marLeft w:val="0"/>
          <w:marRight w:val="0"/>
          <w:marTop w:val="0"/>
          <w:marBottom w:val="0"/>
          <w:divBdr>
            <w:top w:val="none" w:sz="0" w:space="0" w:color="auto"/>
            <w:left w:val="none" w:sz="0" w:space="0" w:color="auto"/>
            <w:bottom w:val="none" w:sz="0" w:space="0" w:color="auto"/>
            <w:right w:val="none" w:sz="0" w:space="0" w:color="auto"/>
          </w:divBdr>
        </w:div>
        <w:div w:id="438262651">
          <w:marLeft w:val="0"/>
          <w:marRight w:val="0"/>
          <w:marTop w:val="0"/>
          <w:marBottom w:val="0"/>
          <w:divBdr>
            <w:top w:val="none" w:sz="0" w:space="0" w:color="auto"/>
            <w:left w:val="none" w:sz="0" w:space="0" w:color="auto"/>
            <w:bottom w:val="none" w:sz="0" w:space="0" w:color="auto"/>
            <w:right w:val="none" w:sz="0" w:space="0" w:color="auto"/>
          </w:divBdr>
        </w:div>
        <w:div w:id="806510849">
          <w:marLeft w:val="0"/>
          <w:marRight w:val="0"/>
          <w:marTop w:val="0"/>
          <w:marBottom w:val="0"/>
          <w:divBdr>
            <w:top w:val="none" w:sz="0" w:space="0" w:color="auto"/>
            <w:left w:val="none" w:sz="0" w:space="0" w:color="auto"/>
            <w:bottom w:val="none" w:sz="0" w:space="0" w:color="auto"/>
            <w:right w:val="none" w:sz="0" w:space="0" w:color="auto"/>
          </w:divBdr>
        </w:div>
        <w:div w:id="406808693">
          <w:marLeft w:val="0"/>
          <w:marRight w:val="0"/>
          <w:marTop w:val="0"/>
          <w:marBottom w:val="0"/>
          <w:divBdr>
            <w:top w:val="none" w:sz="0" w:space="0" w:color="auto"/>
            <w:left w:val="none" w:sz="0" w:space="0" w:color="auto"/>
            <w:bottom w:val="none" w:sz="0" w:space="0" w:color="auto"/>
            <w:right w:val="none" w:sz="0" w:space="0" w:color="auto"/>
          </w:divBdr>
        </w:div>
        <w:div w:id="2102217664">
          <w:marLeft w:val="0"/>
          <w:marRight w:val="0"/>
          <w:marTop w:val="0"/>
          <w:marBottom w:val="0"/>
          <w:divBdr>
            <w:top w:val="none" w:sz="0" w:space="0" w:color="auto"/>
            <w:left w:val="none" w:sz="0" w:space="0" w:color="auto"/>
            <w:bottom w:val="none" w:sz="0" w:space="0" w:color="auto"/>
            <w:right w:val="none" w:sz="0" w:space="0" w:color="auto"/>
          </w:divBdr>
        </w:div>
        <w:div w:id="462115272">
          <w:marLeft w:val="0"/>
          <w:marRight w:val="0"/>
          <w:marTop w:val="0"/>
          <w:marBottom w:val="0"/>
          <w:divBdr>
            <w:top w:val="none" w:sz="0" w:space="0" w:color="auto"/>
            <w:left w:val="none" w:sz="0" w:space="0" w:color="auto"/>
            <w:bottom w:val="none" w:sz="0" w:space="0" w:color="auto"/>
            <w:right w:val="none" w:sz="0" w:space="0" w:color="auto"/>
          </w:divBdr>
        </w:div>
        <w:div w:id="64881154">
          <w:marLeft w:val="0"/>
          <w:marRight w:val="0"/>
          <w:marTop w:val="0"/>
          <w:marBottom w:val="0"/>
          <w:divBdr>
            <w:top w:val="none" w:sz="0" w:space="0" w:color="auto"/>
            <w:left w:val="none" w:sz="0" w:space="0" w:color="auto"/>
            <w:bottom w:val="none" w:sz="0" w:space="0" w:color="auto"/>
            <w:right w:val="none" w:sz="0" w:space="0" w:color="auto"/>
          </w:divBdr>
        </w:div>
        <w:div w:id="260265994">
          <w:marLeft w:val="0"/>
          <w:marRight w:val="0"/>
          <w:marTop w:val="0"/>
          <w:marBottom w:val="0"/>
          <w:divBdr>
            <w:top w:val="none" w:sz="0" w:space="0" w:color="auto"/>
            <w:left w:val="none" w:sz="0" w:space="0" w:color="auto"/>
            <w:bottom w:val="none" w:sz="0" w:space="0" w:color="auto"/>
            <w:right w:val="none" w:sz="0" w:space="0" w:color="auto"/>
          </w:divBdr>
        </w:div>
        <w:div w:id="345251829">
          <w:marLeft w:val="0"/>
          <w:marRight w:val="0"/>
          <w:marTop w:val="0"/>
          <w:marBottom w:val="0"/>
          <w:divBdr>
            <w:top w:val="none" w:sz="0" w:space="0" w:color="auto"/>
            <w:left w:val="none" w:sz="0" w:space="0" w:color="auto"/>
            <w:bottom w:val="none" w:sz="0" w:space="0" w:color="auto"/>
            <w:right w:val="none" w:sz="0" w:space="0" w:color="auto"/>
          </w:divBdr>
        </w:div>
        <w:div w:id="43717091">
          <w:marLeft w:val="0"/>
          <w:marRight w:val="0"/>
          <w:marTop w:val="0"/>
          <w:marBottom w:val="0"/>
          <w:divBdr>
            <w:top w:val="none" w:sz="0" w:space="0" w:color="auto"/>
            <w:left w:val="none" w:sz="0" w:space="0" w:color="auto"/>
            <w:bottom w:val="none" w:sz="0" w:space="0" w:color="auto"/>
            <w:right w:val="none" w:sz="0" w:space="0" w:color="auto"/>
          </w:divBdr>
        </w:div>
        <w:div w:id="1283725236">
          <w:marLeft w:val="0"/>
          <w:marRight w:val="0"/>
          <w:marTop w:val="0"/>
          <w:marBottom w:val="0"/>
          <w:divBdr>
            <w:top w:val="none" w:sz="0" w:space="0" w:color="auto"/>
            <w:left w:val="none" w:sz="0" w:space="0" w:color="auto"/>
            <w:bottom w:val="none" w:sz="0" w:space="0" w:color="auto"/>
            <w:right w:val="none" w:sz="0" w:space="0" w:color="auto"/>
          </w:divBdr>
        </w:div>
        <w:div w:id="1848056867">
          <w:marLeft w:val="0"/>
          <w:marRight w:val="0"/>
          <w:marTop w:val="0"/>
          <w:marBottom w:val="0"/>
          <w:divBdr>
            <w:top w:val="none" w:sz="0" w:space="0" w:color="auto"/>
            <w:left w:val="none" w:sz="0" w:space="0" w:color="auto"/>
            <w:bottom w:val="none" w:sz="0" w:space="0" w:color="auto"/>
            <w:right w:val="none" w:sz="0" w:space="0" w:color="auto"/>
          </w:divBdr>
        </w:div>
        <w:div w:id="193545101">
          <w:marLeft w:val="0"/>
          <w:marRight w:val="0"/>
          <w:marTop w:val="0"/>
          <w:marBottom w:val="0"/>
          <w:divBdr>
            <w:top w:val="none" w:sz="0" w:space="0" w:color="auto"/>
            <w:left w:val="none" w:sz="0" w:space="0" w:color="auto"/>
            <w:bottom w:val="none" w:sz="0" w:space="0" w:color="auto"/>
            <w:right w:val="none" w:sz="0" w:space="0" w:color="auto"/>
          </w:divBdr>
        </w:div>
        <w:div w:id="194777662">
          <w:marLeft w:val="0"/>
          <w:marRight w:val="0"/>
          <w:marTop w:val="0"/>
          <w:marBottom w:val="0"/>
          <w:divBdr>
            <w:top w:val="none" w:sz="0" w:space="0" w:color="auto"/>
            <w:left w:val="none" w:sz="0" w:space="0" w:color="auto"/>
            <w:bottom w:val="none" w:sz="0" w:space="0" w:color="auto"/>
            <w:right w:val="none" w:sz="0" w:space="0" w:color="auto"/>
          </w:divBdr>
        </w:div>
      </w:divsChild>
    </w:div>
    <w:div w:id="1847985528">
      <w:bodyDiv w:val="1"/>
      <w:marLeft w:val="0"/>
      <w:marRight w:val="0"/>
      <w:marTop w:val="0"/>
      <w:marBottom w:val="0"/>
      <w:divBdr>
        <w:top w:val="none" w:sz="0" w:space="0" w:color="auto"/>
        <w:left w:val="none" w:sz="0" w:space="0" w:color="auto"/>
        <w:bottom w:val="none" w:sz="0" w:space="0" w:color="auto"/>
        <w:right w:val="none" w:sz="0" w:space="0" w:color="auto"/>
      </w:divBdr>
      <w:divsChild>
        <w:div w:id="1092816209">
          <w:marLeft w:val="0"/>
          <w:marRight w:val="0"/>
          <w:marTop w:val="0"/>
          <w:marBottom w:val="0"/>
          <w:divBdr>
            <w:top w:val="none" w:sz="0" w:space="0" w:color="auto"/>
            <w:left w:val="none" w:sz="0" w:space="0" w:color="auto"/>
            <w:bottom w:val="none" w:sz="0" w:space="0" w:color="auto"/>
            <w:right w:val="none" w:sz="0" w:space="0" w:color="auto"/>
          </w:divBdr>
          <w:divsChild>
            <w:div w:id="1337613897">
              <w:marLeft w:val="0"/>
              <w:marRight w:val="0"/>
              <w:marTop w:val="0"/>
              <w:marBottom w:val="0"/>
              <w:divBdr>
                <w:top w:val="none" w:sz="0" w:space="0" w:color="auto"/>
                <w:left w:val="none" w:sz="0" w:space="0" w:color="auto"/>
                <w:bottom w:val="none" w:sz="0" w:space="0" w:color="auto"/>
                <w:right w:val="none" w:sz="0" w:space="0" w:color="auto"/>
              </w:divBdr>
              <w:divsChild>
                <w:div w:id="1805922626">
                  <w:marLeft w:val="0"/>
                  <w:marRight w:val="0"/>
                  <w:marTop w:val="0"/>
                  <w:marBottom w:val="0"/>
                  <w:divBdr>
                    <w:top w:val="none" w:sz="0" w:space="0" w:color="auto"/>
                    <w:left w:val="none" w:sz="0" w:space="0" w:color="auto"/>
                    <w:bottom w:val="none" w:sz="0" w:space="0" w:color="auto"/>
                    <w:right w:val="none" w:sz="0" w:space="0" w:color="auto"/>
                  </w:divBdr>
                  <w:divsChild>
                    <w:div w:id="1589651858">
                      <w:marLeft w:val="0"/>
                      <w:marRight w:val="0"/>
                      <w:marTop w:val="0"/>
                      <w:marBottom w:val="0"/>
                      <w:divBdr>
                        <w:top w:val="none" w:sz="0" w:space="0" w:color="auto"/>
                        <w:left w:val="none" w:sz="0" w:space="0" w:color="auto"/>
                        <w:bottom w:val="none" w:sz="0" w:space="0" w:color="auto"/>
                        <w:right w:val="none" w:sz="0" w:space="0" w:color="auto"/>
                      </w:divBdr>
                      <w:divsChild>
                        <w:div w:id="131093556">
                          <w:marLeft w:val="0"/>
                          <w:marRight w:val="0"/>
                          <w:marTop w:val="0"/>
                          <w:marBottom w:val="0"/>
                          <w:divBdr>
                            <w:top w:val="none" w:sz="0" w:space="0" w:color="auto"/>
                            <w:left w:val="none" w:sz="0" w:space="0" w:color="auto"/>
                            <w:bottom w:val="none" w:sz="0" w:space="0" w:color="auto"/>
                            <w:right w:val="none" w:sz="0" w:space="0" w:color="auto"/>
                          </w:divBdr>
                          <w:divsChild>
                            <w:div w:id="169923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97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1023</TotalTime>
  <Pages>6</Pages>
  <Words>1601</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MACEY, Shaun (NHS HUMBER AND NORTH YORKSHIRE ICB - 03Q)</dc:creator>
  <cp:keywords/>
  <dc:description/>
  <cp:lastModifiedBy>MACEY, Shaun (NHS HUMBER AND NORTH YORKSHIRE ICB - 03Q)</cp:lastModifiedBy>
  <cp:revision>3</cp:revision>
  <dcterms:created xsi:type="dcterms:W3CDTF">2024-07-25T06:48:00Z</dcterms:created>
  <dcterms:modified xsi:type="dcterms:W3CDTF">2024-07-25T06:49:00Z</dcterms:modified>
</cp:coreProperties>
</file>