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A1C" w14:textId="5F168A91" w:rsidR="003C21D1" w:rsidRDefault="003C21D1"/>
    <w:p w14:paraId="1A9789A2" w14:textId="7BA19B17" w:rsidR="005228A2" w:rsidRPr="005228A2" w:rsidRDefault="00F9771E" w:rsidP="005228A2">
      <w:pPr>
        <w:pStyle w:val="Heading2"/>
        <w:numPr>
          <w:ilvl w:val="0"/>
          <w:numId w:val="0"/>
        </w:numPr>
        <w:ind w:left="357" w:hanging="357"/>
        <w:jc w:val="center"/>
        <w:rPr>
          <w:sz w:val="28"/>
          <w:szCs w:val="32"/>
        </w:rPr>
      </w:pPr>
      <w:r>
        <w:rPr>
          <w:sz w:val="28"/>
          <w:szCs w:val="32"/>
        </w:rPr>
        <w:t>Mycophenolate mofetil and mycophenolic acid</w:t>
      </w:r>
      <w:r w:rsidR="005228A2" w:rsidRPr="005228A2">
        <w:rPr>
          <w:sz w:val="28"/>
          <w:szCs w:val="32"/>
        </w:rPr>
        <w:t xml:space="preserve"> for patients within adult services</w:t>
      </w:r>
      <w:r>
        <w:rPr>
          <w:sz w:val="28"/>
          <w:szCs w:val="32"/>
        </w:rPr>
        <w:t xml:space="preserve"> (non-transplant indications)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4E19234A" w:rsidR="00812579" w:rsidRDefault="00812579" w:rsidP="00BF1406">
            <w:pPr>
              <w:rPr>
                <w:rFonts w:cs="Arial"/>
              </w:rPr>
            </w:pPr>
            <w:r>
              <w:rPr>
                <w:rFonts w:cs="Arial"/>
              </w:rPr>
              <w:t>Version:</w:t>
            </w:r>
          </w:p>
        </w:tc>
        <w:tc>
          <w:tcPr>
            <w:tcW w:w="2305" w:type="dxa"/>
          </w:tcPr>
          <w:p w14:paraId="1B35B75E" w14:textId="6305C3DE" w:rsidR="00812579" w:rsidRDefault="00946787" w:rsidP="00BF1406">
            <w:pPr>
              <w:rPr>
                <w:rFonts w:cs="Arial"/>
              </w:rPr>
            </w:pPr>
            <w:r>
              <w:rPr>
                <w:rFonts w:cs="Arial"/>
              </w:rPr>
              <w:t xml:space="preserve">RDTC </w:t>
            </w:r>
            <w:r w:rsidR="00974B6C">
              <w:rPr>
                <w:rFonts w:cs="Arial"/>
              </w:rPr>
              <w:t>v1.</w:t>
            </w:r>
            <w:r w:rsidR="00000B8B">
              <w:rPr>
                <w:rFonts w:cs="Arial"/>
              </w:rPr>
              <w:t>1</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46864C2C" w:rsidR="00812579" w:rsidRDefault="00000B8B" w:rsidP="00BF1406">
            <w:pPr>
              <w:rPr>
                <w:rFonts w:cs="Arial"/>
              </w:rPr>
            </w:pPr>
            <w:r>
              <w:rPr>
                <w:rFonts w:cs="Arial"/>
              </w:rPr>
              <w:t>RDTC</w:t>
            </w:r>
            <w:r w:rsidR="00F9771E">
              <w:rPr>
                <w:rFonts w:cs="Arial"/>
              </w:rPr>
              <w:t xml:space="preserve"> v1.0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6DEFEB5E" w:rsidR="00812579" w:rsidRDefault="00096F5D" w:rsidP="00BF1406">
            <w:pPr>
              <w:rPr>
                <w:rFonts w:cs="Arial"/>
              </w:rPr>
            </w:pPr>
            <w:r>
              <w:rPr>
                <w:rFonts w:cs="Arial"/>
              </w:rPr>
              <w:t>November 2023</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09B43333" w:rsidR="00812579" w:rsidRDefault="00096F5D" w:rsidP="00BF1406">
            <w:pPr>
              <w:rPr>
                <w:rFonts w:cs="Arial"/>
              </w:rPr>
            </w:pPr>
            <w:r>
              <w:rPr>
                <w:rFonts w:cs="Arial"/>
              </w:rPr>
              <w:t>November 2025</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3171D6">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shd w:val="clear" w:color="auto" w:fill="auto"/>
          </w:tcPr>
          <w:p w14:paraId="4232EE9B" w14:textId="37AC9767" w:rsidR="00812579" w:rsidRPr="003171D6" w:rsidRDefault="003171D6" w:rsidP="00812579">
            <w:pPr>
              <w:rPr>
                <w:rFonts w:cs="Arial"/>
              </w:rPr>
            </w:pPr>
            <w:r w:rsidRPr="003171D6">
              <w:rPr>
                <w:rFonts w:cs="Arial"/>
              </w:rPr>
              <w:t>8</w:t>
            </w:r>
            <w:r w:rsidRPr="003171D6">
              <w:rPr>
                <w:rFonts w:cs="Arial"/>
                <w:vertAlign w:val="superscript"/>
              </w:rPr>
              <w:t>th</w:t>
            </w:r>
            <w:r w:rsidRPr="003171D6">
              <w:rPr>
                <w:rFonts w:cs="Arial"/>
              </w:rPr>
              <w:t xml:space="preserve"> March 2024</w:t>
            </w:r>
          </w:p>
        </w:tc>
        <w:tc>
          <w:tcPr>
            <w:tcW w:w="7200" w:type="dxa"/>
          </w:tcPr>
          <w:p w14:paraId="36F87864" w14:textId="7E3C755E" w:rsidR="00641F7D" w:rsidRPr="007A56FB" w:rsidRDefault="00ED68A3" w:rsidP="007A56FB">
            <w:pPr>
              <w:rPr>
                <w:rFonts w:cs="Arial"/>
              </w:rPr>
            </w:pPr>
            <w:r>
              <w:rPr>
                <w:rFonts w:cs="Arial"/>
              </w:rPr>
              <w:t>References and hyperlinks updated to current versions.</w:t>
            </w:r>
          </w:p>
        </w:tc>
      </w:tr>
      <w:tr w:rsidR="00000B8B" w14:paraId="120F2CF5" w14:textId="77777777" w:rsidTr="005A7119">
        <w:tc>
          <w:tcPr>
            <w:tcW w:w="1413" w:type="dxa"/>
          </w:tcPr>
          <w:p w14:paraId="36E8A0C3" w14:textId="417419C5" w:rsidR="00000B8B" w:rsidRPr="003171D6" w:rsidRDefault="00000B8B" w:rsidP="00000B8B">
            <w:pPr>
              <w:rPr>
                <w:rFonts w:cs="Arial"/>
              </w:rPr>
            </w:pPr>
            <w:r w:rsidRPr="003171D6">
              <w:rPr>
                <w:rFonts w:cs="Arial"/>
              </w:rPr>
              <w:t>RDTC v1.1</w:t>
            </w:r>
          </w:p>
        </w:tc>
        <w:tc>
          <w:tcPr>
            <w:tcW w:w="1843" w:type="dxa"/>
          </w:tcPr>
          <w:p w14:paraId="156C2558" w14:textId="654B7E8D" w:rsidR="00000B8B" w:rsidRPr="003171D6" w:rsidRDefault="003171D6" w:rsidP="00000B8B">
            <w:pPr>
              <w:rPr>
                <w:rFonts w:cs="Arial"/>
              </w:rPr>
            </w:pPr>
            <w:r>
              <w:rPr>
                <w:rFonts w:cs="Arial"/>
              </w:rPr>
              <w:t>10</w:t>
            </w:r>
            <w:r w:rsidRPr="003171D6">
              <w:rPr>
                <w:rFonts w:cs="Arial"/>
                <w:vertAlign w:val="superscript"/>
              </w:rPr>
              <w:t>th</w:t>
            </w:r>
            <w:r>
              <w:rPr>
                <w:rFonts w:cs="Arial"/>
              </w:rPr>
              <w:t xml:space="preserve"> December 2024</w:t>
            </w:r>
          </w:p>
        </w:tc>
        <w:tc>
          <w:tcPr>
            <w:tcW w:w="7200" w:type="dxa"/>
          </w:tcPr>
          <w:p w14:paraId="70E165E6" w14:textId="575D1AA8" w:rsidR="00000B8B" w:rsidRPr="003171D6" w:rsidRDefault="00000B8B" w:rsidP="00000B8B">
            <w:pPr>
              <w:rPr>
                <w:rFonts w:cs="Arial"/>
              </w:rPr>
            </w:pPr>
            <w:r w:rsidRPr="003171D6">
              <w:rPr>
                <w:rFonts w:cs="Arial"/>
              </w:rPr>
              <w:t>Advice on shingles vaccine clarified to reflect potential eligibility of patients aged 50 years or older taking immunosuppressive therapy</w:t>
            </w: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2CAF061E" w:rsidR="005A7119" w:rsidRDefault="005A7119" w:rsidP="005A7119">
            <w:pPr>
              <w:rPr>
                <w:rFonts w:cs="Arial"/>
              </w:rPr>
            </w:pPr>
            <w:r>
              <w:rPr>
                <w:rFonts w:cs="Arial"/>
              </w:rPr>
              <w:t xml:space="preserve">Approved for use by </w:t>
            </w:r>
            <w:r w:rsidRPr="001E76F5">
              <w:rPr>
                <w:rFonts w:cs="Arial"/>
                <w:highlight w:val="yellow"/>
              </w:rPr>
              <w:t>xx</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139F57BA"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2" w:history="1">
        <w:r w:rsidR="00974B6C" w:rsidRPr="005948AD">
          <w:rPr>
            <w:rStyle w:val="Hyperlink"/>
            <w:rFonts w:cs="Arial"/>
            <w:sz w:val="24"/>
            <w:szCs w:val="24"/>
          </w:rPr>
          <w:t>https://rdtc.nhs.uk/prescribing-support-document/shared-care-protocol-mmf-mpa-in-adults-non-transplant/</w:t>
        </w:r>
      </w:hyperlink>
      <w:r w:rsidR="00974B6C">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5A633C">
        <w:rPr>
          <w:rFonts w:cs="Arial"/>
          <w:sz w:val="24"/>
          <w:szCs w:val="24"/>
        </w:rPr>
        <w:t xml:space="preserve">Information requiring local completion is highlighted.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49206EC9" w:rsidR="00F321FC" w:rsidRPr="00ED7968" w:rsidRDefault="00F9771E" w:rsidP="00F9771E">
      <w:pPr>
        <w:pStyle w:val="Heading2"/>
        <w:numPr>
          <w:ilvl w:val="0"/>
          <w:numId w:val="0"/>
        </w:numPr>
        <w:rPr>
          <w:sz w:val="24"/>
          <w:szCs w:val="24"/>
        </w:rPr>
      </w:pPr>
      <w:r w:rsidRPr="00F9771E">
        <w:rPr>
          <w:sz w:val="24"/>
          <w:szCs w:val="24"/>
        </w:rPr>
        <w:t>Mycophenolate mofetil and mycophenolic acid for patients within adult services (non-transplant indications)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C72861" w:rsidRPr="00F321FC" w14:paraId="3FF50130" w14:textId="77777777" w:rsidTr="0051526F">
        <w:tc>
          <w:tcPr>
            <w:tcW w:w="2199" w:type="dxa"/>
            <w:tcBorders>
              <w:top w:val="single" w:sz="4" w:space="0" w:color="BFBFBF" w:themeColor="background1" w:themeShade="BF"/>
            </w:tcBorders>
          </w:tcPr>
          <w:p w14:paraId="60850D61" w14:textId="74515AEE" w:rsidR="00C72861" w:rsidRPr="00F321FC" w:rsidRDefault="00721E7A" w:rsidP="00413F90">
            <w:pPr>
              <w:pStyle w:val="Heading2"/>
              <w:rPr>
                <w:rFonts w:cs="Arial"/>
              </w:rPr>
            </w:pPr>
            <w:bookmarkStart w:id="0" w:name="one_background"/>
            <w:bookmarkStart w:id="1" w:name="_Toc149231785"/>
            <w:r w:rsidRPr="00F321FC">
              <w:rPr>
                <w:rFonts w:cs="Arial"/>
              </w:rPr>
              <w:t>Background</w:t>
            </w:r>
            <w:bookmarkEnd w:id="0"/>
            <w:bookmarkEnd w:id="1"/>
          </w:p>
        </w:tc>
        <w:tc>
          <w:tcPr>
            <w:tcW w:w="8262" w:type="dxa"/>
            <w:tcBorders>
              <w:top w:val="single" w:sz="4" w:space="0" w:color="BFBFBF" w:themeColor="background1" w:themeShade="BF"/>
            </w:tcBorders>
          </w:tcPr>
          <w:p w14:paraId="26345CC4" w14:textId="77777777" w:rsidR="00F9771E" w:rsidRPr="00F9771E" w:rsidRDefault="00F9771E" w:rsidP="00F9771E">
            <w:pPr>
              <w:rPr>
                <w:rFonts w:cs="Arial"/>
              </w:rPr>
            </w:pPr>
            <w:r w:rsidRPr="00F9771E">
              <w:rPr>
                <w:rFonts w:cs="Arial"/>
              </w:rPr>
              <w:t xml:space="preserve">Mycophenolate mofetil is a pro-drug of the active metabolite mycophenolic acid.  Mycophenolic acid is a suppressor of T and B cell proliferation and adhesion and inhibits inosine monophosphate dehydrogenase and eventually blocks the progression to DNA synthesis and proliferation. </w:t>
            </w:r>
          </w:p>
          <w:p w14:paraId="6B5F3EB1" w14:textId="41D7A378" w:rsidR="0065325B" w:rsidRPr="00B87200" w:rsidRDefault="00F9771E" w:rsidP="00F9771E">
            <w:pPr>
              <w:rPr>
                <w:rFonts w:cs="Arial"/>
              </w:rPr>
            </w:pPr>
            <w:r w:rsidRPr="00F9771E">
              <w:rPr>
                <w:rFonts w:cs="Arial"/>
              </w:rPr>
              <w:t>Mycophenolate is only licensed for the prevention of acute kidney, heart or liver transplant rejection (in combination with prednisolone or ciclosporin). It is not licensed for all the conditions it is used to treat. However, its use as a disease modifying anti-rheumatic drug (DMARD) and for the indications below are well established and supported by clinical specialists.</w:t>
            </w:r>
          </w:p>
        </w:tc>
      </w:tr>
      <w:tr w:rsidR="00C72861" w:rsidRPr="00F321FC" w14:paraId="700AF380" w14:textId="77777777" w:rsidTr="0051526F">
        <w:tc>
          <w:tcPr>
            <w:tcW w:w="2199" w:type="dxa"/>
          </w:tcPr>
          <w:p w14:paraId="353B7610" w14:textId="421AD839" w:rsidR="00C72861" w:rsidRPr="00F321FC" w:rsidRDefault="00A93496" w:rsidP="00D31D08">
            <w:pPr>
              <w:pStyle w:val="Heading2"/>
              <w:rPr>
                <w:rFonts w:cs="Arial"/>
              </w:rPr>
            </w:pPr>
            <w:bookmarkStart w:id="2" w:name="two_indications"/>
            <w:bookmarkStart w:id="3" w:name="_Toc149231786"/>
            <w:r w:rsidRPr="00F321FC">
              <w:rPr>
                <w:rFonts w:cs="Arial"/>
              </w:rPr>
              <w:t xml:space="preserve">Licensed </w:t>
            </w:r>
            <w:r w:rsidR="00035AE8">
              <w:rPr>
                <w:rFonts w:cs="Arial"/>
              </w:rPr>
              <w:t xml:space="preserve">and agreed off-label </w:t>
            </w:r>
            <w:r w:rsidRPr="00F321FC">
              <w:rPr>
                <w:rFonts w:cs="Arial"/>
              </w:rPr>
              <w:t>indications</w:t>
            </w:r>
            <w:bookmarkEnd w:id="2"/>
            <w:bookmarkEnd w:id="3"/>
          </w:p>
        </w:tc>
        <w:tc>
          <w:tcPr>
            <w:tcW w:w="8262" w:type="dxa"/>
          </w:tcPr>
          <w:p w14:paraId="580CA87C" w14:textId="77777777" w:rsidR="00F9771E" w:rsidRPr="00F9771E" w:rsidRDefault="00F9771E" w:rsidP="00F9771E">
            <w:pPr>
              <w:rPr>
                <w:rFonts w:cs="Arial"/>
              </w:rPr>
            </w:pPr>
            <w:r w:rsidRPr="00F9771E">
              <w:rPr>
                <w:rFonts w:cs="Arial"/>
              </w:rPr>
              <w:t xml:space="preserve">Off-label use for the treatment of chronic inflammatory conditions where use of mycophenolate mofetil is appropriate, including but not limited to the following specialities and conditions: </w:t>
            </w:r>
          </w:p>
          <w:p w14:paraId="78A882DF" w14:textId="3913C08E" w:rsidR="00F9771E" w:rsidRPr="00F9771E" w:rsidRDefault="00F9771E" w:rsidP="001B5AFA">
            <w:pPr>
              <w:pStyle w:val="ListParagraph"/>
              <w:numPr>
                <w:ilvl w:val="0"/>
                <w:numId w:val="4"/>
              </w:numPr>
              <w:rPr>
                <w:rFonts w:cs="Arial"/>
              </w:rPr>
            </w:pPr>
            <w:r w:rsidRPr="00F9771E">
              <w:rPr>
                <w:rFonts w:cs="Arial"/>
              </w:rPr>
              <w:t xml:space="preserve">Dermatology (e.g. myositis, severe psoriasis, severe atopic dermatitis/eczema, autoimmune bullous dermatoses, SLE) </w:t>
            </w:r>
          </w:p>
          <w:p w14:paraId="73B19F71" w14:textId="2C9F64CA" w:rsidR="00F9771E" w:rsidRPr="00F9771E" w:rsidRDefault="00F9771E" w:rsidP="001B5AFA">
            <w:pPr>
              <w:pStyle w:val="ListParagraph"/>
              <w:numPr>
                <w:ilvl w:val="0"/>
                <w:numId w:val="4"/>
              </w:numPr>
              <w:rPr>
                <w:rFonts w:cs="Arial"/>
              </w:rPr>
            </w:pPr>
            <w:r w:rsidRPr="00F9771E">
              <w:rPr>
                <w:rFonts w:cs="Arial"/>
              </w:rPr>
              <w:t xml:space="preserve">Gastroenterology (e.g. Crohn’s disease, ulcerative colitis) </w:t>
            </w:r>
          </w:p>
          <w:p w14:paraId="003EAAC4" w14:textId="2EFA89EB" w:rsidR="00F9771E" w:rsidRPr="00F9771E" w:rsidRDefault="00F9771E" w:rsidP="001B5AFA">
            <w:pPr>
              <w:pStyle w:val="ListParagraph"/>
              <w:numPr>
                <w:ilvl w:val="0"/>
                <w:numId w:val="4"/>
              </w:numPr>
              <w:rPr>
                <w:rFonts w:cs="Arial"/>
              </w:rPr>
            </w:pPr>
            <w:r w:rsidRPr="00F9771E">
              <w:rPr>
                <w:rFonts w:cs="Arial"/>
              </w:rPr>
              <w:t xml:space="preserve">Haematology (e.g. idiopathic thrombocytopenic purpura) </w:t>
            </w:r>
          </w:p>
          <w:p w14:paraId="7F29C64A" w14:textId="2EEBA74A" w:rsidR="00F9771E" w:rsidRPr="00F9771E" w:rsidRDefault="00F9771E" w:rsidP="001B5AFA">
            <w:pPr>
              <w:pStyle w:val="ListParagraph"/>
              <w:numPr>
                <w:ilvl w:val="0"/>
                <w:numId w:val="4"/>
              </w:numPr>
              <w:rPr>
                <w:rFonts w:cs="Arial"/>
              </w:rPr>
            </w:pPr>
            <w:r w:rsidRPr="00F9771E">
              <w:rPr>
                <w:rFonts w:cs="Arial"/>
              </w:rPr>
              <w:t xml:space="preserve">Hepatology (e.g. auto-immune hepatitis) </w:t>
            </w:r>
          </w:p>
          <w:p w14:paraId="00A901B8" w14:textId="6ABA9AA7" w:rsidR="00F9771E" w:rsidRPr="00F9771E" w:rsidRDefault="00F9771E" w:rsidP="001B5AFA">
            <w:pPr>
              <w:pStyle w:val="ListParagraph"/>
              <w:numPr>
                <w:ilvl w:val="0"/>
                <w:numId w:val="4"/>
              </w:numPr>
              <w:rPr>
                <w:rFonts w:cs="Arial"/>
              </w:rPr>
            </w:pPr>
            <w:r w:rsidRPr="00F9771E">
              <w:rPr>
                <w:rFonts w:cs="Arial"/>
              </w:rPr>
              <w:t xml:space="preserve">Neurology (e.g. inflammatory neuropathies, myasthenia gravis) </w:t>
            </w:r>
          </w:p>
          <w:p w14:paraId="6EB3A2DE" w14:textId="10FAED00" w:rsidR="00F9771E" w:rsidRPr="00F9771E" w:rsidRDefault="00F9771E" w:rsidP="001B5AFA">
            <w:pPr>
              <w:pStyle w:val="ListParagraph"/>
              <w:numPr>
                <w:ilvl w:val="0"/>
                <w:numId w:val="4"/>
              </w:numPr>
              <w:rPr>
                <w:rFonts w:cs="Arial"/>
              </w:rPr>
            </w:pPr>
            <w:r w:rsidRPr="00F9771E">
              <w:rPr>
                <w:rFonts w:cs="Arial"/>
              </w:rPr>
              <w:t xml:space="preserve">Ophthalmology (e.g. uveitis, scleritis) </w:t>
            </w:r>
          </w:p>
          <w:p w14:paraId="7C7C133C" w14:textId="3B5969D6" w:rsidR="00F9771E" w:rsidRPr="00F9771E" w:rsidRDefault="00F9771E" w:rsidP="001B5AFA">
            <w:pPr>
              <w:pStyle w:val="ListParagraph"/>
              <w:numPr>
                <w:ilvl w:val="0"/>
                <w:numId w:val="4"/>
              </w:numPr>
              <w:rPr>
                <w:rFonts w:cs="Arial"/>
              </w:rPr>
            </w:pPr>
            <w:r w:rsidRPr="00F9771E">
              <w:rPr>
                <w:rFonts w:cs="Arial"/>
              </w:rPr>
              <w:t xml:space="preserve">Oral medicine (e.g. Behçet’s disease, refractory inflammatory oral disease) </w:t>
            </w:r>
          </w:p>
          <w:p w14:paraId="3EFAE274" w14:textId="176DFD0C" w:rsidR="00F9771E" w:rsidRPr="00F9771E" w:rsidRDefault="00F9771E" w:rsidP="001B5AFA">
            <w:pPr>
              <w:pStyle w:val="ListParagraph"/>
              <w:numPr>
                <w:ilvl w:val="0"/>
                <w:numId w:val="4"/>
              </w:numPr>
              <w:rPr>
                <w:rFonts w:cs="Arial"/>
              </w:rPr>
            </w:pPr>
            <w:r w:rsidRPr="00F9771E">
              <w:rPr>
                <w:rFonts w:cs="Arial"/>
              </w:rPr>
              <w:t xml:space="preserve">Renal medicine (e.g. immune-mediated nephritis) </w:t>
            </w:r>
          </w:p>
          <w:p w14:paraId="39CE4725" w14:textId="727B2AE5" w:rsidR="00F9771E" w:rsidRPr="00F9771E" w:rsidRDefault="00F9771E" w:rsidP="001B5AFA">
            <w:pPr>
              <w:pStyle w:val="ListParagraph"/>
              <w:numPr>
                <w:ilvl w:val="0"/>
                <w:numId w:val="4"/>
              </w:numPr>
              <w:rPr>
                <w:rFonts w:cs="Arial"/>
              </w:rPr>
            </w:pPr>
            <w:r w:rsidRPr="00F9771E">
              <w:rPr>
                <w:rFonts w:cs="Arial"/>
              </w:rPr>
              <w:t xml:space="preserve">Respiratory disease (e.g. interstitial lung disease) </w:t>
            </w:r>
          </w:p>
          <w:p w14:paraId="398C2976" w14:textId="25847869" w:rsidR="00F9771E" w:rsidRPr="00F9771E" w:rsidRDefault="00F9771E" w:rsidP="001B5AFA">
            <w:pPr>
              <w:pStyle w:val="ListParagraph"/>
              <w:numPr>
                <w:ilvl w:val="0"/>
                <w:numId w:val="4"/>
              </w:numPr>
              <w:rPr>
                <w:rFonts w:cs="Arial"/>
              </w:rPr>
            </w:pPr>
            <w:r w:rsidRPr="00F9771E">
              <w:rPr>
                <w:rFonts w:cs="Arial"/>
              </w:rPr>
              <w:t xml:space="preserve">Rheumatology (e.g. rheumatoid arthritis, systemic lupus erythematosus [SLE], vasculitis) </w:t>
            </w:r>
          </w:p>
          <w:p w14:paraId="511F7799" w14:textId="77777777" w:rsidR="00F9771E" w:rsidRPr="00F9771E" w:rsidRDefault="00F9771E" w:rsidP="00F9771E">
            <w:pPr>
              <w:rPr>
                <w:rFonts w:cs="Arial"/>
              </w:rPr>
            </w:pPr>
            <w:r w:rsidRPr="00F9771E">
              <w:rPr>
                <w:rFonts w:cs="Arial"/>
              </w:rPr>
              <w:t xml:space="preserve">These indications are off-label. The initiating specialist </w:t>
            </w:r>
            <w:r w:rsidRPr="00F9771E">
              <w:rPr>
                <w:rFonts w:cs="Arial"/>
                <w:u w:val="single"/>
              </w:rPr>
              <w:t>must specify the indication for each patient</w:t>
            </w:r>
            <w:r w:rsidRPr="00F9771E">
              <w:rPr>
                <w:rFonts w:cs="Arial"/>
              </w:rPr>
              <w:t xml:space="preserve"> when initiating shared care and clearly state when use is off-label. </w:t>
            </w:r>
          </w:p>
          <w:p w14:paraId="452D25AB" w14:textId="3F3BF95B" w:rsidR="007A56FB" w:rsidRPr="007A56FB" w:rsidRDefault="00F9771E" w:rsidP="00F9771E">
            <w:pPr>
              <w:rPr>
                <w:rFonts w:cs="Arial"/>
              </w:rPr>
            </w:pPr>
            <w:r w:rsidRPr="00F9771E">
              <w:rPr>
                <w:rFonts w:cs="Arial"/>
              </w:rPr>
              <w:t>This shared care protocol applies to adults aged 18 and over. It does not include use of mycophenolate mofetil for transplant indications.</w:t>
            </w:r>
          </w:p>
        </w:tc>
      </w:tr>
      <w:tr w:rsidR="00C72861" w:rsidRPr="00F321FC" w14:paraId="36B1B999" w14:textId="77777777" w:rsidTr="0051526F">
        <w:tc>
          <w:tcPr>
            <w:tcW w:w="2199" w:type="dxa"/>
          </w:tcPr>
          <w:p w14:paraId="6F2C624B" w14:textId="515A3B01" w:rsidR="00C72861" w:rsidRPr="00F321FC" w:rsidRDefault="00A93496" w:rsidP="00D31D08">
            <w:pPr>
              <w:pStyle w:val="Heading2"/>
              <w:rPr>
                <w:rFonts w:cs="Arial"/>
              </w:rPr>
            </w:pPr>
            <w:bookmarkStart w:id="4" w:name="three_local_indications"/>
            <w:bookmarkStart w:id="5" w:name="_Toc149231787"/>
            <w:r w:rsidRPr="00F321FC">
              <w:rPr>
                <w:rFonts w:cs="Arial"/>
              </w:rPr>
              <w:t xml:space="preserve">Locally agreed </w:t>
            </w:r>
            <w:r w:rsidR="00EC0326">
              <w:rPr>
                <w:rFonts w:cs="Arial"/>
              </w:rPr>
              <w:t>indications</w:t>
            </w:r>
            <w:bookmarkEnd w:id="4"/>
            <w:bookmarkEnd w:id="5"/>
          </w:p>
        </w:tc>
        <w:tc>
          <w:tcPr>
            <w:tcW w:w="8262" w:type="dxa"/>
          </w:tcPr>
          <w:p w14:paraId="14C3CD90" w14:textId="0BE7D968" w:rsidR="00C72861" w:rsidRPr="000E2D8B" w:rsidRDefault="000E2D8B" w:rsidP="00FB404F">
            <w:pPr>
              <w:rPr>
                <w:rFonts w:cs="Arial"/>
                <w:i/>
                <w:iCs/>
              </w:rPr>
            </w:pPr>
            <w:r w:rsidRPr="000E2D8B">
              <w:rPr>
                <w:rFonts w:cs="Arial"/>
                <w:i/>
                <w:iCs/>
                <w:highlight w:val="yellow"/>
              </w:rPr>
              <w:t>To be completed locally</w:t>
            </w:r>
          </w:p>
        </w:tc>
      </w:tr>
      <w:tr w:rsidR="00C72861" w:rsidRPr="00F321FC" w14:paraId="6823BC14" w14:textId="77777777" w:rsidTr="0051526F">
        <w:tc>
          <w:tcPr>
            <w:tcW w:w="2199" w:type="dxa"/>
          </w:tcPr>
          <w:p w14:paraId="5B29E378" w14:textId="09C1A858" w:rsidR="00C72861" w:rsidRPr="00F321FC" w:rsidRDefault="00F132AA" w:rsidP="00D31D08">
            <w:pPr>
              <w:pStyle w:val="Heading2"/>
              <w:rPr>
                <w:rFonts w:cs="Arial"/>
              </w:rPr>
            </w:pPr>
            <w:bookmarkStart w:id="6" w:name="four_dosing"/>
            <w:bookmarkStart w:id="7" w:name="_Toc149231788"/>
            <w:r w:rsidRPr="00F321FC">
              <w:rPr>
                <w:rFonts w:cs="Arial"/>
              </w:rPr>
              <w:t>Initiation and ongoing dose regime</w:t>
            </w:r>
            <w:bookmarkEnd w:id="6"/>
            <w:bookmarkEnd w:id="7"/>
          </w:p>
        </w:tc>
        <w:tc>
          <w:tcPr>
            <w:tcW w:w="8262" w:type="dxa"/>
          </w:tcPr>
          <w:p w14:paraId="7AB5F9FB" w14:textId="4BD23D44" w:rsidR="00FB404F" w:rsidRPr="00FB404F" w:rsidRDefault="00FB404F" w:rsidP="00FB404F">
            <w:pPr>
              <w:rPr>
                <w:rFonts w:cs="Arial"/>
              </w:rPr>
            </w:pPr>
            <w:r w:rsidRPr="00FB404F">
              <w:rPr>
                <w:rFonts w:cs="Arial"/>
              </w:rPr>
              <w:t xml:space="preserve">Transfer of monitoring and prescribing to primary care is normally after at least </w:t>
            </w:r>
            <w:commentRangeStart w:id="8"/>
            <w:r w:rsidR="00E44E88">
              <w:rPr>
                <w:rFonts w:cs="Arial"/>
                <w:highlight w:val="yellow"/>
              </w:rPr>
              <w:t>12</w:t>
            </w:r>
            <w:commentRangeEnd w:id="8"/>
            <w:r w:rsidR="00E44E88">
              <w:rPr>
                <w:rStyle w:val="CommentReference"/>
              </w:rPr>
              <w:commentReference w:id="8"/>
            </w:r>
            <w:r w:rsidRPr="00FB404F">
              <w:rPr>
                <w:rFonts w:cs="Arial"/>
                <w:highlight w:val="yellow"/>
              </w:rPr>
              <w:t xml:space="preserve"> weeks</w:t>
            </w:r>
            <w:r w:rsidRPr="00FB404F">
              <w:rPr>
                <w:rFonts w:cs="Arial"/>
              </w:rPr>
              <w:t xml:space="preserve">, and when the patient’s dose has been optimised and with satisfactory investigation results for at least </w:t>
            </w:r>
            <w:r w:rsidR="00E44E88">
              <w:rPr>
                <w:rFonts w:cs="Arial"/>
                <w:highlight w:val="yellow"/>
              </w:rPr>
              <w:t>12</w:t>
            </w:r>
            <w:r w:rsidRPr="00FB404F">
              <w:rPr>
                <w:rFonts w:cs="Arial"/>
                <w:highlight w:val="yellow"/>
              </w:rPr>
              <w:t xml:space="preserve"> weeks</w:t>
            </w:r>
            <w:r w:rsidRPr="00FB404F">
              <w:rPr>
                <w:rFonts w:cs="Arial"/>
              </w:rPr>
              <w:t>.</w:t>
            </w:r>
          </w:p>
          <w:p w14:paraId="3243FEE8" w14:textId="4FE667AD" w:rsidR="00FB404F" w:rsidRPr="00FB404F" w:rsidRDefault="00FB404F" w:rsidP="00FB404F">
            <w:pPr>
              <w:rPr>
                <w:rFonts w:cs="Arial"/>
              </w:rPr>
            </w:pPr>
            <w:r w:rsidRPr="00FB404F">
              <w:rPr>
                <w:rFonts w:cs="Arial"/>
              </w:rPr>
              <w:t>The duration of treatment &amp; frequency of review will be determined by the specialist, based on clinical response and tolerability.</w:t>
            </w:r>
          </w:p>
          <w:p w14:paraId="7596D355" w14:textId="77EFBABC" w:rsidR="00FB404F" w:rsidRPr="00FB404F" w:rsidRDefault="00FB404F" w:rsidP="00FB404F">
            <w:pPr>
              <w:rPr>
                <w:rFonts w:cs="Arial"/>
              </w:rPr>
            </w:pPr>
            <w:r w:rsidRPr="00FB404F">
              <w:rPr>
                <w:rFonts w:cs="Arial"/>
              </w:rPr>
              <w:t>All dose or formulation adjustments will be the responsibility of the specialist unless directions have been discussed and agreed with the primary care clinician.</w:t>
            </w:r>
          </w:p>
          <w:p w14:paraId="78E31A93" w14:textId="0476360E" w:rsidR="00C72861" w:rsidRPr="00FB404F" w:rsidRDefault="00FB404F" w:rsidP="00FB404F">
            <w:pPr>
              <w:rPr>
                <w:rFonts w:cs="Arial"/>
              </w:rPr>
            </w:pPr>
            <w:r w:rsidRPr="00FB404F">
              <w:rPr>
                <w:rFonts w:cs="Arial"/>
              </w:rPr>
              <w:t>Termination of treatment will be the responsibility of the specialist.</w:t>
            </w:r>
          </w:p>
          <w:p w14:paraId="7FAC74DC" w14:textId="77777777" w:rsidR="00FB404F" w:rsidRPr="00FB404F" w:rsidRDefault="00FB404F" w:rsidP="00FB404F">
            <w:pPr>
              <w:rPr>
                <w:rFonts w:cs="Arial"/>
              </w:rPr>
            </w:pPr>
          </w:p>
          <w:p w14:paraId="6555FAD1" w14:textId="2C9BA274" w:rsidR="00891257" w:rsidRPr="0051526F" w:rsidRDefault="00FB404F" w:rsidP="0051526F">
            <w:pPr>
              <w:rPr>
                <w:b/>
                <w:bCs/>
                <w:u w:val="single"/>
              </w:rPr>
            </w:pPr>
            <w:r w:rsidRPr="0051526F">
              <w:rPr>
                <w:b/>
                <w:bCs/>
                <w:u w:val="single"/>
              </w:rPr>
              <w:t xml:space="preserve">Initial </w:t>
            </w:r>
            <w:r w:rsidR="00946787" w:rsidRPr="0051526F">
              <w:rPr>
                <w:b/>
                <w:bCs/>
                <w:u w:val="single"/>
              </w:rPr>
              <w:t>stabilisation</w:t>
            </w:r>
            <w:r w:rsidRPr="0051526F">
              <w:rPr>
                <w:b/>
                <w:bCs/>
                <w:u w:val="single"/>
              </w:rPr>
              <w:t xml:space="preserve">: </w:t>
            </w:r>
          </w:p>
          <w:p w14:paraId="2229E9DD" w14:textId="5C89C814" w:rsidR="00946787" w:rsidRPr="00946787" w:rsidRDefault="00F9771E" w:rsidP="00946787">
            <w:pPr>
              <w:rPr>
                <w:rFonts w:cs="Arial"/>
              </w:rPr>
            </w:pPr>
            <w:r w:rsidRPr="00F9771E">
              <w:rPr>
                <w:rFonts w:cs="Arial"/>
              </w:rPr>
              <w:t>To be determined by the specialist based on indication and disease severity. Typically mycophenolate mofetil 250mg or 500mg once or twice daily, increasing in weekly increments</w:t>
            </w:r>
            <w:r>
              <w:rPr>
                <w:rFonts w:cs="Arial"/>
              </w:rPr>
              <w:t>.</w:t>
            </w:r>
          </w:p>
          <w:p w14:paraId="46BB63EB" w14:textId="3CFD7F9A" w:rsidR="003558F4" w:rsidRPr="00946787" w:rsidRDefault="00946787" w:rsidP="00946787">
            <w:pPr>
              <w:rPr>
                <w:rFonts w:cs="Arial"/>
                <w:b/>
                <w:bCs/>
              </w:rPr>
            </w:pPr>
            <w:r w:rsidRPr="00946787">
              <w:rPr>
                <w:rFonts w:cs="Arial"/>
                <w:b/>
                <w:bCs/>
              </w:rPr>
              <w:t>The loading period must be prescribed by the initiating specialist.</w:t>
            </w:r>
          </w:p>
          <w:p w14:paraId="1FBF66C2" w14:textId="77777777" w:rsidR="007A56FB" w:rsidRDefault="007A56FB" w:rsidP="0051526F">
            <w:pPr>
              <w:rPr>
                <w:b/>
                <w:bCs/>
                <w:u w:val="single"/>
              </w:rPr>
            </w:pPr>
          </w:p>
          <w:p w14:paraId="2F92A165" w14:textId="47BFAF93" w:rsidR="000F4219" w:rsidRPr="0051526F" w:rsidRDefault="00FB404F" w:rsidP="0051526F">
            <w:pPr>
              <w:rPr>
                <w:b/>
                <w:bCs/>
                <w:u w:val="single"/>
              </w:rPr>
            </w:pPr>
            <w:r w:rsidRPr="0051526F">
              <w:rPr>
                <w:b/>
                <w:bCs/>
                <w:u w:val="single"/>
              </w:rPr>
              <w:t>Maintenance dose (following initial stabilisation):</w:t>
            </w:r>
          </w:p>
          <w:p w14:paraId="53534752" w14:textId="1CF62F9E" w:rsidR="007A56FB" w:rsidRDefault="00F9771E" w:rsidP="00F9771E">
            <w:r w:rsidRPr="00F9771E">
              <w:t xml:space="preserve">Typically mycophenolate mofetil 1-2 grams daily, in divided doses. Maximum dose: 3 grams daily. </w:t>
            </w:r>
          </w:p>
          <w:p w14:paraId="7AA3AEC4" w14:textId="47884F34" w:rsidR="00FB404F" w:rsidRDefault="001A51F3" w:rsidP="001A51F3">
            <w:pPr>
              <w:rPr>
                <w:rFonts w:cs="Arial"/>
                <w:b/>
                <w:bCs/>
              </w:rPr>
            </w:pPr>
            <w:r w:rsidRPr="001A51F3">
              <w:rPr>
                <w:rFonts w:cs="Arial"/>
                <w:b/>
                <w:bCs/>
              </w:rPr>
              <w:t>The initial maintenance dose must be prescribed by the initiating specialist.</w:t>
            </w:r>
          </w:p>
          <w:p w14:paraId="694EB333" w14:textId="77777777" w:rsidR="00F9771E" w:rsidRDefault="00F9771E" w:rsidP="001A51F3">
            <w:pPr>
              <w:rPr>
                <w:rFonts w:cs="Arial"/>
                <w:b/>
                <w:bCs/>
              </w:rPr>
            </w:pPr>
          </w:p>
          <w:p w14:paraId="5659C8F8" w14:textId="0786F348" w:rsidR="00F9771E" w:rsidRPr="00F9771E" w:rsidRDefault="00F9771E" w:rsidP="001A51F3">
            <w:pPr>
              <w:rPr>
                <w:rFonts w:cs="Arial"/>
                <w:b/>
                <w:bCs/>
                <w:u w:val="single"/>
              </w:rPr>
            </w:pPr>
            <w:r w:rsidRPr="00F9771E">
              <w:rPr>
                <w:rFonts w:cs="Arial"/>
                <w:b/>
                <w:bCs/>
                <w:u w:val="single"/>
              </w:rPr>
              <w:t>Mycophenolic acid</w:t>
            </w:r>
          </w:p>
          <w:p w14:paraId="49436DBE" w14:textId="7E549EF3" w:rsidR="00F9771E" w:rsidRPr="001A51F3" w:rsidRDefault="00F9771E" w:rsidP="00F9771E">
            <w:r w:rsidRPr="00F9771E">
              <w:t>Mycophenolic acid 720 mg is approximately equivalent to mycophenolate mofetil 1 g</w:t>
            </w:r>
            <w:r>
              <w:t>,</w:t>
            </w:r>
            <w:r w:rsidRPr="00F9771E">
              <w:t xml:space="preserve"> but unnecessary switching should be avoided due to pharmacokinetic differences. Switches should only be performed by, or with the advice of, the specialist team. Mycophenolic acid should usually be reserved for patients who do not tolerate mycophenolate mofetil. </w:t>
            </w:r>
          </w:p>
          <w:p w14:paraId="6BA7644C" w14:textId="77777777" w:rsidR="001A51F3" w:rsidRPr="00FB404F" w:rsidRDefault="001A51F3" w:rsidP="001A51F3">
            <w:pPr>
              <w:rPr>
                <w:rFonts w:cs="Arial"/>
              </w:rPr>
            </w:pPr>
          </w:p>
          <w:p w14:paraId="35304426" w14:textId="5CF2C7C6" w:rsidR="00FB404F" w:rsidRPr="00FB404F" w:rsidRDefault="00FB404F" w:rsidP="00FB404F">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4513789F" w14:textId="4F3245FB" w:rsidR="00F9771E" w:rsidRPr="00F9771E" w:rsidRDefault="00F9771E" w:rsidP="00F9771E">
            <w:pPr>
              <w:rPr>
                <w:rFonts w:cs="Arial"/>
              </w:rPr>
            </w:pPr>
            <w:r w:rsidRPr="00F9771E">
              <w:rPr>
                <w:rFonts w:cs="Arial"/>
              </w:rPr>
              <w:t xml:space="preserve">The maximum recommended dose in severe chronic renal impairment (GFR </w:t>
            </w:r>
            <w:r>
              <w:rPr>
                <w:rFonts w:cs="Arial"/>
              </w:rPr>
              <w:t xml:space="preserve">less than </w:t>
            </w:r>
            <w:r w:rsidRPr="00F9771E">
              <w:rPr>
                <w:rFonts w:cs="Arial"/>
              </w:rPr>
              <w:t>25 mL/min/1.73m</w:t>
            </w:r>
            <w:r w:rsidRPr="00F9771E">
              <w:rPr>
                <w:rFonts w:cs="Arial"/>
                <w:vertAlign w:val="superscript"/>
              </w:rPr>
              <w:t>2</w:t>
            </w:r>
            <w:r w:rsidRPr="00F9771E">
              <w:rPr>
                <w:rFonts w:cs="Arial"/>
              </w:rPr>
              <w:t xml:space="preserve">) is: </w:t>
            </w:r>
          </w:p>
          <w:p w14:paraId="170741EF" w14:textId="1B7A78CE" w:rsidR="00F9771E" w:rsidRPr="00F9771E" w:rsidRDefault="00F9771E" w:rsidP="001B5AFA">
            <w:pPr>
              <w:pStyle w:val="ListParagraph"/>
              <w:numPr>
                <w:ilvl w:val="0"/>
                <w:numId w:val="5"/>
              </w:numPr>
              <w:rPr>
                <w:rFonts w:cs="Arial"/>
              </w:rPr>
            </w:pPr>
            <w:r w:rsidRPr="00F9771E">
              <w:rPr>
                <w:rFonts w:cs="Arial"/>
              </w:rPr>
              <w:t xml:space="preserve">Mycophenolate mofetil:1 gram, twice daily </w:t>
            </w:r>
          </w:p>
          <w:p w14:paraId="710857F8" w14:textId="76CF16F0" w:rsidR="000F4219" w:rsidRPr="00F9771E" w:rsidRDefault="00F9771E" w:rsidP="001B5AFA">
            <w:pPr>
              <w:pStyle w:val="ListParagraph"/>
              <w:numPr>
                <w:ilvl w:val="0"/>
                <w:numId w:val="5"/>
              </w:numPr>
              <w:rPr>
                <w:rFonts w:cs="Arial"/>
              </w:rPr>
            </w:pPr>
            <w:r w:rsidRPr="00F9771E">
              <w:rPr>
                <w:rFonts w:cs="Arial"/>
              </w:rPr>
              <w:t>Mycophenolic acid: 720 mg, twice daily</w:t>
            </w:r>
          </w:p>
        </w:tc>
      </w:tr>
      <w:tr w:rsidR="00C72861" w:rsidRPr="00F321FC" w14:paraId="68FCED24" w14:textId="77777777" w:rsidTr="0051526F">
        <w:tc>
          <w:tcPr>
            <w:tcW w:w="2199" w:type="dxa"/>
          </w:tcPr>
          <w:p w14:paraId="3DF33630" w14:textId="4E2865B1" w:rsidR="00C72861" w:rsidRPr="00F321FC" w:rsidRDefault="00AE0E89" w:rsidP="00AE0E89">
            <w:pPr>
              <w:pStyle w:val="Heading2"/>
              <w:rPr>
                <w:rFonts w:cs="Arial"/>
              </w:rPr>
            </w:pPr>
            <w:bookmarkStart w:id="9" w:name="five_initial_monitoring"/>
            <w:bookmarkStart w:id="10" w:name="_Toc149231789"/>
            <w:r w:rsidRPr="00F321FC">
              <w:rPr>
                <w:rFonts w:cs="Arial"/>
              </w:rPr>
              <w:lastRenderedPageBreak/>
              <w:t xml:space="preserve">Baseline investigations, initial </w:t>
            </w:r>
            <w:r w:rsidR="00005FC7" w:rsidRPr="00F321FC">
              <w:rPr>
                <w:rFonts w:cs="Arial"/>
              </w:rPr>
              <w:t>monitoring,</w:t>
            </w:r>
            <w:r w:rsidRPr="00F321FC">
              <w:rPr>
                <w:rFonts w:cs="Arial"/>
              </w:rPr>
              <w:t xml:space="preserve"> and </w:t>
            </w:r>
            <w:r w:rsidR="00FB404F">
              <w:rPr>
                <w:rFonts w:cs="Arial"/>
              </w:rPr>
              <w:t xml:space="preserve">ongoing monitoring </w:t>
            </w:r>
            <w:r w:rsidRPr="00F321FC">
              <w:rPr>
                <w:rFonts w:cs="Arial"/>
              </w:rPr>
              <w:t>to be undertaken by specialist</w:t>
            </w:r>
            <w:bookmarkEnd w:id="9"/>
            <w:bookmarkEnd w:id="10"/>
          </w:p>
        </w:tc>
        <w:tc>
          <w:tcPr>
            <w:tcW w:w="8262" w:type="dxa"/>
          </w:tcPr>
          <w:p w14:paraId="0226882F" w14:textId="432B5CFF" w:rsidR="00FB404F" w:rsidRDefault="00FB404F" w:rsidP="00003E35">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3E25A637" w14:textId="77777777" w:rsidR="00FB404F" w:rsidRPr="00FB404F" w:rsidRDefault="00FB404F" w:rsidP="00003E35">
            <w:pPr>
              <w:rPr>
                <w:lang w:eastAsia="en-GB"/>
              </w:rPr>
            </w:pPr>
          </w:p>
          <w:p w14:paraId="294CCC09" w14:textId="77777777" w:rsidR="00F9771E" w:rsidRPr="00F9771E" w:rsidRDefault="00F9771E" w:rsidP="00F9771E">
            <w:pPr>
              <w:rPr>
                <w:b/>
                <w:bCs/>
                <w:u w:val="single"/>
              </w:rPr>
            </w:pPr>
            <w:r w:rsidRPr="00F9771E">
              <w:rPr>
                <w:b/>
                <w:bCs/>
                <w:u w:val="single"/>
              </w:rPr>
              <w:t xml:space="preserve">Baseline investigations: </w:t>
            </w:r>
          </w:p>
          <w:p w14:paraId="023C4C1E" w14:textId="68F4B711" w:rsidR="00F9771E" w:rsidRPr="00F9771E" w:rsidRDefault="00F9771E" w:rsidP="001B5AFA">
            <w:pPr>
              <w:pStyle w:val="ListParagraph"/>
              <w:numPr>
                <w:ilvl w:val="0"/>
                <w:numId w:val="6"/>
              </w:numPr>
            </w:pPr>
            <w:r w:rsidRPr="00F9771E">
              <w:t>Full blood count (FBC)</w:t>
            </w:r>
            <w:r>
              <w:t>.</w:t>
            </w:r>
            <w:r w:rsidRPr="00F9771E">
              <w:t xml:space="preserve"> </w:t>
            </w:r>
          </w:p>
          <w:p w14:paraId="5E40BC04" w14:textId="5607FC9D" w:rsidR="00F9771E" w:rsidRPr="00F9771E" w:rsidRDefault="00F9771E" w:rsidP="001B5AFA">
            <w:pPr>
              <w:pStyle w:val="ListParagraph"/>
              <w:numPr>
                <w:ilvl w:val="0"/>
                <w:numId w:val="6"/>
              </w:numPr>
            </w:pPr>
            <w:r w:rsidRPr="00F9771E">
              <w:t>Urea and electrolytes (U&amp;E), including creatinine and creatinine clearance (CrCl)</w:t>
            </w:r>
            <w:r>
              <w:t>.</w:t>
            </w:r>
          </w:p>
          <w:p w14:paraId="7479CA3B" w14:textId="1D4E7ECE" w:rsidR="00F9771E" w:rsidRPr="00F9771E" w:rsidRDefault="00F9771E" w:rsidP="001B5AFA">
            <w:pPr>
              <w:pStyle w:val="ListParagraph"/>
              <w:numPr>
                <w:ilvl w:val="0"/>
                <w:numId w:val="6"/>
              </w:numPr>
            </w:pPr>
            <w:r w:rsidRPr="00F9771E">
              <w:t>Alanine aminotransferase (ALT) and/or aspartate aminotransferase (AST), and albumin</w:t>
            </w:r>
            <w:r>
              <w:t>.</w:t>
            </w:r>
          </w:p>
          <w:p w14:paraId="7F503609" w14:textId="6E0E0F61" w:rsidR="00F9771E" w:rsidRPr="00F9771E" w:rsidRDefault="00F9771E" w:rsidP="001B5AFA">
            <w:pPr>
              <w:pStyle w:val="ListParagraph"/>
              <w:numPr>
                <w:ilvl w:val="0"/>
                <w:numId w:val="6"/>
              </w:numPr>
            </w:pPr>
            <w:r w:rsidRPr="00F9771E">
              <w:t>Height &amp; weight</w:t>
            </w:r>
            <w:r>
              <w:t>.</w:t>
            </w:r>
          </w:p>
          <w:p w14:paraId="4335FA2B" w14:textId="05A28C07" w:rsidR="00F9771E" w:rsidRPr="00F9771E" w:rsidRDefault="00F9771E" w:rsidP="001B5AFA">
            <w:pPr>
              <w:pStyle w:val="ListParagraph"/>
              <w:numPr>
                <w:ilvl w:val="0"/>
                <w:numId w:val="6"/>
              </w:numPr>
            </w:pPr>
            <w:r w:rsidRPr="00F9771E">
              <w:t>Blood pressure</w:t>
            </w:r>
            <w:r>
              <w:t>.</w:t>
            </w:r>
          </w:p>
          <w:p w14:paraId="08CB2A0D" w14:textId="58CDBCEA" w:rsidR="00F9771E" w:rsidRPr="00F9771E" w:rsidRDefault="00F9771E" w:rsidP="001B5AFA">
            <w:pPr>
              <w:pStyle w:val="ListParagraph"/>
              <w:numPr>
                <w:ilvl w:val="0"/>
                <w:numId w:val="6"/>
              </w:numPr>
            </w:pPr>
            <w:r w:rsidRPr="00F9771E">
              <w:t>Screening for viral infections as per local policy, e.g. HIV and hepatitis B and C, varicella zoster, Epstein Barr virus, cytomegalovirus</w:t>
            </w:r>
            <w:r>
              <w:t>.</w:t>
            </w:r>
          </w:p>
          <w:p w14:paraId="7518F3CF" w14:textId="016C1AAC" w:rsidR="00F9771E" w:rsidRPr="00F9771E" w:rsidRDefault="00F9771E" w:rsidP="001B5AFA">
            <w:pPr>
              <w:pStyle w:val="ListParagraph"/>
              <w:numPr>
                <w:ilvl w:val="0"/>
                <w:numId w:val="6"/>
              </w:numPr>
            </w:pPr>
            <w:r w:rsidRPr="00F9771E">
              <w:t xml:space="preserve">Before starting mycophenolate mofetil treatment, people of childbearing potential should have a negative pregnancy test. Two serum or urine pregnancy tests with a sensitivity of at least 25 </w:t>
            </w:r>
            <w:proofErr w:type="spellStart"/>
            <w:r w:rsidRPr="00F9771E">
              <w:t>mlU</w:t>
            </w:r>
            <w:proofErr w:type="spellEnd"/>
            <w:r w:rsidRPr="00F9771E">
              <w:t xml:space="preserve">/mL are recommended. A second test should be done 8-10 days after the first one and immediately before starting mycophenolate mofetil, unless exceptional circumstances exist whereby a delay in the initiation of treatment would cause harm to the patient and the prescriber is satisfied that a single test is adequate to rule out pregnancy. Pregnancy tests should be repeated as clinically required (e.g. after any gap in contraception is reported). See </w:t>
            </w:r>
            <w:hyperlink r:id="rId17" w:history="1">
              <w:r w:rsidRPr="00603A8A">
                <w:rPr>
                  <w:rStyle w:val="Hyperlink"/>
                </w:rPr>
                <w:t>MHRA Drug Safety Update</w:t>
              </w:r>
            </w:hyperlink>
            <w:r w:rsidRPr="00F9771E">
              <w:t xml:space="preserve"> for more detail</w:t>
            </w:r>
            <w:r>
              <w:t>.</w:t>
            </w:r>
          </w:p>
          <w:p w14:paraId="594E4A27" w14:textId="294C2358" w:rsidR="00F9771E" w:rsidRPr="00F9771E" w:rsidRDefault="00F9771E" w:rsidP="001B5AFA">
            <w:pPr>
              <w:pStyle w:val="ListParagraph"/>
              <w:numPr>
                <w:ilvl w:val="0"/>
                <w:numId w:val="6"/>
              </w:numPr>
            </w:pPr>
            <w:r w:rsidRPr="00F9771E">
              <w:t>Screening for lung disease, including tuberculosis, should be undertaken at clinician discretion on a case by case basis</w:t>
            </w:r>
            <w:r>
              <w:t>.</w:t>
            </w:r>
          </w:p>
          <w:p w14:paraId="2B7FA10C" w14:textId="7A2D0E6C" w:rsidR="00F9771E" w:rsidRDefault="00F9771E" w:rsidP="001B5AFA">
            <w:pPr>
              <w:pStyle w:val="ListParagraph"/>
              <w:numPr>
                <w:ilvl w:val="0"/>
                <w:numId w:val="6"/>
              </w:numPr>
            </w:pPr>
            <w:r w:rsidRPr="00F9771E">
              <w:t>Provide or request appropriate vaccination prior to treatment initiation, according to local arrangements (e.g. pneumococcal, shingles, influenza, COVID-19)</w:t>
            </w:r>
            <w:r>
              <w:t>.</w:t>
            </w:r>
          </w:p>
          <w:p w14:paraId="2F973AED" w14:textId="77777777" w:rsidR="00F9771E" w:rsidRPr="00F9771E" w:rsidRDefault="00F9771E" w:rsidP="00F9771E"/>
          <w:p w14:paraId="5A520BE5" w14:textId="77777777" w:rsidR="00F9771E" w:rsidRPr="00F9771E" w:rsidRDefault="00F9771E" w:rsidP="00F9771E">
            <w:pPr>
              <w:rPr>
                <w:b/>
                <w:bCs/>
                <w:u w:val="single"/>
              </w:rPr>
            </w:pPr>
            <w:r w:rsidRPr="00F9771E">
              <w:rPr>
                <w:b/>
                <w:bCs/>
                <w:u w:val="single"/>
              </w:rPr>
              <w:lastRenderedPageBreak/>
              <w:t xml:space="preserve">Initial monitoring: </w:t>
            </w:r>
          </w:p>
          <w:p w14:paraId="189F356C" w14:textId="77777777" w:rsidR="00F9771E" w:rsidRPr="00F9771E" w:rsidRDefault="00F9771E" w:rsidP="00F9771E">
            <w:r w:rsidRPr="00F9771E">
              <w:t xml:space="preserve">To be repeated every 2 weeks until the dose has been stable for 6 weeks, then monthly for 3 months:  </w:t>
            </w:r>
          </w:p>
          <w:p w14:paraId="2ED132EC" w14:textId="154E086B" w:rsidR="00F9771E" w:rsidRPr="00F9771E" w:rsidRDefault="00F9771E" w:rsidP="001B5AFA">
            <w:pPr>
              <w:pStyle w:val="ListParagraph"/>
              <w:numPr>
                <w:ilvl w:val="0"/>
                <w:numId w:val="7"/>
              </w:numPr>
            </w:pPr>
            <w:r w:rsidRPr="00F9771E">
              <w:t xml:space="preserve">FBC </w:t>
            </w:r>
          </w:p>
          <w:p w14:paraId="2A9B548A" w14:textId="0617A216" w:rsidR="00F9771E" w:rsidRPr="00F9771E" w:rsidRDefault="00F9771E" w:rsidP="001B5AFA">
            <w:pPr>
              <w:pStyle w:val="ListParagraph"/>
              <w:numPr>
                <w:ilvl w:val="0"/>
                <w:numId w:val="7"/>
              </w:numPr>
            </w:pPr>
            <w:r w:rsidRPr="00F9771E">
              <w:t xml:space="preserve">U&amp;Es, including creatinine and CrCl </w:t>
            </w:r>
          </w:p>
          <w:p w14:paraId="2406EC94" w14:textId="692A1FAD" w:rsidR="00F9771E" w:rsidRPr="00F9771E" w:rsidRDefault="00F9771E" w:rsidP="001B5AFA">
            <w:pPr>
              <w:pStyle w:val="ListParagraph"/>
              <w:numPr>
                <w:ilvl w:val="0"/>
                <w:numId w:val="7"/>
              </w:numPr>
            </w:pPr>
            <w:r w:rsidRPr="00F9771E">
              <w:t xml:space="preserve">AST and/or ALT, and albumin </w:t>
            </w:r>
          </w:p>
          <w:p w14:paraId="7728592C" w14:textId="77777777" w:rsidR="00F9771E" w:rsidRDefault="00F9771E" w:rsidP="00F9771E">
            <w:pPr>
              <w:spacing w:line="259" w:lineRule="auto"/>
            </w:pPr>
            <w:r w:rsidRPr="00F9771E">
              <w:t xml:space="preserve">Following a dose increase repeat every 2 weeks until the dose has been stable for 6 weeks, then revert to previous schedule. </w:t>
            </w:r>
          </w:p>
          <w:p w14:paraId="38AEB751" w14:textId="4F331E90" w:rsidR="00F9771E" w:rsidRPr="00F9771E" w:rsidRDefault="00F9771E" w:rsidP="00F9771E">
            <w:r w:rsidRPr="00F9771E">
              <w:t xml:space="preserve"> </w:t>
            </w:r>
          </w:p>
          <w:p w14:paraId="21BB7831" w14:textId="00621E5A" w:rsidR="00F9771E" w:rsidRPr="00F9771E" w:rsidRDefault="00F9771E" w:rsidP="00F9771E">
            <w:r w:rsidRPr="00F9771E">
              <w:rPr>
                <w:b/>
                <w:bCs/>
                <w:u w:val="single"/>
              </w:rPr>
              <w:t>Ongoing monitoring:</w:t>
            </w:r>
            <w:r w:rsidRPr="00F9771E">
              <w:t xml:space="preserve">  </w:t>
            </w:r>
          </w:p>
          <w:p w14:paraId="3672B0FF" w14:textId="60127C12" w:rsidR="007A56FB" w:rsidRPr="0041687B" w:rsidRDefault="00F9771E" w:rsidP="001A51F3">
            <w:pPr>
              <w:rPr>
                <w:rFonts w:cs="Arial"/>
              </w:rPr>
            </w:pPr>
            <w:r w:rsidRPr="00F9771E">
              <w:t xml:space="preserve">The specialist will retain the responsibility for monitoring the patient’s ongoing response to treatment, and advise if a dose change or treatment cessation is appropriate. This should usually be undertaken annually. After each review, advise primary care whether treatment should be continued, confirm the ongoing dose, and whether the ongoing monitoring outlined in </w:t>
            </w:r>
            <w:hyperlink w:anchor="six_monitoring" w:history="1">
              <w:r w:rsidRPr="00F9771E">
                <w:rPr>
                  <w:rStyle w:val="Hyperlink"/>
                </w:rPr>
                <w:t>section 6</w:t>
              </w:r>
            </w:hyperlink>
            <w:r w:rsidRPr="00F9771E">
              <w:t xml:space="preserve"> remains appropriate. </w:t>
            </w:r>
          </w:p>
        </w:tc>
      </w:tr>
    </w:tbl>
    <w:p w14:paraId="7BD95E7B" w14:textId="77777777" w:rsidR="0051526F" w:rsidRDefault="0051526F"/>
    <w:p w14:paraId="39805D5C" w14:textId="77777777" w:rsidR="0051526F" w:rsidRDefault="0051526F" w:rsidP="0051526F">
      <w:pPr>
        <w:pStyle w:val="Heading2"/>
        <w:rPr>
          <w:rFonts w:cs="Arial"/>
        </w:rPr>
      </w:pPr>
      <w:bookmarkStart w:id="11" w:name="_Toc149231790"/>
      <w:bookmarkStart w:id="12" w:name="six_monitoring"/>
      <w:r w:rsidRPr="00F321FC">
        <w:rPr>
          <w:rFonts w:cs="Arial"/>
        </w:rPr>
        <w:t>Ongoing monitoring requirements to be undertaken by primary care</w:t>
      </w:r>
      <w:bookmarkEnd w:id="11"/>
    </w:p>
    <w:bookmarkEnd w:id="12"/>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0B18BF">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F9771E" w:rsidRPr="00F321FC" w14:paraId="33418424" w14:textId="77777777" w:rsidTr="000B18BF">
        <w:tc>
          <w:tcPr>
            <w:tcW w:w="5245" w:type="dxa"/>
          </w:tcPr>
          <w:p w14:paraId="770C74C6" w14:textId="77777777" w:rsidR="00F9771E" w:rsidRDefault="00F9771E" w:rsidP="001B5AFA">
            <w:pPr>
              <w:pStyle w:val="paragraph"/>
              <w:numPr>
                <w:ilvl w:val="0"/>
                <w:numId w:val="8"/>
              </w:numPr>
              <w:spacing w:before="60" w:beforeAutospacing="0" w:after="60" w:afterAutospacing="0"/>
              <w:textAlignment w:val="baseline"/>
              <w:rPr>
                <w:rFonts w:ascii="Arial" w:hAnsi="Arial" w:cs="Arial"/>
                <w:lang w:eastAsia="en-US"/>
              </w:rPr>
            </w:pPr>
            <w:r>
              <w:rPr>
                <w:rStyle w:val="normaltextrun"/>
                <w:rFonts w:ascii="Arial" w:hAnsi="Arial" w:cs="Arial"/>
                <w:color w:val="000000"/>
                <w:lang w:eastAsia="en-US"/>
              </w:rPr>
              <w:t>FBC </w:t>
            </w:r>
            <w:r>
              <w:rPr>
                <w:rStyle w:val="eop"/>
                <w:rFonts w:ascii="Arial" w:hAnsi="Arial" w:cs="Arial"/>
                <w:color w:val="000000"/>
                <w:lang w:eastAsia="en-US"/>
              </w:rPr>
              <w:t> </w:t>
            </w:r>
          </w:p>
          <w:p w14:paraId="33E8D0BC" w14:textId="77777777" w:rsidR="00F9771E" w:rsidRDefault="00F9771E" w:rsidP="001B5AFA">
            <w:pPr>
              <w:pStyle w:val="paragraph"/>
              <w:numPr>
                <w:ilvl w:val="0"/>
                <w:numId w:val="8"/>
              </w:numPr>
              <w:spacing w:before="60" w:beforeAutospacing="0" w:after="60" w:afterAutospacing="0"/>
              <w:textAlignment w:val="baseline"/>
              <w:rPr>
                <w:rFonts w:ascii="Arial" w:hAnsi="Arial" w:cs="Arial"/>
                <w:lang w:eastAsia="en-US"/>
              </w:rPr>
            </w:pPr>
            <w:r>
              <w:rPr>
                <w:rStyle w:val="normaltextrun"/>
                <w:rFonts w:ascii="Arial" w:hAnsi="Arial" w:cs="Arial"/>
                <w:color w:val="000000"/>
                <w:lang w:eastAsia="en-US"/>
              </w:rPr>
              <w:t>U&amp;Es including creatinine and CrCl</w:t>
            </w:r>
            <w:r>
              <w:rPr>
                <w:rStyle w:val="eop"/>
                <w:rFonts w:ascii="Arial" w:hAnsi="Arial" w:cs="Arial"/>
                <w:color w:val="000000"/>
                <w:lang w:eastAsia="en-US"/>
              </w:rPr>
              <w:t> </w:t>
            </w:r>
          </w:p>
          <w:p w14:paraId="4BD7735F" w14:textId="77777777" w:rsidR="00F9771E" w:rsidRPr="00F9771E" w:rsidRDefault="00F9771E" w:rsidP="001B5AFA">
            <w:pPr>
              <w:pStyle w:val="paragraph"/>
              <w:numPr>
                <w:ilvl w:val="0"/>
                <w:numId w:val="8"/>
              </w:numPr>
              <w:spacing w:before="60" w:beforeAutospacing="0" w:after="60" w:afterAutospacing="0"/>
              <w:textAlignment w:val="baseline"/>
              <w:rPr>
                <w:rStyle w:val="eop"/>
                <w:rFonts w:cs="Arial"/>
              </w:rPr>
            </w:pPr>
            <w:r>
              <w:rPr>
                <w:rStyle w:val="normaltextrun"/>
                <w:rFonts w:ascii="Arial" w:hAnsi="Arial" w:cs="Arial"/>
                <w:color w:val="000000"/>
                <w:lang w:eastAsia="en-US"/>
              </w:rPr>
              <w:t>ALT and/or AST and albumin</w:t>
            </w:r>
            <w:r>
              <w:rPr>
                <w:rStyle w:val="eop"/>
                <w:rFonts w:ascii="Arial" w:hAnsi="Arial" w:cs="Arial"/>
                <w:color w:val="000000"/>
                <w:lang w:eastAsia="en-US"/>
              </w:rPr>
              <w:t> </w:t>
            </w:r>
          </w:p>
          <w:p w14:paraId="38C3A527" w14:textId="3FF8EE36" w:rsidR="00F9771E" w:rsidRPr="007A56FB" w:rsidRDefault="00F9771E" w:rsidP="001B5AFA">
            <w:pPr>
              <w:pStyle w:val="paragraph"/>
              <w:numPr>
                <w:ilvl w:val="0"/>
                <w:numId w:val="8"/>
              </w:numPr>
              <w:spacing w:before="60" w:beforeAutospacing="0" w:after="60" w:afterAutospacing="0"/>
              <w:textAlignment w:val="baseline"/>
              <w:rPr>
                <w:rFonts w:cs="Arial"/>
              </w:rPr>
            </w:pPr>
            <w:r>
              <w:rPr>
                <w:rStyle w:val="normaltextrun"/>
                <w:rFonts w:ascii="Arial" w:hAnsi="Arial" w:cs="Arial"/>
                <w:lang w:eastAsia="en-US"/>
              </w:rPr>
              <w:t>Rheumatology patients: CRP &amp;/or ESR  </w:t>
            </w:r>
            <w:r>
              <w:rPr>
                <w:rStyle w:val="eop"/>
                <w:rFonts w:ascii="Arial" w:hAnsi="Arial" w:cs="Arial"/>
                <w:lang w:eastAsia="en-US"/>
              </w:rPr>
              <w:t> </w:t>
            </w:r>
          </w:p>
        </w:tc>
        <w:tc>
          <w:tcPr>
            <w:tcW w:w="5245" w:type="dxa"/>
          </w:tcPr>
          <w:p w14:paraId="6902C7C6" w14:textId="77777777" w:rsidR="00F9771E" w:rsidRDefault="00F9771E" w:rsidP="00F9771E">
            <w:pPr>
              <w:textAlignment w:val="baseline"/>
              <w:rPr>
                <w:rFonts w:eastAsia="Times New Roman" w:cs="Arial"/>
                <w:szCs w:val="24"/>
                <w:lang w:eastAsia="en-GB"/>
              </w:rPr>
            </w:pPr>
            <w:r>
              <w:rPr>
                <w:rFonts w:eastAsia="Times New Roman" w:cs="Arial"/>
                <w:color w:val="000000"/>
                <w:szCs w:val="24"/>
                <w:lang w:eastAsia="en-GB"/>
              </w:rPr>
              <w:t>Monthly for three months, unless already completed in secondary care. Thereafter at least every 12 weeks, and more frequently in patients at higher risk of toxicity, as advised by the specialist team. </w:t>
            </w:r>
          </w:p>
          <w:p w14:paraId="460119A4" w14:textId="2AB6F39D" w:rsidR="00F9771E" w:rsidRPr="00F321FC" w:rsidRDefault="00F9771E" w:rsidP="00F9771E">
            <w:pPr>
              <w:rPr>
                <w:rFonts w:cs="Arial"/>
              </w:rPr>
            </w:pPr>
            <w:r>
              <w:rPr>
                <w:rFonts w:eastAsia="Times New Roman" w:cs="Arial"/>
                <w:b/>
                <w:bCs/>
                <w:color w:val="000000"/>
                <w:szCs w:val="24"/>
                <w:lang w:eastAsia="en-GB"/>
              </w:rPr>
              <w:t>The exact frequency of monitoring to be communicated by the specialist in all cases</w:t>
            </w:r>
            <w:r>
              <w:rPr>
                <w:rFonts w:eastAsia="Times New Roman" w:cs="Arial"/>
                <w:color w:val="000000"/>
                <w:szCs w:val="24"/>
                <w:lang w:eastAsia="en-GB"/>
              </w:rPr>
              <w:t>. </w:t>
            </w:r>
          </w:p>
        </w:tc>
      </w:tr>
      <w:tr w:rsidR="00F9771E" w:rsidRPr="00F321FC" w14:paraId="60A93057" w14:textId="77777777" w:rsidTr="000B18BF">
        <w:tc>
          <w:tcPr>
            <w:tcW w:w="5245" w:type="dxa"/>
          </w:tcPr>
          <w:p w14:paraId="5A91EDA0" w14:textId="77777777" w:rsidR="00000B8B" w:rsidRPr="007A2C20" w:rsidRDefault="00000B8B" w:rsidP="00000B8B">
            <w:pPr>
              <w:pStyle w:val="Default"/>
              <w:numPr>
                <w:ilvl w:val="0"/>
                <w:numId w:val="9"/>
              </w:numPr>
              <w:spacing w:before="60" w:after="60"/>
              <w:rPr>
                <w:rFonts w:ascii="Arial" w:hAnsi="Arial" w:cs="Arial"/>
                <w:lang w:eastAsia="en-GB"/>
              </w:rPr>
            </w:pPr>
            <w:r w:rsidRPr="007A2C20">
              <w:rPr>
                <w:rFonts w:ascii="Arial" w:hAnsi="Arial" w:cs="Arial"/>
                <w:lang w:eastAsia="en-GB"/>
              </w:rPr>
              <w:t>Patients aged 60-79 years old are eligible for the shingles vaccine (herpes zoster). Patients aged 50 years or older and taking immunosuppressive therapy may also be eligible. Specialist input may be required. R</w:t>
            </w:r>
            <w:r w:rsidRPr="007A2C20">
              <w:rPr>
                <w:rFonts w:ascii="Arial" w:hAnsi="Arial" w:cs="Arial"/>
              </w:rPr>
              <w:t xml:space="preserve">efer to </w:t>
            </w:r>
            <w:hyperlink r:id="rId18" w:history="1">
              <w:r w:rsidRPr="007A2C20">
                <w:rPr>
                  <w:rStyle w:val="Hyperlink"/>
                  <w:rFonts w:ascii="Arial" w:hAnsi="Arial" w:cs="Arial"/>
                </w:rPr>
                <w:t>Green Book Chapter 6 (Contraindications and special considerations)</w:t>
              </w:r>
            </w:hyperlink>
            <w:r w:rsidRPr="007A2C20">
              <w:rPr>
                <w:rStyle w:val="Hyperlink"/>
                <w:rFonts w:ascii="Arial" w:hAnsi="Arial" w:cs="Arial"/>
              </w:rPr>
              <w:t xml:space="preserve"> and </w:t>
            </w:r>
            <w:hyperlink r:id="rId19" w:history="1">
              <w:r w:rsidRPr="007A2C20">
                <w:rPr>
                  <w:rStyle w:val="Hyperlink"/>
                  <w:rFonts w:ascii="Arial" w:hAnsi="Arial" w:cs="Arial"/>
                </w:rPr>
                <w:t>Green Book Chapter 28a (Shingles)</w:t>
              </w:r>
            </w:hyperlink>
            <w:r w:rsidRPr="007A2C20">
              <w:rPr>
                <w:rFonts w:ascii="Arial" w:hAnsi="Arial" w:cs="Arial"/>
              </w:rPr>
              <w:t xml:space="preserve"> </w:t>
            </w:r>
            <w:r w:rsidRPr="007A2C20">
              <w:rPr>
                <w:rFonts w:ascii="Arial" w:hAnsi="Arial" w:cs="Arial"/>
                <w:lang w:eastAsia="en-GB"/>
              </w:rPr>
              <w:t>for further details.</w:t>
            </w:r>
          </w:p>
          <w:p w14:paraId="41613FB5" w14:textId="77777777" w:rsidR="00F9771E" w:rsidRDefault="00F9771E" w:rsidP="00000B8B">
            <w:pPr>
              <w:pStyle w:val="paragraph"/>
              <w:numPr>
                <w:ilvl w:val="0"/>
                <w:numId w:val="9"/>
              </w:numPr>
              <w:spacing w:before="60" w:beforeAutospacing="0" w:after="60" w:afterAutospacing="0"/>
              <w:textAlignment w:val="baseline"/>
              <w:rPr>
                <w:rFonts w:ascii="Arial" w:hAnsi="Arial" w:cs="Arial"/>
                <w:color w:val="000000"/>
                <w:lang w:eastAsia="en-US"/>
              </w:rPr>
            </w:pPr>
            <w:r>
              <w:rPr>
                <w:rStyle w:val="normaltextrun"/>
                <w:rFonts w:ascii="Arial" w:hAnsi="Arial" w:cs="Arial"/>
                <w:b/>
                <w:bCs/>
                <w:color w:val="000000"/>
                <w:lang w:eastAsia="en-US"/>
              </w:rPr>
              <w:t xml:space="preserve">Annual </w:t>
            </w:r>
            <w:r>
              <w:rPr>
                <w:rStyle w:val="normaltextrun"/>
                <w:rFonts w:ascii="Arial" w:hAnsi="Arial" w:cs="Arial"/>
                <w:color w:val="000000"/>
                <w:lang w:eastAsia="en-US"/>
              </w:rPr>
              <w:t>influenza (</w:t>
            </w:r>
            <w:hyperlink r:id="rId20" w:tgtFrame="_blank" w:history="1">
              <w:r>
                <w:rPr>
                  <w:rStyle w:val="normaltextrun"/>
                  <w:rFonts w:ascii="Arial" w:hAnsi="Arial" w:cs="Arial"/>
                  <w:color w:val="0000FF"/>
                  <w:u w:val="single"/>
                  <w:lang w:eastAsia="en-US"/>
                </w:rPr>
                <w:t>The Green Book, Chapter 19</w:t>
              </w:r>
            </w:hyperlink>
            <w:r>
              <w:rPr>
                <w:rStyle w:val="normaltextrun"/>
                <w:rFonts w:ascii="Arial" w:hAnsi="Arial" w:cs="Arial"/>
                <w:color w:val="000000"/>
                <w:lang w:eastAsia="en-US"/>
              </w:rPr>
              <w:t>) vaccinations are recommended.</w:t>
            </w:r>
            <w:r>
              <w:rPr>
                <w:rStyle w:val="eop"/>
                <w:rFonts w:ascii="Arial" w:hAnsi="Arial" w:cs="Arial"/>
                <w:color w:val="000000"/>
                <w:lang w:eastAsia="en-US"/>
              </w:rPr>
              <w:t> </w:t>
            </w:r>
          </w:p>
          <w:p w14:paraId="0C76948D" w14:textId="05978B4F" w:rsidR="00F9771E" w:rsidRPr="00F9771E" w:rsidRDefault="00F9771E" w:rsidP="00000B8B">
            <w:pPr>
              <w:pStyle w:val="paragraph"/>
              <w:numPr>
                <w:ilvl w:val="0"/>
                <w:numId w:val="9"/>
              </w:numPr>
              <w:spacing w:before="60" w:beforeAutospacing="0" w:after="60" w:afterAutospacing="0"/>
              <w:textAlignment w:val="baseline"/>
              <w:rPr>
                <w:rFonts w:ascii="Arial" w:hAnsi="Arial" w:cs="Arial"/>
                <w:color w:val="000000"/>
                <w:lang w:eastAsia="en-US"/>
              </w:rPr>
            </w:pPr>
            <w:r>
              <w:rPr>
                <w:rStyle w:val="normaltextrun"/>
                <w:rFonts w:ascii="Arial" w:hAnsi="Arial" w:cs="Arial"/>
                <w:color w:val="000000"/>
                <w:lang w:eastAsia="en-US"/>
              </w:rPr>
              <w:t xml:space="preserve">COVID-19 vaccination is safe and recommended (see </w:t>
            </w:r>
            <w:hyperlink r:id="rId21" w:tgtFrame="_blank" w:history="1">
              <w:r>
                <w:rPr>
                  <w:rStyle w:val="normaltextrun"/>
                  <w:rFonts w:ascii="Arial" w:hAnsi="Arial" w:cs="Arial"/>
                  <w:color w:val="0000FF"/>
                  <w:u w:val="single"/>
                  <w:lang w:eastAsia="en-US"/>
                </w:rPr>
                <w:t>The Green Book, Chapter 14a</w:t>
              </w:r>
            </w:hyperlink>
            <w:r>
              <w:rPr>
                <w:rStyle w:val="normaltextrun"/>
                <w:rFonts w:ascii="Arial" w:hAnsi="Arial" w:cs="Arial"/>
                <w:color w:val="000000"/>
                <w:lang w:eastAsia="en-US"/>
              </w:rPr>
              <w:t>).</w:t>
            </w:r>
            <w:r>
              <w:rPr>
                <w:rStyle w:val="eop"/>
                <w:rFonts w:ascii="Arial" w:hAnsi="Arial" w:cs="Arial"/>
                <w:color w:val="000000"/>
                <w:lang w:eastAsia="en-US"/>
              </w:rPr>
              <w:t> </w:t>
            </w:r>
          </w:p>
        </w:tc>
        <w:tc>
          <w:tcPr>
            <w:tcW w:w="5245" w:type="dxa"/>
          </w:tcPr>
          <w:p w14:paraId="0ADB351E" w14:textId="135A3C28" w:rsidR="00F9771E" w:rsidRDefault="00F9771E" w:rsidP="001B5AFA">
            <w:pPr>
              <w:pStyle w:val="paragraph"/>
              <w:numPr>
                <w:ilvl w:val="0"/>
                <w:numId w:val="9"/>
              </w:numPr>
              <w:spacing w:before="60" w:beforeAutospacing="0" w:after="60" w:afterAutospacing="0"/>
              <w:textAlignment w:val="baseline"/>
              <w:rPr>
                <w:rFonts w:ascii="Arial" w:hAnsi="Arial" w:cs="Arial"/>
                <w:lang w:eastAsia="en-US"/>
              </w:rPr>
            </w:pPr>
            <w:r>
              <w:rPr>
                <w:rStyle w:val="normaltextrun"/>
                <w:rFonts w:ascii="Arial" w:hAnsi="Arial" w:cs="Arial"/>
                <w:color w:val="000000"/>
                <w:lang w:eastAsia="en-US"/>
              </w:rPr>
              <w:t>Shingles vaccination: one</w:t>
            </w:r>
            <w:r w:rsidR="007A2C20">
              <w:rPr>
                <w:rStyle w:val="normaltextrun"/>
                <w:rFonts w:ascii="Arial" w:hAnsi="Arial" w:cs="Arial"/>
                <w:color w:val="000000"/>
                <w:lang w:eastAsia="en-US"/>
              </w:rPr>
              <w:t xml:space="preserve"> </w:t>
            </w:r>
            <w:r w:rsidR="00603A8A">
              <w:rPr>
                <w:rStyle w:val="normaltextrun"/>
                <w:rFonts w:ascii="Arial" w:hAnsi="Arial" w:cs="Arial"/>
                <w:color w:val="000000"/>
                <w:lang w:eastAsia="en-US"/>
              </w:rPr>
              <w:t>course (two doses)</w:t>
            </w:r>
            <w:r>
              <w:rPr>
                <w:rStyle w:val="normaltextrun"/>
                <w:rFonts w:ascii="Arial" w:hAnsi="Arial" w:cs="Arial"/>
                <w:color w:val="000000"/>
                <w:lang w:eastAsia="en-US"/>
              </w:rPr>
              <w:t>.</w:t>
            </w:r>
            <w:r>
              <w:rPr>
                <w:rStyle w:val="eop"/>
                <w:rFonts w:ascii="Arial" w:hAnsi="Arial" w:cs="Arial"/>
                <w:color w:val="000000"/>
                <w:lang w:eastAsia="en-US"/>
              </w:rPr>
              <w:t> </w:t>
            </w:r>
          </w:p>
          <w:p w14:paraId="16916EE2" w14:textId="77777777" w:rsidR="00F9771E" w:rsidRDefault="00F9771E" w:rsidP="001B5AFA">
            <w:pPr>
              <w:pStyle w:val="paragraph"/>
              <w:numPr>
                <w:ilvl w:val="0"/>
                <w:numId w:val="9"/>
              </w:numPr>
              <w:spacing w:before="60" w:beforeAutospacing="0" w:after="60" w:afterAutospacing="0"/>
              <w:textAlignment w:val="baseline"/>
              <w:rPr>
                <w:rFonts w:ascii="Arial" w:hAnsi="Arial" w:cs="Arial"/>
                <w:lang w:eastAsia="en-US"/>
              </w:rPr>
            </w:pPr>
            <w:r>
              <w:rPr>
                <w:rStyle w:val="normaltextrun"/>
                <w:rFonts w:ascii="Arial" w:hAnsi="Arial" w:cs="Arial"/>
                <w:color w:val="000000"/>
                <w:lang w:eastAsia="en-US"/>
              </w:rPr>
              <w:t>Influenza vaccination: annual. It is advisable to add the patient to the influenza vaccine list.</w:t>
            </w:r>
            <w:r>
              <w:rPr>
                <w:rStyle w:val="eop"/>
                <w:rFonts w:ascii="Arial" w:hAnsi="Arial" w:cs="Arial"/>
                <w:color w:val="000000"/>
                <w:lang w:eastAsia="en-US"/>
              </w:rPr>
              <w:t> </w:t>
            </w:r>
          </w:p>
          <w:p w14:paraId="6457834E" w14:textId="77777777" w:rsidR="00F9771E" w:rsidRDefault="00F9771E" w:rsidP="001B5AFA">
            <w:pPr>
              <w:pStyle w:val="paragraph"/>
              <w:numPr>
                <w:ilvl w:val="0"/>
                <w:numId w:val="9"/>
              </w:numPr>
              <w:spacing w:before="60" w:beforeAutospacing="0" w:after="60" w:afterAutospacing="0"/>
              <w:textAlignment w:val="baseline"/>
              <w:rPr>
                <w:rFonts w:ascii="Arial" w:hAnsi="Arial" w:cs="Arial"/>
                <w:lang w:eastAsia="en-US"/>
              </w:rPr>
            </w:pPr>
            <w:r>
              <w:rPr>
                <w:rStyle w:val="normaltextrun"/>
                <w:rFonts w:ascii="Arial" w:hAnsi="Arial" w:cs="Arial"/>
                <w:color w:val="000000"/>
                <w:lang w:eastAsia="en-US"/>
              </w:rPr>
              <w:t>COVID-19 vaccination as per national schedule.</w:t>
            </w:r>
            <w:r>
              <w:rPr>
                <w:rStyle w:val="eop"/>
                <w:rFonts w:ascii="Arial" w:hAnsi="Arial" w:cs="Arial"/>
                <w:color w:val="000000"/>
                <w:lang w:eastAsia="en-US"/>
              </w:rPr>
              <w:t> </w:t>
            </w:r>
          </w:p>
          <w:p w14:paraId="5A85F8DE" w14:textId="0B43D12D" w:rsidR="00F9771E" w:rsidRPr="00F321FC" w:rsidRDefault="00F9771E" w:rsidP="00F9771E">
            <w:pPr>
              <w:rPr>
                <w:rFonts w:cs="Arial"/>
              </w:rPr>
            </w:pPr>
          </w:p>
        </w:tc>
      </w:tr>
    </w:tbl>
    <w:p w14:paraId="20855291" w14:textId="77777777" w:rsidR="0051526F" w:rsidRDefault="0051526F"/>
    <w:p w14:paraId="56152E6B" w14:textId="77777777" w:rsidR="0051526F" w:rsidRPr="00F321FC" w:rsidRDefault="0051526F" w:rsidP="0051526F">
      <w:pPr>
        <w:pStyle w:val="Heading2"/>
        <w:rPr>
          <w:rFonts w:cs="Arial"/>
        </w:rPr>
      </w:pPr>
      <w:bookmarkStart w:id="13" w:name="_Toc149231791"/>
      <w:r w:rsidRPr="00F321FC">
        <w:rPr>
          <w:rFonts w:cs="Arial"/>
        </w:rPr>
        <w:t>Pharmaceutical aspects</w:t>
      </w:r>
      <w:bookmarkEnd w:id="13"/>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F9771E" w:rsidRPr="00F321FC" w14:paraId="793C17AD" w14:textId="77777777" w:rsidTr="000B18BF">
        <w:trPr>
          <w:cantSplit/>
        </w:trPr>
        <w:tc>
          <w:tcPr>
            <w:tcW w:w="2410" w:type="dxa"/>
          </w:tcPr>
          <w:p w14:paraId="435FCFFB" w14:textId="2404CE1C" w:rsidR="00F9771E" w:rsidRPr="00F321FC" w:rsidRDefault="00F9771E" w:rsidP="00F9771E">
            <w:pPr>
              <w:rPr>
                <w:rFonts w:cs="Arial"/>
              </w:rPr>
            </w:pPr>
            <w:r w:rsidRPr="00F321FC">
              <w:rPr>
                <w:rFonts w:cs="Arial"/>
              </w:rPr>
              <w:t>Route of administration:</w:t>
            </w:r>
          </w:p>
        </w:tc>
        <w:tc>
          <w:tcPr>
            <w:tcW w:w="8080" w:type="dxa"/>
            <w:vAlign w:val="center"/>
          </w:tcPr>
          <w:p w14:paraId="58A97D63" w14:textId="433F468F" w:rsidR="00F9771E" w:rsidRPr="00F321FC" w:rsidRDefault="00F9771E" w:rsidP="00F9771E">
            <w:pPr>
              <w:rPr>
                <w:rFonts w:cs="Arial"/>
              </w:rPr>
            </w:pPr>
            <w:r>
              <w:rPr>
                <w:rFonts w:eastAsia="Times New Roman" w:cs="Arial"/>
                <w:szCs w:val="24"/>
                <w:lang w:eastAsia="en-GB"/>
              </w:rPr>
              <w:t>Oral</w:t>
            </w:r>
          </w:p>
        </w:tc>
      </w:tr>
      <w:tr w:rsidR="00F9771E" w:rsidRPr="00F321FC" w14:paraId="0E5DDFDD" w14:textId="77777777" w:rsidTr="000B18BF">
        <w:trPr>
          <w:cantSplit/>
        </w:trPr>
        <w:tc>
          <w:tcPr>
            <w:tcW w:w="2410" w:type="dxa"/>
          </w:tcPr>
          <w:p w14:paraId="3B641692" w14:textId="6763D472" w:rsidR="00F9771E" w:rsidRPr="00F321FC" w:rsidRDefault="00F9771E" w:rsidP="00F9771E">
            <w:pPr>
              <w:rPr>
                <w:rFonts w:cs="Arial"/>
              </w:rPr>
            </w:pPr>
            <w:r w:rsidRPr="00F321FC">
              <w:rPr>
                <w:rFonts w:cs="Arial"/>
              </w:rPr>
              <w:lastRenderedPageBreak/>
              <w:t>Formulation:</w:t>
            </w:r>
          </w:p>
        </w:tc>
        <w:tc>
          <w:tcPr>
            <w:tcW w:w="8080" w:type="dxa"/>
            <w:vAlign w:val="center"/>
          </w:tcPr>
          <w:p w14:paraId="6D82C6FB" w14:textId="77777777"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u w:val="single"/>
                <w:lang w:eastAsia="en-GB"/>
              </w:rPr>
              <w:t>Mycophenolate mofetil</w:t>
            </w:r>
            <w:r>
              <w:rPr>
                <w:rFonts w:eastAsia="Times New Roman" w:cs="Arial"/>
                <w:color w:val="000000"/>
                <w:szCs w:val="24"/>
                <w:lang w:eastAsia="en-GB"/>
              </w:rPr>
              <w:t> </w:t>
            </w:r>
          </w:p>
          <w:p w14:paraId="4D188A69" w14:textId="77777777"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lang w:eastAsia="en-GB"/>
              </w:rPr>
              <w:t>Mycophenolate mofetil 250 mg capsules </w:t>
            </w:r>
          </w:p>
          <w:p w14:paraId="4182C878" w14:textId="77777777"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lang w:eastAsia="en-GB"/>
              </w:rPr>
              <w:t>Mycophenolate mofetil 500 mg tablets  </w:t>
            </w:r>
          </w:p>
          <w:p w14:paraId="515173C4" w14:textId="77777777"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lang w:eastAsia="en-GB"/>
              </w:rPr>
              <w:t>Mycophenolate mofetil 1g/5mL powder for oral suspension.  </w:t>
            </w:r>
          </w:p>
          <w:p w14:paraId="49EEA89A" w14:textId="77777777" w:rsidR="00F9771E" w:rsidRDefault="00F9771E" w:rsidP="00F9771E">
            <w:pPr>
              <w:shd w:val="clear" w:color="auto" w:fill="FFFFFF"/>
              <w:textAlignment w:val="baseline"/>
              <w:rPr>
                <w:rFonts w:eastAsia="Times New Roman" w:cs="Arial"/>
                <w:color w:val="000000"/>
                <w:szCs w:val="24"/>
                <w:lang w:eastAsia="en-GB"/>
              </w:rPr>
            </w:pPr>
            <w:r>
              <w:rPr>
                <w:rFonts w:eastAsia="Times New Roman" w:cs="Arial"/>
                <w:color w:val="000000"/>
                <w:szCs w:val="24"/>
                <w:lang w:eastAsia="en-GB"/>
              </w:rPr>
              <w:t xml:space="preserve">Mycophenolate should be prescribed generically, and not by brand name. Brands include </w:t>
            </w:r>
            <w:proofErr w:type="spellStart"/>
            <w:r>
              <w:rPr>
                <w:rFonts w:eastAsia="Times New Roman" w:cs="Arial"/>
                <w:color w:val="000000"/>
                <w:szCs w:val="24"/>
                <w:lang w:eastAsia="en-GB"/>
              </w:rPr>
              <w:t>Cellcept</w:t>
            </w:r>
            <w:proofErr w:type="spellEnd"/>
            <w:r w:rsidRPr="00F9771E">
              <w:rPr>
                <w:rFonts w:eastAsia="Times New Roman" w:cs="Arial"/>
                <w:color w:val="000000"/>
                <w:szCs w:val="24"/>
                <w:vertAlign w:val="superscript"/>
                <w:lang w:eastAsia="en-GB"/>
              </w:rPr>
              <w:t>®</w:t>
            </w:r>
            <w:r>
              <w:rPr>
                <w:rFonts w:eastAsia="Times New Roman" w:cs="Arial"/>
                <w:color w:val="000000"/>
                <w:szCs w:val="24"/>
                <w:lang w:eastAsia="en-GB"/>
              </w:rPr>
              <w:t xml:space="preserve"> and </w:t>
            </w:r>
            <w:proofErr w:type="spellStart"/>
            <w:r>
              <w:rPr>
                <w:rFonts w:eastAsia="Times New Roman" w:cs="Arial"/>
                <w:color w:val="000000"/>
                <w:szCs w:val="24"/>
                <w:lang w:eastAsia="en-GB"/>
              </w:rPr>
              <w:t>Myfenax</w:t>
            </w:r>
            <w:proofErr w:type="spellEnd"/>
            <w:r w:rsidRPr="00F9771E">
              <w:rPr>
                <w:rFonts w:eastAsia="Times New Roman" w:cs="Arial"/>
                <w:color w:val="000000"/>
                <w:szCs w:val="24"/>
                <w:vertAlign w:val="superscript"/>
                <w:lang w:eastAsia="en-GB"/>
              </w:rPr>
              <w:t>®</w:t>
            </w:r>
            <w:r>
              <w:rPr>
                <w:rFonts w:eastAsia="Times New Roman" w:cs="Arial"/>
                <w:color w:val="000000"/>
                <w:szCs w:val="24"/>
                <w:lang w:eastAsia="en-GB"/>
              </w:rPr>
              <w:t>; generics are available and may be more cost effective. </w:t>
            </w:r>
          </w:p>
          <w:p w14:paraId="3CD30DAE" w14:textId="1B4890FB"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lang w:eastAsia="en-GB"/>
              </w:rPr>
              <w:t> </w:t>
            </w:r>
          </w:p>
          <w:p w14:paraId="07C0A022" w14:textId="77777777" w:rsidR="00F9771E" w:rsidRDefault="00F9771E" w:rsidP="00F9771E">
            <w:pPr>
              <w:shd w:val="clear" w:color="auto" w:fill="FFFFFF"/>
              <w:textAlignment w:val="baseline"/>
              <w:rPr>
                <w:rFonts w:eastAsia="Times New Roman" w:cs="Arial"/>
                <w:sz w:val="28"/>
                <w:szCs w:val="28"/>
                <w:lang w:eastAsia="en-GB"/>
              </w:rPr>
            </w:pPr>
            <w:r>
              <w:rPr>
                <w:rFonts w:eastAsia="Times New Roman" w:cs="Arial"/>
                <w:color w:val="000000"/>
                <w:szCs w:val="24"/>
                <w:u w:val="single"/>
                <w:lang w:eastAsia="en-GB"/>
              </w:rPr>
              <w:t>Mycophenolic acid</w:t>
            </w:r>
            <w:r>
              <w:rPr>
                <w:rFonts w:eastAsia="Times New Roman" w:cs="Arial"/>
                <w:color w:val="000000"/>
                <w:szCs w:val="24"/>
                <w:lang w:eastAsia="en-GB"/>
              </w:rPr>
              <w:t> </w:t>
            </w:r>
          </w:p>
          <w:p w14:paraId="03CBFC9E" w14:textId="77777777" w:rsidR="00F9771E" w:rsidRDefault="00F9771E" w:rsidP="00F9771E">
            <w:pPr>
              <w:shd w:val="clear" w:color="auto" w:fill="FFFFFF"/>
              <w:textAlignment w:val="baseline"/>
              <w:rPr>
                <w:rFonts w:eastAsia="Times New Roman" w:cs="Arial"/>
                <w:color w:val="000000"/>
                <w:szCs w:val="24"/>
                <w:lang w:eastAsia="en-GB"/>
              </w:rPr>
            </w:pPr>
            <w:r>
              <w:rPr>
                <w:rFonts w:eastAsia="Times New Roman" w:cs="Arial"/>
                <w:color w:val="000000"/>
                <w:szCs w:val="24"/>
                <w:lang w:eastAsia="en-GB"/>
              </w:rPr>
              <w:t>Mycophenolic acid gastro-resistant capsules 180 mg and 360 mg tablets </w:t>
            </w:r>
          </w:p>
          <w:p w14:paraId="23985E73" w14:textId="528838FF" w:rsidR="00816AA0" w:rsidRDefault="00816AA0" w:rsidP="00F9771E">
            <w:pPr>
              <w:shd w:val="clear" w:color="auto" w:fill="FFFFFF"/>
              <w:textAlignment w:val="baseline"/>
              <w:rPr>
                <w:rFonts w:eastAsia="Times New Roman" w:cs="Arial"/>
                <w:sz w:val="28"/>
                <w:szCs w:val="28"/>
                <w:lang w:eastAsia="en-GB"/>
              </w:rPr>
            </w:pPr>
            <w:r>
              <w:rPr>
                <w:rFonts w:eastAsia="Times New Roman"/>
                <w:szCs w:val="24"/>
                <w:lang w:eastAsia="en-GB"/>
              </w:rPr>
              <w:t xml:space="preserve">Brands include </w:t>
            </w:r>
            <w:proofErr w:type="spellStart"/>
            <w:r>
              <w:rPr>
                <w:rFonts w:eastAsia="Times New Roman"/>
                <w:szCs w:val="24"/>
                <w:lang w:eastAsia="en-GB"/>
              </w:rPr>
              <w:t>Ceptava</w:t>
            </w:r>
            <w:proofErr w:type="spellEnd"/>
            <w:r w:rsidRPr="00974B6C">
              <w:rPr>
                <w:rFonts w:eastAsia="Times New Roman"/>
                <w:szCs w:val="24"/>
                <w:vertAlign w:val="superscript"/>
                <w:lang w:eastAsia="en-GB"/>
              </w:rPr>
              <w:t>®</w:t>
            </w:r>
            <w:r>
              <w:rPr>
                <w:rFonts w:eastAsia="Times New Roman"/>
                <w:szCs w:val="24"/>
                <w:lang w:eastAsia="en-GB"/>
              </w:rPr>
              <w:t xml:space="preserve"> and </w:t>
            </w:r>
            <w:proofErr w:type="spellStart"/>
            <w:r>
              <w:rPr>
                <w:rFonts w:eastAsia="Times New Roman"/>
                <w:szCs w:val="24"/>
                <w:lang w:eastAsia="en-GB"/>
              </w:rPr>
              <w:t>Myfortic</w:t>
            </w:r>
            <w:proofErr w:type="spellEnd"/>
            <w:r w:rsidRPr="00974B6C">
              <w:rPr>
                <w:rFonts w:eastAsia="Times New Roman"/>
                <w:szCs w:val="24"/>
                <w:vertAlign w:val="superscript"/>
                <w:lang w:eastAsia="en-GB"/>
              </w:rPr>
              <w:t>®</w:t>
            </w:r>
            <w:r>
              <w:rPr>
                <w:rFonts w:eastAsia="Times New Roman"/>
                <w:szCs w:val="24"/>
                <w:lang w:eastAsia="en-GB"/>
              </w:rPr>
              <w:t>.</w:t>
            </w:r>
          </w:p>
          <w:p w14:paraId="09C2B9C8" w14:textId="43A6D8B8" w:rsidR="00F9771E" w:rsidRPr="00F321FC" w:rsidRDefault="00F9771E" w:rsidP="00F9771E">
            <w:pPr>
              <w:rPr>
                <w:rFonts w:cs="Arial"/>
              </w:rPr>
            </w:pPr>
            <w:r>
              <w:rPr>
                <w:rFonts w:eastAsia="Times New Roman" w:cs="Arial"/>
                <w:color w:val="000000"/>
                <w:szCs w:val="24"/>
                <w:lang w:eastAsia="en-GB"/>
              </w:rPr>
              <w:t>Mycophenolic acid 720 mg is approximately equivalent to mycophenolate mofetil 1 g but unnecessary switching should be avoided, due to pharmacokinetic differences. Mycophenolic acid should usually be reserved for patients who do not tolerate mycophenolate mofetil. </w:t>
            </w:r>
          </w:p>
        </w:tc>
      </w:tr>
      <w:tr w:rsidR="00F9771E" w:rsidRPr="00F321FC" w14:paraId="4D08654E" w14:textId="77777777" w:rsidTr="000B18BF">
        <w:trPr>
          <w:cantSplit/>
        </w:trPr>
        <w:tc>
          <w:tcPr>
            <w:tcW w:w="2410" w:type="dxa"/>
          </w:tcPr>
          <w:p w14:paraId="5807ABCD" w14:textId="7BDA162B" w:rsidR="00F9771E" w:rsidRPr="00F321FC" w:rsidRDefault="00F9771E" w:rsidP="00F9771E">
            <w:pPr>
              <w:rPr>
                <w:rFonts w:cs="Arial"/>
              </w:rPr>
            </w:pPr>
            <w:r w:rsidRPr="00F321FC">
              <w:rPr>
                <w:rFonts w:cs="Arial"/>
              </w:rPr>
              <w:t>Administration details:</w:t>
            </w:r>
          </w:p>
        </w:tc>
        <w:tc>
          <w:tcPr>
            <w:tcW w:w="8080" w:type="dxa"/>
            <w:vAlign w:val="center"/>
          </w:tcPr>
          <w:p w14:paraId="72D4E1D5" w14:textId="77777777" w:rsidR="00F9771E" w:rsidRDefault="00F9771E" w:rsidP="00F9771E">
            <w:pPr>
              <w:textAlignment w:val="baseline"/>
              <w:rPr>
                <w:rFonts w:eastAsia="Times New Roman" w:cs="Arial"/>
                <w:sz w:val="24"/>
                <w:szCs w:val="24"/>
                <w:lang w:eastAsia="en-GB"/>
              </w:rPr>
            </w:pPr>
            <w:r>
              <w:rPr>
                <w:rFonts w:eastAsia="Times New Roman" w:cs="Arial"/>
                <w:color w:val="000000"/>
                <w:szCs w:val="24"/>
                <w:lang w:eastAsia="en-GB"/>
              </w:rPr>
              <w:t>Mycophenolate mofetil can be taken with or without food. </w:t>
            </w:r>
          </w:p>
          <w:p w14:paraId="3956ABC5" w14:textId="2DAEF428" w:rsidR="00F9771E" w:rsidRPr="00F9771E" w:rsidRDefault="00F9771E" w:rsidP="00F9771E">
            <w:pPr>
              <w:textAlignment w:val="baseline"/>
              <w:rPr>
                <w:rFonts w:eastAsia="Times New Roman" w:cs="Arial"/>
                <w:szCs w:val="24"/>
                <w:lang w:eastAsia="en-GB"/>
              </w:rPr>
            </w:pPr>
            <w:r>
              <w:rPr>
                <w:rFonts w:eastAsia="Times New Roman" w:cs="Arial"/>
                <w:szCs w:val="24"/>
                <w:lang w:eastAsia="en-GB"/>
              </w:rPr>
              <w:t xml:space="preserve">If a dose is missed it should be taken as soon as remembered, then dosing resumed at the usual times. However, </w:t>
            </w:r>
            <w:r>
              <w:rPr>
                <w:rFonts w:eastAsia="Times New Roman" w:cs="Arial"/>
                <w:szCs w:val="24"/>
                <w:u w:val="single"/>
                <w:lang w:eastAsia="en-GB"/>
              </w:rPr>
              <w:t>a double dose should not be taken to make up for a missed dose.</w:t>
            </w:r>
            <w:r>
              <w:rPr>
                <w:rFonts w:eastAsia="Times New Roman" w:cs="Arial"/>
                <w:szCs w:val="24"/>
                <w:lang w:eastAsia="en-GB"/>
              </w:rPr>
              <w:t> </w:t>
            </w:r>
          </w:p>
        </w:tc>
      </w:tr>
      <w:tr w:rsidR="00F9771E" w:rsidRPr="00F321FC" w14:paraId="1BF5C41D" w14:textId="77777777" w:rsidTr="000B18BF">
        <w:trPr>
          <w:cantSplit/>
        </w:trPr>
        <w:tc>
          <w:tcPr>
            <w:tcW w:w="2410" w:type="dxa"/>
          </w:tcPr>
          <w:p w14:paraId="00D209C3" w14:textId="4AA020DB" w:rsidR="00F9771E" w:rsidRPr="00F321FC" w:rsidRDefault="00F9771E" w:rsidP="00F9771E">
            <w:pPr>
              <w:rPr>
                <w:rFonts w:cs="Arial"/>
              </w:rPr>
            </w:pPr>
            <w:r>
              <w:rPr>
                <w:rFonts w:cs="Arial"/>
              </w:rPr>
              <w:t xml:space="preserve">Other important information: </w:t>
            </w:r>
          </w:p>
        </w:tc>
        <w:tc>
          <w:tcPr>
            <w:tcW w:w="8080" w:type="dxa"/>
            <w:vAlign w:val="center"/>
          </w:tcPr>
          <w:p w14:paraId="14CD1D9D" w14:textId="1D3BD434" w:rsidR="00F9771E" w:rsidRPr="00F9771E" w:rsidRDefault="00F9771E" w:rsidP="00F9771E">
            <w:pPr>
              <w:textAlignment w:val="baseline"/>
              <w:rPr>
                <w:rFonts w:eastAsia="Times New Roman" w:cs="Arial"/>
                <w:szCs w:val="24"/>
                <w:lang w:eastAsia="en-GB"/>
              </w:rPr>
            </w:pPr>
            <w:r>
              <w:rPr>
                <w:rFonts w:eastAsia="Times New Roman" w:cs="Arial"/>
                <w:color w:val="000000"/>
                <w:szCs w:val="24"/>
                <w:lang w:eastAsia="en-GB"/>
              </w:rPr>
              <w:t>Capsules and tablets should not be opened crushed, or chewed, to avoid inhalation or direct contact with skin or mucus membranes of the active substance. If such contact occurs, wash thoroughly with soap and water; rinse eyes with plain water. </w:t>
            </w:r>
          </w:p>
        </w:tc>
      </w:tr>
    </w:tbl>
    <w:p w14:paraId="55B80F32" w14:textId="77777777" w:rsidR="0051526F" w:rsidRDefault="0051526F"/>
    <w:p w14:paraId="6DB2B26C" w14:textId="77777777" w:rsidR="0051526F" w:rsidRDefault="0051526F"/>
    <w:p w14:paraId="2699777B"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F132AA" w:rsidRPr="00F321FC" w14:paraId="4A999C67" w14:textId="77777777" w:rsidTr="0051526F">
        <w:tc>
          <w:tcPr>
            <w:tcW w:w="2204" w:type="dxa"/>
          </w:tcPr>
          <w:p w14:paraId="6BB97933" w14:textId="5394937C" w:rsidR="00F132AA" w:rsidRPr="00F321FC" w:rsidRDefault="00BA2628" w:rsidP="00BA2628">
            <w:pPr>
              <w:pStyle w:val="Heading2"/>
              <w:rPr>
                <w:rFonts w:cs="Arial"/>
              </w:rPr>
            </w:pPr>
            <w:bookmarkStart w:id="14" w:name="eight_cautions_cx"/>
            <w:bookmarkStart w:id="15" w:name="_Toc149231792"/>
            <w:r w:rsidRPr="00F321FC">
              <w:rPr>
                <w:rFonts w:cs="Arial"/>
              </w:rPr>
              <w:t>C</w:t>
            </w:r>
            <w:r w:rsidR="0041687B">
              <w:rPr>
                <w:rFonts w:cs="Arial"/>
              </w:rPr>
              <w:t>autions and c</w:t>
            </w:r>
            <w:r w:rsidRPr="00F321FC">
              <w:rPr>
                <w:rFonts w:cs="Arial"/>
              </w:rPr>
              <w:t>ontraindications</w:t>
            </w:r>
            <w:bookmarkEnd w:id="14"/>
            <w:bookmarkEnd w:id="15"/>
          </w:p>
        </w:tc>
        <w:tc>
          <w:tcPr>
            <w:tcW w:w="8257" w:type="dxa"/>
          </w:tcPr>
          <w:p w14:paraId="6C8F1AB5" w14:textId="13B6811E" w:rsidR="00F132AA" w:rsidRPr="003758EE" w:rsidRDefault="00FB404F" w:rsidP="003758EE">
            <w:pPr>
              <w:rPr>
                <w:rFonts w:cs="Arial"/>
              </w:rPr>
            </w:pPr>
            <w:r w:rsidRPr="003758EE">
              <w:rPr>
                <w:rFonts w:cs="Arial"/>
              </w:rPr>
              <w:t>This information does not replace the Summary of Product Characteristics (SPC), and should be read in conjunction with it. Please see BNF &amp; SPC for comprehensive information.</w:t>
            </w:r>
          </w:p>
          <w:p w14:paraId="004A4D13" w14:textId="77777777" w:rsidR="00FB404F" w:rsidRPr="003758EE" w:rsidRDefault="00FB404F" w:rsidP="003758EE">
            <w:pPr>
              <w:rPr>
                <w:rFonts w:cs="Arial"/>
              </w:rPr>
            </w:pPr>
          </w:p>
          <w:p w14:paraId="5074DDE0" w14:textId="77777777" w:rsidR="00FB404F" w:rsidRPr="003758EE" w:rsidRDefault="00FB404F" w:rsidP="003758EE">
            <w:pPr>
              <w:rPr>
                <w:rFonts w:cs="Arial"/>
                <w:b/>
                <w:bCs/>
              </w:rPr>
            </w:pPr>
            <w:r w:rsidRPr="003758EE">
              <w:rPr>
                <w:rFonts w:cs="Arial"/>
                <w:b/>
                <w:bCs/>
              </w:rPr>
              <w:t xml:space="preserve">Contraindications: </w:t>
            </w:r>
          </w:p>
          <w:p w14:paraId="3A0BD2F0" w14:textId="66058A8F" w:rsidR="003758EE" w:rsidRPr="003758EE" w:rsidRDefault="003758EE" w:rsidP="001B5AFA">
            <w:pPr>
              <w:pStyle w:val="ListParagraph"/>
              <w:numPr>
                <w:ilvl w:val="0"/>
                <w:numId w:val="10"/>
              </w:numPr>
              <w:rPr>
                <w:rFonts w:cs="Arial"/>
              </w:rPr>
            </w:pPr>
            <w:r w:rsidRPr="003758EE">
              <w:rPr>
                <w:rFonts w:cs="Arial"/>
              </w:rPr>
              <w:t xml:space="preserve">Hypersensitivity to mycophenolate mofetil or any excipients </w:t>
            </w:r>
          </w:p>
          <w:p w14:paraId="2C678D4C" w14:textId="6639537A" w:rsidR="001A51F3" w:rsidRPr="003758EE" w:rsidRDefault="003758EE" w:rsidP="001B5AFA">
            <w:pPr>
              <w:pStyle w:val="ListParagraph"/>
              <w:numPr>
                <w:ilvl w:val="0"/>
                <w:numId w:val="10"/>
              </w:numPr>
              <w:rPr>
                <w:rFonts w:cs="Arial"/>
              </w:rPr>
            </w:pPr>
            <w:r w:rsidRPr="003758EE">
              <w:rPr>
                <w:rFonts w:cs="Arial"/>
              </w:rPr>
              <w:t>Pregnancy or breastfeeding</w:t>
            </w:r>
            <w:r w:rsidR="007D1085">
              <w:rPr>
                <w:rFonts w:cs="Arial"/>
              </w:rPr>
              <w:t xml:space="preserve">. </w:t>
            </w:r>
            <w:r w:rsidR="007D1085" w:rsidRPr="007D1085">
              <w:rPr>
                <w:rFonts w:cs="Arial"/>
              </w:rPr>
              <w:t>Treatment should not be initiated without providing a negative pregnancy test</w:t>
            </w:r>
            <w:r w:rsidR="007D1085">
              <w:rPr>
                <w:rFonts w:cs="Arial"/>
              </w:rPr>
              <w:t>.</w:t>
            </w:r>
          </w:p>
          <w:p w14:paraId="1A4D3424" w14:textId="77777777" w:rsidR="007A56FB" w:rsidRPr="003758EE" w:rsidRDefault="007A56FB" w:rsidP="003758EE">
            <w:pPr>
              <w:rPr>
                <w:rFonts w:cs="Arial"/>
              </w:rPr>
            </w:pPr>
          </w:p>
          <w:p w14:paraId="14A2CAB8" w14:textId="77777777" w:rsidR="00FB404F" w:rsidRPr="003758EE" w:rsidRDefault="00FB404F" w:rsidP="003758EE">
            <w:pPr>
              <w:rPr>
                <w:rFonts w:cs="Arial"/>
                <w:b/>
                <w:bCs/>
              </w:rPr>
            </w:pPr>
            <w:r w:rsidRPr="003758EE">
              <w:rPr>
                <w:rFonts w:cs="Arial"/>
                <w:b/>
                <w:bCs/>
              </w:rPr>
              <w:t>Cautions:</w:t>
            </w:r>
          </w:p>
          <w:p w14:paraId="528F6274"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Localised or systemic infection. </w:t>
            </w:r>
          </w:p>
          <w:p w14:paraId="61C0D71A"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Very frail or elderly patients. </w:t>
            </w:r>
          </w:p>
          <w:p w14:paraId="3E08EDEA"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Patients with suspected lymphoproliferative disorder. </w:t>
            </w:r>
          </w:p>
          <w:p w14:paraId="779C124E"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Patients with unexplained anaemia, leukopenia or thrombocytopenia. </w:t>
            </w:r>
          </w:p>
          <w:p w14:paraId="3977348B"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Active gastrointestinal disease. </w:t>
            </w:r>
          </w:p>
          <w:p w14:paraId="2D279C3A"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 xml:space="preserve">Live vaccines (e.g. oral polio, oral typhoid, MMR, BCG, yellow fever): should usually be avoided in patients taking mycophenolate. Live shingles vaccine should be avoided in patients taking mycophenolate 1g/day or more, or lower doses together with prednisolone 7.5 mg/day or more.  Please refer to the </w:t>
            </w:r>
            <w:hyperlink r:id="rId22" w:tgtFrame="_blank" w:history="1">
              <w:r w:rsidRPr="003758EE">
                <w:rPr>
                  <w:rFonts w:eastAsia="Times New Roman" w:cs="Arial"/>
                  <w:color w:val="0000FF"/>
                  <w:u w:val="single"/>
                  <w:lang w:eastAsia="en-GB"/>
                </w:rPr>
                <w:t>Green Book Chapter 6</w:t>
              </w:r>
            </w:hyperlink>
            <w:r w:rsidRPr="003758EE">
              <w:rPr>
                <w:rFonts w:eastAsia="Times New Roman" w:cs="Arial"/>
                <w:color w:val="000000"/>
                <w:lang w:eastAsia="en-GB"/>
              </w:rPr>
              <w:t xml:space="preserve"> (cautions and contraindications), together with </w:t>
            </w:r>
            <w:r w:rsidRPr="003758EE">
              <w:rPr>
                <w:rFonts w:eastAsia="Times New Roman" w:cs="Arial"/>
                <w:color w:val="000000"/>
                <w:lang w:eastAsia="en-GB"/>
              </w:rPr>
              <w:lastRenderedPageBreak/>
              <w:t>chapters for the specific vaccine under consideration, for current advice. A non-live vaccine can still be used. Contact the specialist if further guidance is required.  </w:t>
            </w:r>
          </w:p>
          <w:p w14:paraId="63A12DD7" w14:textId="2B93B384"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 </w:t>
            </w:r>
          </w:p>
          <w:p w14:paraId="396889F7"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As there is a potential increased risk of malignancy, any pre-malignant disease should be adequately treated before starting therapy and patients should be up to date with relevant national cancer screening programmes.</w:t>
            </w:r>
          </w:p>
          <w:p w14:paraId="7A81A20B"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Due to the increased risk of skin cancer, exposure to sunlight and UV light should be limited by wearing protective clothing and using a sunscreen with a high protection factor </w:t>
            </w:r>
          </w:p>
          <w:p w14:paraId="5A326D9D"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Avoid if previous hepatitis B or C infection, or recurrent shingles  </w:t>
            </w:r>
          </w:p>
          <w:p w14:paraId="5BA41658"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Marked renal failure (eGFR below 25 mL/min). </w:t>
            </w:r>
          </w:p>
          <w:p w14:paraId="40FA26E7" w14:textId="1C7D6BC2"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 xml:space="preserve">Paternal exposure. See </w:t>
            </w:r>
            <w:hyperlink w:anchor="twelve_pregnancy" w:tgtFrame="_blank" w:history="1">
              <w:r w:rsidRPr="003758EE">
                <w:rPr>
                  <w:rFonts w:eastAsia="Times New Roman" w:cs="Arial"/>
                  <w:color w:val="0000FF"/>
                  <w:u w:val="single"/>
                  <w:lang w:eastAsia="en-GB"/>
                </w:rPr>
                <w:t>section 1</w:t>
              </w:r>
              <w:r w:rsidR="00D06F14">
                <w:rPr>
                  <w:rFonts w:eastAsia="Times New Roman" w:cs="Arial"/>
                  <w:color w:val="0000FF"/>
                  <w:u w:val="single"/>
                  <w:lang w:eastAsia="en-GB"/>
                </w:rPr>
                <w:t>2</w:t>
              </w:r>
            </w:hyperlink>
            <w:r w:rsidR="007D1085">
              <w:rPr>
                <w:rFonts w:eastAsia="Times New Roman" w:cs="Arial"/>
                <w:color w:val="0000FF"/>
                <w:u w:val="single"/>
                <w:lang w:eastAsia="en-GB"/>
              </w:rPr>
              <w:t xml:space="preserve"> and </w:t>
            </w:r>
            <w:hyperlink r:id="rId23" w:history="1">
              <w:r w:rsidR="007D1085" w:rsidRPr="007D1085">
                <w:rPr>
                  <w:rStyle w:val="Hyperlink"/>
                  <w:rFonts w:eastAsia="Times New Roman" w:cs="Arial"/>
                  <w:lang w:eastAsia="en-GB"/>
                </w:rPr>
                <w:t>MHRA advice</w:t>
              </w:r>
            </w:hyperlink>
            <w:r w:rsidRPr="003758EE">
              <w:rPr>
                <w:rFonts w:eastAsia="Times New Roman" w:cs="Arial"/>
                <w:color w:val="000000"/>
                <w:lang w:eastAsia="en-GB"/>
              </w:rPr>
              <w:t>.  </w:t>
            </w:r>
          </w:p>
          <w:p w14:paraId="57B34C33" w14:textId="77777777" w:rsidR="003758EE" w:rsidRPr="003758EE" w:rsidRDefault="003758EE" w:rsidP="001B5AFA">
            <w:pPr>
              <w:numPr>
                <w:ilvl w:val="0"/>
                <w:numId w:val="11"/>
              </w:numPr>
              <w:ind w:left="379" w:hanging="357"/>
              <w:textAlignment w:val="baseline"/>
              <w:rPr>
                <w:rFonts w:eastAsia="Times New Roman" w:cs="Arial"/>
                <w:lang w:eastAsia="en-GB"/>
              </w:rPr>
            </w:pPr>
            <w:r w:rsidRPr="003758EE">
              <w:rPr>
                <w:rFonts w:eastAsia="Times New Roman" w:cs="Arial"/>
                <w:color w:val="000000"/>
                <w:lang w:eastAsia="en-GB"/>
              </w:rPr>
              <w:t>Patients should not donate blood during therapy or for at least 6 weeks following discontinuation of mycophenolate. Men should not donate semen during therapy or for 90 days following discontinuation of mycophenolate. </w:t>
            </w:r>
          </w:p>
          <w:p w14:paraId="147F2A08"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In addition, the MHRA have also issued the following Drug Safety Updates for mycophenolate: </w:t>
            </w:r>
          </w:p>
          <w:p w14:paraId="507973C9" w14:textId="77777777" w:rsidR="003758EE" w:rsidRPr="003758EE" w:rsidRDefault="00E44E88" w:rsidP="001B5AFA">
            <w:pPr>
              <w:numPr>
                <w:ilvl w:val="0"/>
                <w:numId w:val="12"/>
              </w:numPr>
              <w:textAlignment w:val="baseline"/>
              <w:rPr>
                <w:rFonts w:cs="Arial"/>
              </w:rPr>
            </w:pPr>
            <w:hyperlink r:id="rId24" w:tgtFrame="_blank" w:history="1">
              <w:r w:rsidR="003758EE" w:rsidRPr="003758EE">
                <w:rPr>
                  <w:rFonts w:eastAsia="Times New Roman" w:cs="Arial"/>
                  <w:color w:val="0000FF"/>
                  <w:u w:val="single"/>
                  <w:lang w:eastAsia="en-GB"/>
                </w:rPr>
                <w:t>Mycophenolate mofetil: pure red cell aplasia</w:t>
              </w:r>
            </w:hyperlink>
            <w:r w:rsidR="003758EE" w:rsidRPr="003758EE">
              <w:rPr>
                <w:rFonts w:eastAsia="Times New Roman" w:cs="Arial"/>
                <w:color w:val="000000"/>
                <w:lang w:eastAsia="en-GB"/>
              </w:rPr>
              <w:t xml:space="preserve"> (Dec 2014) </w:t>
            </w:r>
          </w:p>
          <w:p w14:paraId="456B90AA" w14:textId="7980779B" w:rsidR="00FE3EEF" w:rsidRPr="003758EE" w:rsidRDefault="00E44E88" w:rsidP="001B5AFA">
            <w:pPr>
              <w:numPr>
                <w:ilvl w:val="0"/>
                <w:numId w:val="12"/>
              </w:numPr>
              <w:textAlignment w:val="baseline"/>
              <w:rPr>
                <w:rFonts w:cs="Arial"/>
              </w:rPr>
            </w:pPr>
            <w:hyperlink r:id="rId25" w:tgtFrame="_blank" w:history="1">
              <w:r w:rsidR="003758EE" w:rsidRPr="003758EE">
                <w:rPr>
                  <w:rFonts w:eastAsia="Calibri" w:cs="Arial"/>
                  <w:color w:val="0000FF"/>
                  <w:u w:val="single"/>
                </w:rPr>
                <w:t>Mycophenolate mofetil (</w:t>
              </w:r>
              <w:proofErr w:type="spellStart"/>
              <w:r w:rsidR="003758EE" w:rsidRPr="003758EE">
                <w:rPr>
                  <w:rFonts w:eastAsia="Calibri" w:cs="Arial"/>
                  <w:color w:val="0000FF"/>
                  <w:u w:val="single"/>
                </w:rPr>
                <w:t>CellCept</w:t>
              </w:r>
              <w:proofErr w:type="spellEnd"/>
              <w:r w:rsidR="003758EE" w:rsidRPr="003758EE">
                <w:rPr>
                  <w:rFonts w:eastAsia="Calibri" w:cs="Arial"/>
                  <w:color w:val="0000FF"/>
                  <w:u w:val="single"/>
                </w:rPr>
                <w:t>) and mycophenolic acid: risk of hypogammaglobulinaemia and risk of bronchiectasi</w:t>
              </w:r>
              <w:r w:rsidR="003758EE" w:rsidRPr="003758EE">
                <w:rPr>
                  <w:rFonts w:eastAsia="Calibri" w:cs="Arial"/>
                  <w:color w:val="000000"/>
                  <w:u w:val="single"/>
                </w:rPr>
                <w:t>s</w:t>
              </w:r>
            </w:hyperlink>
            <w:r w:rsidR="003758EE" w:rsidRPr="003758EE">
              <w:rPr>
                <w:rFonts w:eastAsia="Calibri" w:cs="Arial"/>
                <w:color w:val="000000"/>
              </w:rPr>
              <w:t xml:space="preserve"> (Jan 2015) </w:t>
            </w:r>
          </w:p>
        </w:tc>
      </w:tr>
      <w:tr w:rsidR="00F132AA" w:rsidRPr="00F321FC" w14:paraId="11E3D793" w14:textId="77777777" w:rsidTr="0051526F">
        <w:tc>
          <w:tcPr>
            <w:tcW w:w="2204" w:type="dxa"/>
          </w:tcPr>
          <w:p w14:paraId="1E8C8FBF" w14:textId="3ED10190" w:rsidR="00F132AA" w:rsidRPr="00F321FC" w:rsidRDefault="0098487D" w:rsidP="0098487D">
            <w:pPr>
              <w:pStyle w:val="Heading2"/>
              <w:rPr>
                <w:rFonts w:cs="Arial"/>
              </w:rPr>
            </w:pPr>
            <w:bookmarkStart w:id="16" w:name="nine_interactions"/>
            <w:bookmarkStart w:id="17" w:name="_Toc149231793"/>
            <w:r w:rsidRPr="00F321FC">
              <w:rPr>
                <w:rFonts w:cs="Arial"/>
              </w:rPr>
              <w:lastRenderedPageBreak/>
              <w:t>Significant drug interactions</w:t>
            </w:r>
            <w:bookmarkEnd w:id="16"/>
            <w:bookmarkEnd w:id="17"/>
          </w:p>
        </w:tc>
        <w:tc>
          <w:tcPr>
            <w:tcW w:w="8257" w:type="dxa"/>
          </w:tcPr>
          <w:p w14:paraId="112C1849" w14:textId="2D2EEFE2" w:rsidR="00F132AA" w:rsidRPr="003758EE" w:rsidRDefault="00FB404F" w:rsidP="003758EE">
            <w:pPr>
              <w:rPr>
                <w:rFonts w:cs="Arial"/>
              </w:rPr>
            </w:pPr>
            <w:r w:rsidRPr="003758EE">
              <w:rPr>
                <w:rFonts w:cs="Arial"/>
              </w:rPr>
              <w:t xml:space="preserve">The following list is not exhaustive. Please see </w:t>
            </w:r>
            <w:hyperlink r:id="rId26" w:history="1">
              <w:r w:rsidRPr="00D06F14">
                <w:rPr>
                  <w:rStyle w:val="Hyperlink"/>
                  <w:rFonts w:cs="Arial"/>
                </w:rPr>
                <w:t>BNF</w:t>
              </w:r>
            </w:hyperlink>
            <w:r w:rsidRPr="003758EE">
              <w:rPr>
                <w:rFonts w:cs="Arial"/>
              </w:rPr>
              <w:t xml:space="preserve"> </w:t>
            </w:r>
            <w:r w:rsidR="00D06F14">
              <w:rPr>
                <w:rFonts w:cs="Arial"/>
              </w:rPr>
              <w:t xml:space="preserve">and </w:t>
            </w:r>
            <w:hyperlink r:id="rId27" w:history="1">
              <w:r w:rsidRPr="00D06F14">
                <w:rPr>
                  <w:rStyle w:val="Hyperlink"/>
                  <w:rFonts w:cs="Arial"/>
                </w:rPr>
                <w:t>SPC</w:t>
              </w:r>
            </w:hyperlink>
            <w:r w:rsidRPr="003758EE">
              <w:rPr>
                <w:rFonts w:cs="Arial"/>
              </w:rPr>
              <w:t xml:space="preserve"> for comprehensive information and recommended management.</w:t>
            </w:r>
          </w:p>
          <w:p w14:paraId="6CA5EE1C"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Aciclovir / ganciclovir / valaciclovir / valganciclovir</w:t>
            </w:r>
            <w:r w:rsidRPr="003758EE">
              <w:rPr>
                <w:rFonts w:eastAsia="Times New Roman" w:cs="Arial"/>
                <w:lang w:eastAsia="en-GB"/>
              </w:rPr>
              <w:t>: possible increased plasma concentration of antiviral and mycophenolate metabolite especially in patients with renal impairment; possible increased risk of haematological toxicity   </w:t>
            </w:r>
          </w:p>
          <w:p w14:paraId="34ACA933"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Antacids and proton pump inhibitors</w:t>
            </w:r>
            <w:r w:rsidRPr="003758EE">
              <w:rPr>
                <w:rFonts w:eastAsia="Times New Roman" w:cs="Arial"/>
                <w:lang w:eastAsia="en-GB"/>
              </w:rPr>
              <w:t>: reduced absorption of mycophenolate </w:t>
            </w:r>
          </w:p>
          <w:p w14:paraId="5EE3DB46"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Further immunosuppression e.g. azathioprine, ciclosporin, sirolimus</w:t>
            </w:r>
            <w:r w:rsidRPr="003758EE">
              <w:rPr>
                <w:rFonts w:eastAsia="Times New Roman" w:cs="Arial"/>
                <w:lang w:eastAsia="en-GB"/>
              </w:rPr>
              <w:t>: increased risk of bone marrow suppression </w:t>
            </w:r>
          </w:p>
          <w:p w14:paraId="665FECC9"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 xml:space="preserve">Cholestyramine / </w:t>
            </w:r>
            <w:proofErr w:type="spellStart"/>
            <w:r w:rsidRPr="003758EE">
              <w:rPr>
                <w:rFonts w:eastAsia="Times New Roman" w:cs="Arial"/>
                <w:b/>
                <w:bCs/>
                <w:lang w:eastAsia="en-GB"/>
              </w:rPr>
              <w:t>colesevelam</w:t>
            </w:r>
            <w:proofErr w:type="spellEnd"/>
            <w:r w:rsidRPr="003758EE">
              <w:rPr>
                <w:rFonts w:eastAsia="Times New Roman" w:cs="Arial"/>
                <w:lang w:eastAsia="en-GB"/>
              </w:rPr>
              <w:t>: reduced absorption of mycophenolate </w:t>
            </w:r>
          </w:p>
          <w:p w14:paraId="090BCB7E"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Ciclosporin</w:t>
            </w:r>
            <w:r w:rsidRPr="003758EE">
              <w:rPr>
                <w:rFonts w:eastAsia="Times New Roman" w:cs="Arial"/>
                <w:lang w:eastAsia="en-GB"/>
              </w:rPr>
              <w:t>: reduced mycophenolate exposure </w:t>
            </w:r>
          </w:p>
          <w:p w14:paraId="248A468A" w14:textId="77777777" w:rsidR="003758EE" w:rsidRPr="003758EE" w:rsidRDefault="003758EE" w:rsidP="001B5AFA">
            <w:pPr>
              <w:numPr>
                <w:ilvl w:val="0"/>
                <w:numId w:val="13"/>
              </w:numPr>
              <w:ind w:left="357" w:hanging="357"/>
              <w:textAlignment w:val="baseline"/>
              <w:rPr>
                <w:rFonts w:eastAsia="Times New Roman" w:cs="Arial"/>
                <w:lang w:eastAsia="en-GB"/>
              </w:rPr>
            </w:pPr>
            <w:proofErr w:type="spellStart"/>
            <w:r w:rsidRPr="003758EE">
              <w:rPr>
                <w:rFonts w:eastAsia="Times New Roman" w:cs="Arial"/>
                <w:b/>
                <w:bCs/>
                <w:lang w:eastAsia="en-GB"/>
              </w:rPr>
              <w:t>Isavuconazole</w:t>
            </w:r>
            <w:proofErr w:type="spellEnd"/>
            <w:r w:rsidRPr="003758EE">
              <w:rPr>
                <w:rFonts w:eastAsia="Times New Roman" w:cs="Arial"/>
                <w:lang w:eastAsia="en-GB"/>
              </w:rPr>
              <w:t>: possible increased risk of mycophenolate adverse effects due to increased exposure to mycophenolate or its metabolite </w:t>
            </w:r>
          </w:p>
          <w:p w14:paraId="67C0E496"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Telmisartan</w:t>
            </w:r>
            <w:r w:rsidRPr="003758EE">
              <w:rPr>
                <w:rFonts w:eastAsia="Times New Roman" w:cs="Arial"/>
                <w:lang w:eastAsia="en-GB"/>
              </w:rPr>
              <w:t>: may reduce mycophenolate exposure </w:t>
            </w:r>
          </w:p>
          <w:p w14:paraId="6E0E4121" w14:textId="77777777" w:rsidR="003758EE" w:rsidRPr="003758EE" w:rsidRDefault="003758EE" w:rsidP="001B5AFA">
            <w:pPr>
              <w:numPr>
                <w:ilvl w:val="0"/>
                <w:numId w:val="13"/>
              </w:numPr>
              <w:ind w:left="357" w:hanging="357"/>
              <w:textAlignment w:val="baseline"/>
              <w:rPr>
                <w:rFonts w:eastAsia="Times New Roman" w:cs="Arial"/>
                <w:lang w:eastAsia="en-GB"/>
              </w:rPr>
            </w:pPr>
            <w:r w:rsidRPr="003758EE">
              <w:rPr>
                <w:rFonts w:eastAsia="Times New Roman" w:cs="Arial"/>
                <w:b/>
                <w:bCs/>
                <w:lang w:eastAsia="en-GB"/>
              </w:rPr>
              <w:t>Live vaccines</w:t>
            </w:r>
            <w:r w:rsidRPr="003758EE">
              <w:rPr>
                <w:rFonts w:eastAsia="Times New Roman" w:cs="Arial"/>
                <w:lang w:eastAsia="en-GB"/>
              </w:rPr>
              <w:t xml:space="preserve">: Increased risk of generalised infection. Consult the </w:t>
            </w:r>
            <w:hyperlink r:id="rId28" w:tgtFrame="_blank" w:history="1">
              <w:r w:rsidRPr="003758EE">
                <w:rPr>
                  <w:rFonts w:eastAsia="Times New Roman" w:cs="Arial"/>
                  <w:color w:val="0000FF"/>
                  <w:u w:val="single"/>
                  <w:lang w:eastAsia="en-GB"/>
                </w:rPr>
                <w:t>Green Book</w:t>
              </w:r>
            </w:hyperlink>
            <w:r w:rsidRPr="003758EE">
              <w:rPr>
                <w:rFonts w:eastAsia="Times New Roman" w:cs="Arial"/>
                <w:lang w:eastAsia="en-GB"/>
              </w:rPr>
              <w:t xml:space="preserve"> for the most up to date advice </w:t>
            </w:r>
          </w:p>
          <w:p w14:paraId="0D4668A4" w14:textId="77777777" w:rsidR="007D1085" w:rsidRPr="007D1085" w:rsidRDefault="003758EE" w:rsidP="007D1085">
            <w:pPr>
              <w:numPr>
                <w:ilvl w:val="0"/>
                <w:numId w:val="13"/>
              </w:numPr>
              <w:ind w:left="357" w:hanging="357"/>
              <w:textAlignment w:val="baseline"/>
              <w:rPr>
                <w:rFonts w:cs="Arial"/>
              </w:rPr>
            </w:pPr>
            <w:r w:rsidRPr="003758EE">
              <w:rPr>
                <w:rFonts w:eastAsia="Times New Roman" w:cs="Arial"/>
                <w:b/>
                <w:bCs/>
                <w:lang w:eastAsia="en-GB"/>
              </w:rPr>
              <w:t>Rifampicin</w:t>
            </w:r>
            <w:r w:rsidRPr="003758EE">
              <w:rPr>
                <w:rFonts w:eastAsia="Times New Roman" w:cs="Arial"/>
                <w:lang w:eastAsia="en-GB"/>
              </w:rPr>
              <w:t>: decreased plasma concentration of mycophenolate </w:t>
            </w:r>
          </w:p>
          <w:p w14:paraId="11735DD8" w14:textId="3D129762" w:rsidR="001A51F3" w:rsidRPr="003758EE" w:rsidRDefault="003758EE" w:rsidP="007D1085">
            <w:pPr>
              <w:numPr>
                <w:ilvl w:val="0"/>
                <w:numId w:val="13"/>
              </w:numPr>
              <w:ind w:left="357" w:hanging="357"/>
              <w:textAlignment w:val="baseline"/>
              <w:rPr>
                <w:rFonts w:cs="Arial"/>
              </w:rPr>
            </w:pPr>
            <w:r w:rsidRPr="003758EE">
              <w:rPr>
                <w:rFonts w:eastAsia="Calibri" w:cs="Arial"/>
                <w:b/>
                <w:bCs/>
              </w:rPr>
              <w:t>Sevelamer</w:t>
            </w:r>
            <w:r w:rsidRPr="003758EE">
              <w:rPr>
                <w:rFonts w:eastAsia="Calibri" w:cs="Arial"/>
              </w:rPr>
              <w:t>: reduced mycophenolate exposure; separate administration by 1-3 hours </w:t>
            </w:r>
          </w:p>
        </w:tc>
      </w:tr>
    </w:tbl>
    <w:p w14:paraId="56D8C659" w14:textId="77777777" w:rsidR="0051526F" w:rsidRDefault="0051526F"/>
    <w:p w14:paraId="5F2EB721" w14:textId="77777777" w:rsidR="0051526F" w:rsidRDefault="0051526F" w:rsidP="0051526F">
      <w:pPr>
        <w:pStyle w:val="Heading2"/>
        <w:rPr>
          <w:rFonts w:cs="Arial"/>
        </w:rPr>
      </w:pPr>
      <w:bookmarkStart w:id="18" w:name="_Toc149231794"/>
      <w:r w:rsidRPr="00F321FC">
        <w:rPr>
          <w:rFonts w:cs="Arial"/>
        </w:rPr>
        <w:t>Adverse effects and management</w:t>
      </w:r>
      <w:bookmarkEnd w:id="18"/>
    </w:p>
    <w:p w14:paraId="41070243" w14:textId="207A961A"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p>
    <w:p w14:paraId="338E7A1F" w14:textId="53E2DB61" w:rsidR="0051526F" w:rsidRPr="0041687B" w:rsidRDefault="0051526F" w:rsidP="0051526F">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r:id="rId29" w:tooltip="http://www.mhra.gov.uk/yellowcard" w:history="1">
        <w:r w:rsidRPr="0041687B">
          <w:rPr>
            <w:rStyle w:val="Hyperlink"/>
            <w:rFonts w:eastAsia="Calibri" w:cs="Arial"/>
            <w:noProof/>
            <w:lang w:eastAsia="en-GB"/>
          </w:rPr>
          <w:t>www.mhra.gov.uk/yellowcard</w:t>
        </w:r>
      </w:hyperlink>
      <w:r w:rsidRPr="001B5F28">
        <w:rPr>
          <w:rStyle w:val="Hyperlink"/>
          <w:rFonts w:eastAsia="Calibri" w:cs="Arial"/>
          <w:noProof/>
          <w:color w:val="000000"/>
          <w:u w:val="none"/>
          <w:lang w:eastAsia="en-GB"/>
        </w:rPr>
        <w:t>.</w:t>
      </w:r>
    </w:p>
    <w:p w14:paraId="50ECDB93" w14:textId="769B6C3F" w:rsidR="0051526F" w:rsidRDefault="0051526F" w:rsidP="0051526F">
      <w:pPr>
        <w:rPr>
          <w:rStyle w:val="Hyperlink"/>
          <w:rFonts w:eastAsia="Calibri"/>
          <w:bCs/>
          <w:noProof/>
          <w:color w:val="000000"/>
          <w:u w:val="none"/>
          <w:lang w:eastAsia="en-GB"/>
        </w:rPr>
      </w:pPr>
      <w:r w:rsidRPr="0041687B">
        <w:rPr>
          <w:rStyle w:val="Hyperlink"/>
          <w:rFonts w:eastAsia="Calibri" w:cs="Arial"/>
          <w:bCs/>
          <w:noProof/>
          <w:color w:val="000000"/>
          <w:u w:val="none"/>
          <w:lang w:eastAsia="en-GB"/>
        </w:rPr>
        <w:lastRenderedPageBreak/>
        <w:t xml:space="preserve">For information on incidence of ADRs see relevant </w:t>
      </w:r>
      <w:r w:rsidRPr="007A56FB">
        <w:rPr>
          <w:rStyle w:val="Hyperlink"/>
          <w:rFonts w:eastAsia="Calibri" w:cs="Arial"/>
          <w:bCs/>
          <w:noProof/>
          <w:color w:val="000000"/>
          <w:u w:val="none"/>
          <w:lang w:eastAsia="en-GB"/>
        </w:rPr>
        <w:t>S</w:t>
      </w:r>
      <w:r w:rsidRPr="007A56FB">
        <w:rPr>
          <w:rStyle w:val="Hyperlink"/>
          <w:rFonts w:eastAsia="Calibri"/>
          <w:bCs/>
          <w:noProof/>
          <w:color w:val="000000"/>
          <w:u w:val="none"/>
          <w:lang w:eastAsia="en-GB"/>
        </w:rPr>
        <w:t>PCs</w:t>
      </w:r>
      <w:r w:rsidRPr="00D13A1C">
        <w:rPr>
          <w:rStyle w:val="Hyperlink"/>
          <w:rFonts w:eastAsia="Calibri"/>
          <w:bCs/>
          <w:noProof/>
          <w:color w:val="000000"/>
          <w:u w:val="none"/>
          <w:lang w:eastAsia="en-GB"/>
        </w:rPr>
        <w:t>.</w:t>
      </w:r>
    </w:p>
    <w:p w14:paraId="0BF86A10" w14:textId="78E17C0C" w:rsidR="003758EE" w:rsidRPr="003758EE" w:rsidRDefault="003758EE" w:rsidP="0051526F">
      <w:pPr>
        <w:rPr>
          <w:b/>
          <w:bCs/>
        </w:rPr>
      </w:pPr>
      <w:r w:rsidRPr="003758EE">
        <w:rPr>
          <w:b/>
          <w:bCs/>
        </w:rPr>
        <w:t>As well as responding to absolute values in laboratory tests, a rapid change or a consistent trend in any value should prompt caution and extra vigilance.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3758EE" w14:paraId="7F454127" w14:textId="77777777" w:rsidTr="0051526F">
        <w:trPr>
          <w:cantSplit/>
          <w:tblHeader/>
        </w:trPr>
        <w:tc>
          <w:tcPr>
            <w:tcW w:w="5245" w:type="dxa"/>
            <w:shd w:val="clear" w:color="auto" w:fill="F2F2F2" w:themeFill="background1" w:themeFillShade="F2"/>
          </w:tcPr>
          <w:p w14:paraId="67AF18F0" w14:textId="01ED708F" w:rsidR="0051526F" w:rsidRPr="003758EE" w:rsidRDefault="0051526F" w:rsidP="003758EE">
            <w:pPr>
              <w:rPr>
                <w:rFonts w:cs="Arial"/>
                <w:b/>
                <w:bCs/>
                <w:u w:val="single"/>
              </w:rPr>
            </w:pPr>
            <w:r w:rsidRPr="003758EE">
              <w:rPr>
                <w:rFonts w:cs="Arial"/>
                <w:b/>
                <w:bCs/>
                <w:u w:val="single"/>
              </w:rPr>
              <w:t>Adverse effect</w:t>
            </w:r>
          </w:p>
        </w:tc>
        <w:tc>
          <w:tcPr>
            <w:tcW w:w="5245" w:type="dxa"/>
            <w:shd w:val="clear" w:color="auto" w:fill="F2F2F2" w:themeFill="background1" w:themeFillShade="F2"/>
          </w:tcPr>
          <w:p w14:paraId="7FD73CD2" w14:textId="63413BED" w:rsidR="0051526F" w:rsidRPr="003758EE" w:rsidRDefault="0051526F" w:rsidP="003758EE">
            <w:pPr>
              <w:rPr>
                <w:rFonts w:cs="Arial"/>
                <w:b/>
                <w:bCs/>
                <w:u w:val="single"/>
              </w:rPr>
            </w:pPr>
            <w:r w:rsidRPr="003758EE">
              <w:rPr>
                <w:rFonts w:cs="Arial"/>
                <w:b/>
                <w:bCs/>
                <w:u w:val="single"/>
              </w:rPr>
              <w:t>Management</w:t>
            </w:r>
          </w:p>
        </w:tc>
      </w:tr>
      <w:tr w:rsidR="003758EE" w:rsidRPr="003758EE" w14:paraId="01268D2D" w14:textId="77777777" w:rsidTr="0051526F">
        <w:trPr>
          <w:cantSplit/>
          <w:trHeight w:val="48"/>
        </w:trPr>
        <w:tc>
          <w:tcPr>
            <w:tcW w:w="5245" w:type="dxa"/>
          </w:tcPr>
          <w:p w14:paraId="223DFE21" w14:textId="77777777" w:rsidR="003758EE" w:rsidRPr="003758EE" w:rsidRDefault="003758EE" w:rsidP="001B5AFA">
            <w:pPr>
              <w:pStyle w:val="paragraph"/>
              <w:numPr>
                <w:ilvl w:val="0"/>
                <w:numId w:val="14"/>
              </w:numPr>
              <w:spacing w:before="60" w:beforeAutospacing="0" w:after="60" w:afterAutospacing="0"/>
              <w:textAlignment w:val="baseline"/>
              <w:rPr>
                <w:rFonts w:ascii="Arial" w:hAnsi="Arial" w:cs="Arial"/>
                <w:sz w:val="22"/>
                <w:szCs w:val="22"/>
                <w:lang w:eastAsia="en-US"/>
              </w:rPr>
            </w:pPr>
            <w:r w:rsidRPr="003758EE">
              <w:rPr>
                <w:rStyle w:val="normaltextrun"/>
                <w:rFonts w:ascii="Arial" w:hAnsi="Arial" w:cs="Arial"/>
                <w:sz w:val="22"/>
                <w:szCs w:val="22"/>
                <w:lang w:eastAsia="en-US"/>
              </w:rPr>
              <w:t>White blood cells less than 3.5x10</w:t>
            </w:r>
            <w:r w:rsidRPr="003758EE">
              <w:rPr>
                <w:rStyle w:val="normaltextrun"/>
                <w:rFonts w:ascii="Arial" w:hAnsi="Arial" w:cs="Arial"/>
                <w:sz w:val="22"/>
                <w:szCs w:val="22"/>
                <w:vertAlign w:val="superscript"/>
                <w:lang w:eastAsia="en-US"/>
              </w:rPr>
              <w:t>9</w:t>
            </w:r>
            <w:r w:rsidRPr="003758EE">
              <w:rPr>
                <w:rStyle w:val="normaltextrun"/>
                <w:rFonts w:ascii="Arial" w:hAnsi="Arial" w:cs="Arial"/>
                <w:sz w:val="22"/>
                <w:szCs w:val="22"/>
                <w:lang w:eastAsia="en-US"/>
              </w:rPr>
              <w:t>/L</w:t>
            </w:r>
            <w:r w:rsidRPr="003758EE">
              <w:rPr>
                <w:rStyle w:val="eop"/>
                <w:rFonts w:ascii="Arial" w:hAnsi="Arial" w:cs="Arial"/>
                <w:sz w:val="22"/>
                <w:szCs w:val="22"/>
                <w:lang w:eastAsia="en-US"/>
              </w:rPr>
              <w:t> </w:t>
            </w:r>
          </w:p>
          <w:p w14:paraId="3F4B03AB" w14:textId="77777777" w:rsidR="003758EE" w:rsidRPr="003758EE" w:rsidRDefault="003758EE" w:rsidP="001B5AFA">
            <w:pPr>
              <w:pStyle w:val="paragraph"/>
              <w:numPr>
                <w:ilvl w:val="0"/>
                <w:numId w:val="14"/>
              </w:numPr>
              <w:spacing w:before="60" w:beforeAutospacing="0" w:after="60" w:afterAutospacing="0"/>
              <w:textAlignment w:val="baseline"/>
              <w:rPr>
                <w:rFonts w:ascii="Arial" w:hAnsi="Arial" w:cs="Arial"/>
                <w:sz w:val="22"/>
                <w:szCs w:val="22"/>
                <w:lang w:eastAsia="en-US"/>
              </w:rPr>
            </w:pPr>
            <w:r w:rsidRPr="003758EE">
              <w:rPr>
                <w:rStyle w:val="normaltextrun"/>
                <w:rFonts w:ascii="Arial" w:hAnsi="Arial" w:cs="Arial"/>
                <w:sz w:val="22"/>
                <w:szCs w:val="22"/>
                <w:lang w:eastAsia="en-US"/>
              </w:rPr>
              <w:t>Lymphocytes less than 0.5x10</w:t>
            </w:r>
            <w:r w:rsidRPr="003758EE">
              <w:rPr>
                <w:rStyle w:val="normaltextrun"/>
                <w:rFonts w:ascii="Arial" w:hAnsi="Arial" w:cs="Arial"/>
                <w:sz w:val="22"/>
                <w:szCs w:val="22"/>
                <w:vertAlign w:val="superscript"/>
                <w:lang w:eastAsia="en-US"/>
              </w:rPr>
              <w:t>9</w:t>
            </w:r>
            <w:r w:rsidRPr="003758EE">
              <w:rPr>
                <w:rStyle w:val="normaltextrun"/>
                <w:rFonts w:ascii="Arial" w:hAnsi="Arial" w:cs="Arial"/>
                <w:sz w:val="22"/>
                <w:szCs w:val="22"/>
                <w:lang w:eastAsia="en-US"/>
              </w:rPr>
              <w:t>/L</w:t>
            </w:r>
            <w:r w:rsidRPr="003758EE">
              <w:rPr>
                <w:rStyle w:val="eop"/>
                <w:rFonts w:ascii="Arial" w:hAnsi="Arial" w:cs="Arial"/>
                <w:sz w:val="22"/>
                <w:szCs w:val="22"/>
                <w:lang w:eastAsia="en-US"/>
              </w:rPr>
              <w:t> </w:t>
            </w:r>
          </w:p>
          <w:p w14:paraId="3BD87C21" w14:textId="77777777" w:rsidR="003758EE" w:rsidRPr="003758EE" w:rsidRDefault="003758EE" w:rsidP="001B5AFA">
            <w:pPr>
              <w:pStyle w:val="paragraph"/>
              <w:numPr>
                <w:ilvl w:val="0"/>
                <w:numId w:val="14"/>
              </w:numPr>
              <w:spacing w:before="60" w:beforeAutospacing="0" w:after="60" w:afterAutospacing="0"/>
              <w:textAlignment w:val="baseline"/>
              <w:rPr>
                <w:rFonts w:ascii="Arial" w:hAnsi="Arial" w:cs="Arial"/>
                <w:sz w:val="22"/>
                <w:szCs w:val="22"/>
                <w:lang w:eastAsia="en-US"/>
              </w:rPr>
            </w:pPr>
            <w:r w:rsidRPr="003758EE">
              <w:rPr>
                <w:rStyle w:val="normaltextrun"/>
                <w:rFonts w:ascii="Arial" w:hAnsi="Arial" w:cs="Arial"/>
                <w:sz w:val="22"/>
                <w:szCs w:val="22"/>
                <w:lang w:eastAsia="en-US"/>
              </w:rPr>
              <w:t>Neutrophils less than 1.6x10</w:t>
            </w:r>
            <w:r w:rsidRPr="003758EE">
              <w:rPr>
                <w:rStyle w:val="normaltextrun"/>
                <w:rFonts w:ascii="Arial" w:hAnsi="Arial" w:cs="Arial"/>
                <w:sz w:val="22"/>
                <w:szCs w:val="22"/>
                <w:vertAlign w:val="superscript"/>
                <w:lang w:eastAsia="en-US"/>
              </w:rPr>
              <w:t>9</w:t>
            </w:r>
            <w:r w:rsidRPr="003758EE">
              <w:rPr>
                <w:rStyle w:val="normaltextrun"/>
                <w:rFonts w:ascii="Arial" w:hAnsi="Arial" w:cs="Arial"/>
                <w:sz w:val="22"/>
                <w:szCs w:val="22"/>
                <w:lang w:eastAsia="en-US"/>
              </w:rPr>
              <w:t>/L</w:t>
            </w:r>
            <w:r w:rsidRPr="003758EE">
              <w:rPr>
                <w:rStyle w:val="eop"/>
                <w:rFonts w:ascii="Arial" w:hAnsi="Arial" w:cs="Arial"/>
                <w:sz w:val="22"/>
                <w:szCs w:val="22"/>
                <w:lang w:eastAsia="en-US"/>
              </w:rPr>
              <w:t> </w:t>
            </w:r>
          </w:p>
          <w:p w14:paraId="7B1EE2FD" w14:textId="77777777" w:rsidR="003758EE" w:rsidRPr="003758EE" w:rsidRDefault="003758EE" w:rsidP="001B5AFA">
            <w:pPr>
              <w:pStyle w:val="paragraph"/>
              <w:numPr>
                <w:ilvl w:val="0"/>
                <w:numId w:val="14"/>
              </w:numPr>
              <w:spacing w:before="60" w:beforeAutospacing="0" w:after="60" w:afterAutospacing="0"/>
              <w:textAlignment w:val="baseline"/>
              <w:rPr>
                <w:rFonts w:ascii="Arial" w:hAnsi="Arial" w:cs="Arial"/>
                <w:sz w:val="22"/>
                <w:szCs w:val="22"/>
                <w:lang w:eastAsia="en-US"/>
              </w:rPr>
            </w:pPr>
            <w:r w:rsidRPr="003758EE">
              <w:rPr>
                <w:rStyle w:val="normaltextrun"/>
                <w:rFonts w:ascii="Arial" w:hAnsi="Arial" w:cs="Arial"/>
                <w:sz w:val="22"/>
                <w:szCs w:val="22"/>
                <w:lang w:eastAsia="en-US"/>
              </w:rPr>
              <w:t>Platelets less than 140x10</w:t>
            </w:r>
            <w:r w:rsidRPr="003758EE">
              <w:rPr>
                <w:rStyle w:val="normaltextrun"/>
                <w:rFonts w:ascii="Arial" w:hAnsi="Arial" w:cs="Arial"/>
                <w:sz w:val="22"/>
                <w:szCs w:val="22"/>
                <w:vertAlign w:val="superscript"/>
                <w:lang w:eastAsia="en-US"/>
              </w:rPr>
              <w:t>9</w:t>
            </w:r>
            <w:r w:rsidRPr="003758EE">
              <w:rPr>
                <w:rStyle w:val="normaltextrun"/>
                <w:rFonts w:ascii="Arial" w:hAnsi="Arial" w:cs="Arial"/>
                <w:sz w:val="22"/>
                <w:szCs w:val="22"/>
                <w:lang w:eastAsia="en-US"/>
              </w:rPr>
              <w:t>/L</w:t>
            </w:r>
            <w:r w:rsidRPr="003758EE">
              <w:rPr>
                <w:rStyle w:val="eop"/>
                <w:rFonts w:ascii="Arial" w:hAnsi="Arial" w:cs="Arial"/>
                <w:sz w:val="22"/>
                <w:szCs w:val="22"/>
                <w:lang w:eastAsia="en-US"/>
              </w:rPr>
              <w:t> </w:t>
            </w:r>
          </w:p>
          <w:p w14:paraId="6A99262A" w14:textId="5B311A8E" w:rsidR="003758EE" w:rsidRPr="003758EE" w:rsidRDefault="003758EE" w:rsidP="001B5AFA">
            <w:pPr>
              <w:pStyle w:val="paragraph"/>
              <w:numPr>
                <w:ilvl w:val="0"/>
                <w:numId w:val="14"/>
              </w:numPr>
              <w:spacing w:before="60" w:beforeAutospacing="0" w:after="60" w:afterAutospacing="0"/>
              <w:textAlignment w:val="baseline"/>
              <w:rPr>
                <w:rFonts w:ascii="Arial" w:hAnsi="Arial" w:cs="Arial"/>
                <w:sz w:val="22"/>
                <w:szCs w:val="22"/>
              </w:rPr>
            </w:pPr>
            <w:r w:rsidRPr="003758EE">
              <w:rPr>
                <w:rStyle w:val="normaltextrun"/>
                <w:rFonts w:ascii="Arial" w:hAnsi="Arial" w:cs="Arial"/>
                <w:sz w:val="22"/>
                <w:szCs w:val="22"/>
                <w:lang w:eastAsia="en-US"/>
              </w:rPr>
              <w:t>Eosinophilia greater than 0.5x10</w:t>
            </w:r>
            <w:r w:rsidRPr="003758EE">
              <w:rPr>
                <w:rStyle w:val="normaltextrun"/>
                <w:rFonts w:ascii="Arial" w:hAnsi="Arial" w:cs="Arial"/>
                <w:sz w:val="22"/>
                <w:szCs w:val="22"/>
                <w:vertAlign w:val="superscript"/>
                <w:lang w:eastAsia="en-US"/>
              </w:rPr>
              <w:t>9</w:t>
            </w:r>
            <w:r w:rsidRPr="003758EE">
              <w:rPr>
                <w:rStyle w:val="normaltextrun"/>
                <w:rFonts w:ascii="Arial" w:hAnsi="Arial" w:cs="Arial"/>
                <w:sz w:val="22"/>
                <w:szCs w:val="22"/>
                <w:lang w:eastAsia="en-US"/>
              </w:rPr>
              <w:t>/L</w:t>
            </w:r>
            <w:r w:rsidRPr="003758EE">
              <w:rPr>
                <w:rStyle w:val="eop"/>
                <w:rFonts w:ascii="Arial" w:hAnsi="Arial" w:cs="Arial"/>
                <w:sz w:val="22"/>
                <w:szCs w:val="22"/>
                <w:lang w:eastAsia="en-US"/>
              </w:rPr>
              <w:t> </w:t>
            </w:r>
          </w:p>
        </w:tc>
        <w:tc>
          <w:tcPr>
            <w:tcW w:w="5245" w:type="dxa"/>
          </w:tcPr>
          <w:p w14:paraId="208B281D" w14:textId="77777777" w:rsidR="003758EE" w:rsidRPr="003758EE" w:rsidRDefault="003758EE" w:rsidP="003758EE">
            <w:pPr>
              <w:textAlignment w:val="baseline"/>
              <w:rPr>
                <w:rFonts w:eastAsia="Times New Roman" w:cs="Arial"/>
                <w:b/>
                <w:bCs/>
                <w:lang w:eastAsia="en-GB"/>
              </w:rPr>
            </w:pPr>
            <w:r w:rsidRPr="003758EE">
              <w:rPr>
                <w:rFonts w:eastAsia="Times New Roman" w:cs="Arial"/>
                <w:color w:val="000000"/>
                <w:lang w:eastAsia="en-GB"/>
              </w:rPr>
              <w:t>Discuss urgently with specialist team, and consider interruption</w:t>
            </w:r>
            <w:r w:rsidRPr="003758EE">
              <w:rPr>
                <w:rFonts w:eastAsia="Times New Roman" w:cs="Arial"/>
                <w:b/>
                <w:bCs/>
                <w:color w:val="000000"/>
                <w:lang w:eastAsia="en-GB"/>
              </w:rPr>
              <w:t> </w:t>
            </w:r>
          </w:p>
          <w:p w14:paraId="45A5B53C" w14:textId="2EB7A685" w:rsidR="003758EE" w:rsidRPr="003758EE" w:rsidRDefault="003758EE" w:rsidP="003758EE">
            <w:pPr>
              <w:rPr>
                <w:rFonts w:cs="Arial"/>
              </w:rPr>
            </w:pPr>
          </w:p>
        </w:tc>
      </w:tr>
      <w:tr w:rsidR="003758EE" w:rsidRPr="003758EE" w14:paraId="7CEAAB39" w14:textId="77777777" w:rsidTr="0051526F">
        <w:trPr>
          <w:cantSplit/>
          <w:trHeight w:val="48"/>
        </w:trPr>
        <w:tc>
          <w:tcPr>
            <w:tcW w:w="5245" w:type="dxa"/>
          </w:tcPr>
          <w:p w14:paraId="2386555E" w14:textId="681D3EB7" w:rsidR="003758EE" w:rsidRPr="003758EE" w:rsidRDefault="003758EE" w:rsidP="003758EE">
            <w:pPr>
              <w:rPr>
                <w:rFonts w:eastAsia="Times New Roman" w:cs="Arial"/>
                <w:lang w:eastAsia="en-GB"/>
              </w:rPr>
            </w:pPr>
            <w:r w:rsidRPr="003758EE">
              <w:rPr>
                <w:rFonts w:eastAsia="Times New Roman" w:cs="Arial"/>
                <w:color w:val="000000"/>
                <w:lang w:eastAsia="en-GB"/>
              </w:rPr>
              <w:t>Mean cell volume </w:t>
            </w:r>
            <w:r>
              <w:rPr>
                <w:rFonts w:eastAsia="Times New Roman" w:cs="Arial"/>
                <w:color w:val="000000"/>
                <w:lang w:eastAsia="en-GB"/>
              </w:rPr>
              <w:t xml:space="preserve">greater than </w:t>
            </w:r>
            <w:r w:rsidRPr="003758EE">
              <w:rPr>
                <w:rFonts w:eastAsia="Times New Roman" w:cs="Arial"/>
                <w:color w:val="000000"/>
                <w:lang w:eastAsia="en-GB"/>
              </w:rPr>
              <w:t xml:space="preserve">105 </w:t>
            </w:r>
            <w:proofErr w:type="spellStart"/>
            <w:r w:rsidRPr="003758EE">
              <w:rPr>
                <w:rFonts w:eastAsia="Times New Roman" w:cs="Arial"/>
                <w:color w:val="000000"/>
                <w:lang w:eastAsia="en-GB"/>
              </w:rPr>
              <w:t>fL</w:t>
            </w:r>
            <w:proofErr w:type="spellEnd"/>
            <w:r w:rsidRPr="003758EE">
              <w:rPr>
                <w:rFonts w:eastAsia="Times New Roman" w:cs="Arial"/>
                <w:color w:val="000000"/>
                <w:lang w:eastAsia="en-GB"/>
              </w:rPr>
              <w:t> </w:t>
            </w:r>
          </w:p>
        </w:tc>
        <w:tc>
          <w:tcPr>
            <w:tcW w:w="5245" w:type="dxa"/>
          </w:tcPr>
          <w:p w14:paraId="1BBF7285"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Consider interruption in treatment.  </w:t>
            </w:r>
          </w:p>
          <w:p w14:paraId="645A7295" w14:textId="05D49095"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Check serum folate, B12, alcohol history and TSH and treat any underlying abnormality. If results of these additional investigations are normal discuss with specialist team urgently.  </w:t>
            </w:r>
          </w:p>
        </w:tc>
      </w:tr>
      <w:tr w:rsidR="003758EE" w:rsidRPr="003758EE" w14:paraId="3E83576D" w14:textId="77777777" w:rsidTr="0051526F">
        <w:trPr>
          <w:cantSplit/>
          <w:trHeight w:val="48"/>
        </w:trPr>
        <w:tc>
          <w:tcPr>
            <w:tcW w:w="5245" w:type="dxa"/>
          </w:tcPr>
          <w:p w14:paraId="08C53FEC" w14:textId="45A4E660"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Signs or symptoms of bone marrow suppression, e.g. unexplained bleeding or bruising with or without sore throat, mouth ulcers </w:t>
            </w:r>
          </w:p>
        </w:tc>
        <w:tc>
          <w:tcPr>
            <w:tcW w:w="5245" w:type="dxa"/>
          </w:tcPr>
          <w:p w14:paraId="0AF04492" w14:textId="46BB532F"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Check FBC immediately and discuss with the specialist team. See haematological monitoring above.  </w:t>
            </w:r>
          </w:p>
        </w:tc>
      </w:tr>
      <w:tr w:rsidR="003758EE" w:rsidRPr="003758EE" w14:paraId="24831E88" w14:textId="77777777" w:rsidTr="0051526F">
        <w:trPr>
          <w:cantSplit/>
          <w:trHeight w:val="48"/>
        </w:trPr>
        <w:tc>
          <w:tcPr>
            <w:tcW w:w="5245" w:type="dxa"/>
          </w:tcPr>
          <w:p w14:paraId="08CC23C5"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t>Infections</w:t>
            </w:r>
            <w:r w:rsidRPr="003758EE">
              <w:rPr>
                <w:rFonts w:eastAsia="Times New Roman" w:cs="Arial"/>
                <w:color w:val="000000"/>
                <w:lang w:eastAsia="en-GB"/>
              </w:rPr>
              <w:t>:  </w:t>
            </w:r>
          </w:p>
          <w:p w14:paraId="1A84E6FA" w14:textId="23EA7806"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Infection requiring antibiotics</w:t>
            </w:r>
            <w:r>
              <w:rPr>
                <w:rFonts w:eastAsia="Times New Roman" w:cs="Arial"/>
                <w:color w:val="000000"/>
                <w:lang w:eastAsia="en-GB"/>
              </w:rPr>
              <w:t>.</w:t>
            </w:r>
          </w:p>
          <w:p w14:paraId="1928A53C" w14:textId="4A718DAA" w:rsidR="003758EE" w:rsidRPr="003758EE" w:rsidRDefault="003758EE" w:rsidP="003758EE">
            <w:pPr>
              <w:textAlignment w:val="baseline"/>
              <w:rPr>
                <w:rFonts w:eastAsia="Times New Roman" w:cs="Arial"/>
                <w:color w:val="000000"/>
                <w:lang w:eastAsia="en-GB"/>
              </w:rPr>
            </w:pPr>
            <w:r w:rsidRPr="003758EE">
              <w:rPr>
                <w:rFonts w:eastAsia="Times New Roman" w:cs="Arial"/>
                <w:color w:val="000000"/>
                <w:lang w:eastAsia="en-GB"/>
              </w:rPr>
              <w:t>Recurrent or opportunistic infections</w:t>
            </w:r>
            <w:r>
              <w:rPr>
                <w:rFonts w:eastAsia="Times New Roman" w:cs="Arial"/>
                <w:color w:val="000000"/>
                <w:lang w:eastAsia="en-GB"/>
              </w:rPr>
              <w:t>.</w:t>
            </w:r>
          </w:p>
        </w:tc>
        <w:tc>
          <w:tcPr>
            <w:tcW w:w="5245" w:type="dxa"/>
          </w:tcPr>
          <w:p w14:paraId="7D5A17BD"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Temporarily withhold mycophenolate until the patient has recovered. </w:t>
            </w:r>
          </w:p>
          <w:p w14:paraId="3EAA40C2" w14:textId="044D9B49" w:rsidR="003758EE" w:rsidRPr="003758EE" w:rsidRDefault="003758EE" w:rsidP="003758EE">
            <w:pPr>
              <w:rPr>
                <w:rFonts w:cs="Arial"/>
              </w:rPr>
            </w:pPr>
            <w:r w:rsidRPr="003758EE">
              <w:rPr>
                <w:rFonts w:eastAsia="Times New Roman" w:cs="Arial"/>
                <w:color w:val="000000"/>
                <w:lang w:eastAsia="en-GB"/>
              </w:rPr>
              <w:t>Review for reversible causes. Withhold and discuss with specialist team. </w:t>
            </w:r>
          </w:p>
        </w:tc>
      </w:tr>
      <w:tr w:rsidR="003758EE" w:rsidRPr="003758EE" w14:paraId="7B45BBDF" w14:textId="77777777" w:rsidTr="0051526F">
        <w:trPr>
          <w:cantSplit/>
          <w:trHeight w:val="48"/>
        </w:trPr>
        <w:tc>
          <w:tcPr>
            <w:tcW w:w="5245" w:type="dxa"/>
          </w:tcPr>
          <w:p w14:paraId="304AE91B"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Exposure to chickenpox or shingles </w:t>
            </w:r>
          </w:p>
          <w:p w14:paraId="742A5874" w14:textId="34FC4830" w:rsidR="003758EE" w:rsidRPr="003758EE" w:rsidRDefault="003758EE" w:rsidP="003758EE">
            <w:pPr>
              <w:rPr>
                <w:rFonts w:cs="Arial"/>
              </w:rPr>
            </w:pPr>
          </w:p>
        </w:tc>
        <w:tc>
          <w:tcPr>
            <w:tcW w:w="5245" w:type="dxa"/>
          </w:tcPr>
          <w:p w14:paraId="3B5D0997" w14:textId="750B3D44" w:rsidR="003758EE" w:rsidRPr="003758EE" w:rsidRDefault="003758EE" w:rsidP="003758EE">
            <w:pPr>
              <w:textAlignment w:val="baseline"/>
              <w:rPr>
                <w:rFonts w:eastAsia="Times New Roman" w:cs="Arial"/>
                <w:lang w:eastAsia="en-GB"/>
              </w:rPr>
            </w:pPr>
            <w:r w:rsidRPr="003758EE">
              <w:rPr>
                <w:rFonts w:eastAsia="Times New Roman" w:cs="Arial"/>
                <w:lang w:eastAsia="en-GB"/>
              </w:rPr>
              <w:t xml:space="preserve">Contact specialist team for advice. See the </w:t>
            </w:r>
            <w:hyperlink r:id="rId30" w:tgtFrame="_blank" w:history="1">
              <w:r w:rsidRPr="003758EE">
                <w:rPr>
                  <w:rStyle w:val="Hyperlink"/>
                  <w:rFonts w:eastAsia="Times New Roman" w:cs="Arial"/>
                  <w:color w:val="0000FF"/>
                  <w:lang w:eastAsia="en-GB"/>
                </w:rPr>
                <w:t>Green Book (chapter 34)</w:t>
              </w:r>
            </w:hyperlink>
            <w:r w:rsidRPr="003758EE">
              <w:rPr>
                <w:rFonts w:eastAsia="Times New Roman" w:cs="Arial"/>
                <w:lang w:eastAsia="en-GB"/>
              </w:rPr>
              <w:t xml:space="preserve"> and </w:t>
            </w:r>
            <w:hyperlink r:id="rId31" w:tgtFrame="_blank" w:history="1">
              <w:r w:rsidRPr="003758EE">
                <w:rPr>
                  <w:rStyle w:val="Hyperlink"/>
                  <w:rFonts w:eastAsia="Times New Roman" w:cs="Arial"/>
                  <w:color w:val="0000FF"/>
                  <w:lang w:eastAsia="en-GB"/>
                </w:rPr>
                <w:t>PHE guidance</w:t>
              </w:r>
            </w:hyperlink>
            <w:r w:rsidRPr="003758EE">
              <w:rPr>
                <w:rFonts w:eastAsia="Times New Roman" w:cs="Arial"/>
                <w:lang w:eastAsia="en-GB"/>
              </w:rPr>
              <w:t xml:space="preserve"> for detailed advice on risk assessment and post exposure prophylaxis. </w:t>
            </w:r>
          </w:p>
        </w:tc>
      </w:tr>
      <w:tr w:rsidR="003758EE" w:rsidRPr="003758EE" w14:paraId="6BD1EF9B" w14:textId="77777777" w:rsidTr="0051526F">
        <w:trPr>
          <w:cantSplit/>
          <w:trHeight w:val="48"/>
        </w:trPr>
        <w:tc>
          <w:tcPr>
            <w:tcW w:w="5245" w:type="dxa"/>
          </w:tcPr>
          <w:p w14:paraId="01060086"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t>Liver function tests</w:t>
            </w:r>
            <w:r w:rsidRPr="003758EE">
              <w:rPr>
                <w:rFonts w:eastAsia="Times New Roman" w:cs="Arial"/>
                <w:color w:val="000000"/>
                <w:lang w:eastAsia="en-GB"/>
              </w:rPr>
              <w:t>: </w:t>
            </w:r>
          </w:p>
          <w:p w14:paraId="5E311FBE" w14:textId="18FD77DA"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 xml:space="preserve">ALT or AST </w:t>
            </w:r>
            <w:r>
              <w:rPr>
                <w:rFonts w:eastAsia="Times New Roman" w:cs="Arial"/>
                <w:color w:val="000000"/>
                <w:lang w:eastAsia="en-GB"/>
              </w:rPr>
              <w:t>greater than</w:t>
            </w:r>
            <w:r w:rsidRPr="003758EE">
              <w:rPr>
                <w:rFonts w:eastAsia="Times New Roman" w:cs="Arial"/>
                <w:color w:val="000000"/>
                <w:lang w:eastAsia="en-GB"/>
              </w:rPr>
              <w:t xml:space="preserve"> 3 x upper limit of normal (ULN), or any sudden increases (e.g. double of baseline), OR Unexplained fall in serum albumin </w:t>
            </w:r>
            <w:r>
              <w:rPr>
                <w:rFonts w:eastAsia="Times New Roman" w:cs="Arial"/>
                <w:color w:val="000000"/>
                <w:lang w:eastAsia="en-GB"/>
              </w:rPr>
              <w:t xml:space="preserve">less than </w:t>
            </w:r>
            <w:r w:rsidRPr="003758EE">
              <w:rPr>
                <w:rFonts w:eastAsia="Times New Roman" w:cs="Arial"/>
                <w:color w:val="000000"/>
                <w:lang w:eastAsia="en-GB"/>
              </w:rPr>
              <w:t>30g/L </w:t>
            </w:r>
          </w:p>
        </w:tc>
        <w:tc>
          <w:tcPr>
            <w:tcW w:w="5245" w:type="dxa"/>
          </w:tcPr>
          <w:p w14:paraId="11BA3D2E"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Withhold and discuss with specialist team. </w:t>
            </w:r>
          </w:p>
          <w:p w14:paraId="25E56149" w14:textId="30C9BAE5" w:rsidR="003758EE" w:rsidRPr="003758EE" w:rsidRDefault="003758EE" w:rsidP="003758EE">
            <w:pPr>
              <w:rPr>
                <w:rFonts w:cs="Arial"/>
              </w:rPr>
            </w:pPr>
            <w:r w:rsidRPr="003758EE">
              <w:rPr>
                <w:rFonts w:eastAsia="Times New Roman" w:cs="Arial"/>
                <w:color w:val="000000"/>
                <w:lang w:eastAsia="en-GB"/>
              </w:rPr>
              <w:t>Check any other reason for risk of hepatic dysfunction such as alcohol history and drug interactions, including OTC or complementary medication.</w:t>
            </w:r>
          </w:p>
        </w:tc>
      </w:tr>
      <w:tr w:rsidR="003758EE" w:rsidRPr="003758EE" w14:paraId="525ED011" w14:textId="77777777" w:rsidTr="0051526F">
        <w:trPr>
          <w:cantSplit/>
          <w:trHeight w:val="48"/>
        </w:trPr>
        <w:tc>
          <w:tcPr>
            <w:tcW w:w="5245" w:type="dxa"/>
          </w:tcPr>
          <w:p w14:paraId="4613AAF9"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t>Renal function</w:t>
            </w:r>
            <w:r w:rsidRPr="003758EE">
              <w:rPr>
                <w:rFonts w:eastAsia="Times New Roman" w:cs="Arial"/>
                <w:color w:val="000000"/>
                <w:lang w:eastAsia="en-GB"/>
              </w:rPr>
              <w:t>:  </w:t>
            </w:r>
          </w:p>
          <w:p w14:paraId="7B92ECBE" w14:textId="47FC377E"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Creatinine rise</w:t>
            </w:r>
            <w:r>
              <w:rPr>
                <w:rFonts w:eastAsia="Times New Roman" w:cs="Arial"/>
                <w:color w:val="000000"/>
                <w:lang w:eastAsia="en-GB"/>
              </w:rPr>
              <w:t xml:space="preserve"> of</w:t>
            </w:r>
            <w:r w:rsidRPr="003758EE">
              <w:rPr>
                <w:rFonts w:eastAsia="Times New Roman" w:cs="Arial"/>
                <w:color w:val="000000"/>
                <w:lang w:eastAsia="en-GB"/>
              </w:rPr>
              <w:t xml:space="preserve"> </w:t>
            </w:r>
            <w:r>
              <w:rPr>
                <w:rFonts w:eastAsia="Times New Roman" w:cs="Arial"/>
                <w:color w:val="000000"/>
                <w:lang w:eastAsia="en-GB"/>
              </w:rPr>
              <w:t xml:space="preserve">more than </w:t>
            </w:r>
            <w:r w:rsidRPr="003758EE">
              <w:rPr>
                <w:rFonts w:eastAsia="Times New Roman" w:cs="Arial"/>
                <w:color w:val="000000"/>
                <w:lang w:eastAsia="en-GB"/>
              </w:rPr>
              <w:t xml:space="preserve">30% over 12 months, or calculated GFR reduces to </w:t>
            </w:r>
            <w:r>
              <w:rPr>
                <w:rFonts w:eastAsia="Times New Roman" w:cs="Arial"/>
                <w:color w:val="000000"/>
                <w:lang w:eastAsia="en-GB"/>
              </w:rPr>
              <w:t xml:space="preserve">less than </w:t>
            </w:r>
            <w:r w:rsidRPr="003758EE">
              <w:rPr>
                <w:rFonts w:eastAsia="Times New Roman" w:cs="Arial"/>
                <w:color w:val="000000"/>
                <w:lang w:eastAsia="en-GB"/>
              </w:rPr>
              <w:t>60ml/min </w:t>
            </w:r>
          </w:p>
          <w:p w14:paraId="056AACBC" w14:textId="685FB4BD" w:rsidR="003758EE" w:rsidRPr="003758EE" w:rsidRDefault="003758EE" w:rsidP="003758EE">
            <w:pPr>
              <w:rPr>
                <w:rFonts w:cs="Arial"/>
              </w:rPr>
            </w:pPr>
          </w:p>
        </w:tc>
        <w:tc>
          <w:tcPr>
            <w:tcW w:w="5245" w:type="dxa"/>
          </w:tcPr>
          <w:p w14:paraId="4E913081" w14:textId="2B938813"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Withhold and discuss with specialist team</w:t>
            </w:r>
            <w:r>
              <w:rPr>
                <w:rFonts w:eastAsia="Times New Roman" w:cs="Arial"/>
                <w:color w:val="000000"/>
                <w:lang w:eastAsia="en-GB"/>
              </w:rPr>
              <w:t>.</w:t>
            </w:r>
          </w:p>
          <w:p w14:paraId="499E20D8" w14:textId="4CF4DA18" w:rsidR="003758EE" w:rsidRPr="003758EE" w:rsidRDefault="003758EE" w:rsidP="003758EE">
            <w:pPr>
              <w:rPr>
                <w:rFonts w:cs="Arial"/>
              </w:rPr>
            </w:pPr>
          </w:p>
        </w:tc>
      </w:tr>
      <w:tr w:rsidR="003758EE" w:rsidRPr="003758EE" w14:paraId="1D57B6D7" w14:textId="77777777" w:rsidTr="009F3449">
        <w:trPr>
          <w:cantSplit/>
          <w:trHeight w:val="48"/>
        </w:trPr>
        <w:tc>
          <w:tcPr>
            <w:tcW w:w="5245" w:type="dxa"/>
          </w:tcPr>
          <w:p w14:paraId="32FEABE4"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t>Gastrointestinal disorders</w:t>
            </w:r>
            <w:r w:rsidRPr="003758EE">
              <w:rPr>
                <w:rFonts w:eastAsia="Times New Roman" w:cs="Arial"/>
                <w:color w:val="000000"/>
                <w:lang w:eastAsia="en-GB"/>
              </w:rPr>
              <w:t>: </w:t>
            </w:r>
          </w:p>
          <w:p w14:paraId="0749D0BF" w14:textId="6F151A4C" w:rsidR="003758EE" w:rsidRPr="003758EE" w:rsidRDefault="003758EE" w:rsidP="003758EE">
            <w:pPr>
              <w:rPr>
                <w:rFonts w:cs="Arial"/>
              </w:rPr>
            </w:pPr>
            <w:r w:rsidRPr="003758EE">
              <w:rPr>
                <w:rFonts w:eastAsia="Times New Roman" w:cs="Arial"/>
                <w:color w:val="000000"/>
                <w:lang w:eastAsia="en-GB"/>
              </w:rPr>
              <w:t>Very common adverse effects include nausea and vomiting, abdominal cramps, diarrhoea and dyspepsia. </w:t>
            </w:r>
          </w:p>
        </w:tc>
        <w:tc>
          <w:tcPr>
            <w:tcW w:w="5245" w:type="dxa"/>
          </w:tcPr>
          <w:p w14:paraId="179ED8F6"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Review for reversible causes. Advise patient to take with food. If no improvement contact specialist team. </w:t>
            </w:r>
          </w:p>
          <w:p w14:paraId="13AE35EE" w14:textId="3AA5B7B0" w:rsidR="003758EE" w:rsidRPr="003758EE" w:rsidRDefault="003758EE" w:rsidP="003758EE">
            <w:pPr>
              <w:rPr>
                <w:rFonts w:cs="Arial"/>
              </w:rPr>
            </w:pPr>
          </w:p>
        </w:tc>
      </w:tr>
      <w:tr w:rsidR="003758EE" w:rsidRPr="003758EE" w14:paraId="38F6C6F9" w14:textId="77777777" w:rsidTr="0051526F">
        <w:trPr>
          <w:cantSplit/>
          <w:trHeight w:val="48"/>
        </w:trPr>
        <w:tc>
          <w:tcPr>
            <w:tcW w:w="5245" w:type="dxa"/>
          </w:tcPr>
          <w:p w14:paraId="43F618E1"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GI ulceration, bleeding and perforation  </w:t>
            </w:r>
          </w:p>
          <w:p w14:paraId="254FB770" w14:textId="2AB4E827" w:rsidR="003758EE" w:rsidRPr="003758EE" w:rsidRDefault="003758EE" w:rsidP="003758EE">
            <w:pPr>
              <w:rPr>
                <w:rFonts w:cs="Arial"/>
              </w:rPr>
            </w:pPr>
          </w:p>
        </w:tc>
        <w:tc>
          <w:tcPr>
            <w:tcW w:w="5245" w:type="dxa"/>
          </w:tcPr>
          <w:p w14:paraId="3EC57A6F" w14:textId="53253C77" w:rsidR="003758EE" w:rsidRPr="003758EE" w:rsidRDefault="003758EE" w:rsidP="003758EE">
            <w:pPr>
              <w:rPr>
                <w:rFonts w:cs="Arial"/>
              </w:rPr>
            </w:pPr>
            <w:r w:rsidRPr="003758EE">
              <w:rPr>
                <w:rFonts w:eastAsia="Times New Roman" w:cs="Arial"/>
                <w:color w:val="000000"/>
                <w:lang w:eastAsia="en-GB"/>
              </w:rPr>
              <w:t>Review for reversible causes. Withhold and discuss urgently with specialist team. </w:t>
            </w:r>
          </w:p>
        </w:tc>
      </w:tr>
      <w:tr w:rsidR="003758EE" w:rsidRPr="003758EE" w14:paraId="6C0FFF07" w14:textId="77777777" w:rsidTr="0051526F">
        <w:trPr>
          <w:cantSplit/>
          <w:trHeight w:val="48"/>
        </w:trPr>
        <w:tc>
          <w:tcPr>
            <w:tcW w:w="5245" w:type="dxa"/>
          </w:tcPr>
          <w:p w14:paraId="3A14071F" w14:textId="568D7B12" w:rsidR="003758EE" w:rsidRPr="003758EE" w:rsidRDefault="003758EE" w:rsidP="003758EE">
            <w:pPr>
              <w:rPr>
                <w:rFonts w:cs="Arial"/>
              </w:rPr>
            </w:pPr>
            <w:r w:rsidRPr="003758EE">
              <w:rPr>
                <w:rFonts w:eastAsia="Times New Roman" w:cs="Arial"/>
                <w:color w:val="000000"/>
                <w:lang w:eastAsia="en-GB"/>
              </w:rPr>
              <w:t>Suspected pancreatitis </w:t>
            </w:r>
          </w:p>
        </w:tc>
        <w:tc>
          <w:tcPr>
            <w:tcW w:w="5245" w:type="dxa"/>
          </w:tcPr>
          <w:p w14:paraId="0EBFB85A" w14:textId="55D80682" w:rsidR="003758EE" w:rsidRPr="003758EE" w:rsidRDefault="003758EE" w:rsidP="003758EE">
            <w:pPr>
              <w:textAlignment w:val="baseline"/>
              <w:rPr>
                <w:rFonts w:eastAsia="Times New Roman" w:cs="Arial"/>
                <w:color w:val="000000"/>
                <w:lang w:eastAsia="en-GB"/>
              </w:rPr>
            </w:pPr>
            <w:r w:rsidRPr="003758EE">
              <w:rPr>
                <w:rFonts w:eastAsia="Times New Roman" w:cs="Arial"/>
                <w:color w:val="000000"/>
                <w:lang w:eastAsia="en-GB"/>
              </w:rPr>
              <w:t>Withhold and discuss with specialist team </w:t>
            </w:r>
          </w:p>
        </w:tc>
      </w:tr>
      <w:tr w:rsidR="003758EE" w:rsidRPr="003758EE" w14:paraId="32C58BB9" w14:textId="77777777" w:rsidTr="0051526F">
        <w:trPr>
          <w:cantSplit/>
          <w:trHeight w:val="48"/>
        </w:trPr>
        <w:tc>
          <w:tcPr>
            <w:tcW w:w="5245" w:type="dxa"/>
          </w:tcPr>
          <w:p w14:paraId="6B347801"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lastRenderedPageBreak/>
              <w:t>Skin disorders</w:t>
            </w:r>
            <w:r w:rsidRPr="003758EE">
              <w:rPr>
                <w:rFonts w:eastAsia="Times New Roman" w:cs="Arial"/>
                <w:color w:val="000000"/>
                <w:lang w:eastAsia="en-GB"/>
              </w:rPr>
              <w:t>: </w:t>
            </w:r>
          </w:p>
          <w:p w14:paraId="4B6DB15E" w14:textId="5B7E9F9D"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Skin hypertrophy, acne, alopecia </w:t>
            </w:r>
          </w:p>
        </w:tc>
        <w:tc>
          <w:tcPr>
            <w:tcW w:w="5245" w:type="dxa"/>
          </w:tcPr>
          <w:p w14:paraId="6BB8FCC2" w14:textId="519A0664" w:rsidR="003758EE" w:rsidRPr="003758EE" w:rsidRDefault="003758EE" w:rsidP="003758EE">
            <w:pPr>
              <w:rPr>
                <w:rFonts w:cs="Arial"/>
              </w:rPr>
            </w:pPr>
            <w:r w:rsidRPr="003758EE">
              <w:rPr>
                <w:rFonts w:eastAsia="Times New Roman" w:cs="Arial"/>
                <w:color w:val="000000"/>
                <w:lang w:eastAsia="en-GB"/>
              </w:rPr>
              <w:t>Review for reversible causes. Discuss with specialist team if symptoms become troublesome. </w:t>
            </w:r>
          </w:p>
        </w:tc>
      </w:tr>
      <w:tr w:rsidR="003758EE" w:rsidRPr="003758EE" w14:paraId="438CD57B" w14:textId="77777777" w:rsidTr="0051526F">
        <w:trPr>
          <w:cantSplit/>
          <w:trHeight w:val="48"/>
        </w:trPr>
        <w:tc>
          <w:tcPr>
            <w:tcW w:w="5245" w:type="dxa"/>
          </w:tcPr>
          <w:p w14:paraId="1CF41CAC"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Rash </w:t>
            </w:r>
          </w:p>
          <w:p w14:paraId="17B4C112" w14:textId="77777777" w:rsidR="003758EE" w:rsidRPr="003758EE" w:rsidRDefault="003758EE" w:rsidP="003758EE">
            <w:pPr>
              <w:rPr>
                <w:rFonts w:cs="Arial"/>
              </w:rPr>
            </w:pPr>
          </w:p>
        </w:tc>
        <w:tc>
          <w:tcPr>
            <w:tcW w:w="5245" w:type="dxa"/>
          </w:tcPr>
          <w:p w14:paraId="6765B2E4" w14:textId="23BE2394"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Review for possible causes. If cause of rash thought to be mycophenolate or immune-mediated, withhold and discuss with specialist team. </w:t>
            </w:r>
          </w:p>
        </w:tc>
      </w:tr>
      <w:tr w:rsidR="003758EE" w:rsidRPr="003758EE" w14:paraId="37BD85F9" w14:textId="77777777" w:rsidTr="0051526F">
        <w:trPr>
          <w:cantSplit/>
          <w:trHeight w:val="48"/>
        </w:trPr>
        <w:tc>
          <w:tcPr>
            <w:tcW w:w="5245" w:type="dxa"/>
          </w:tcPr>
          <w:p w14:paraId="0785D3E3" w14:textId="77777777" w:rsidR="003758EE" w:rsidRPr="003758EE" w:rsidRDefault="003758EE" w:rsidP="003758EE">
            <w:pPr>
              <w:textAlignment w:val="baseline"/>
              <w:rPr>
                <w:rFonts w:eastAsia="Times New Roman" w:cs="Arial"/>
                <w:lang w:eastAsia="en-GB"/>
              </w:rPr>
            </w:pPr>
            <w:r w:rsidRPr="003758EE">
              <w:rPr>
                <w:rFonts w:eastAsia="Times New Roman" w:cs="Arial"/>
                <w:b/>
                <w:bCs/>
                <w:color w:val="000000"/>
                <w:lang w:eastAsia="en-GB"/>
              </w:rPr>
              <w:t>Other:</w:t>
            </w:r>
            <w:r w:rsidRPr="003758EE">
              <w:rPr>
                <w:rFonts w:eastAsia="Times New Roman" w:cs="Arial"/>
                <w:color w:val="000000"/>
                <w:lang w:eastAsia="en-GB"/>
              </w:rPr>
              <w:t> </w:t>
            </w:r>
          </w:p>
          <w:p w14:paraId="65F1D0DE" w14:textId="50679A90"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Neurological symptoms, psychiatric disorders, sudden onset or worsening of shortness of breath, cough or dyspnoea </w:t>
            </w:r>
          </w:p>
        </w:tc>
        <w:tc>
          <w:tcPr>
            <w:tcW w:w="5245" w:type="dxa"/>
          </w:tcPr>
          <w:p w14:paraId="0B8C1C78"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Review for reversible causes. Withhold and discuss with specialist team. </w:t>
            </w:r>
          </w:p>
          <w:p w14:paraId="074D3381" w14:textId="48EEDC18" w:rsidR="003758EE" w:rsidRPr="003758EE" w:rsidRDefault="003758EE" w:rsidP="003758EE">
            <w:pPr>
              <w:rPr>
                <w:rFonts w:cs="Arial"/>
              </w:rPr>
            </w:pPr>
          </w:p>
        </w:tc>
      </w:tr>
      <w:tr w:rsidR="003758EE" w:rsidRPr="003758EE" w14:paraId="214ED6F5" w14:textId="77777777" w:rsidTr="0051526F">
        <w:trPr>
          <w:cantSplit/>
          <w:trHeight w:val="48"/>
        </w:trPr>
        <w:tc>
          <w:tcPr>
            <w:tcW w:w="5245" w:type="dxa"/>
          </w:tcPr>
          <w:p w14:paraId="192CDB39" w14:textId="77777777" w:rsidR="003758EE" w:rsidRPr="003758EE" w:rsidRDefault="003758EE" w:rsidP="003758EE">
            <w:pPr>
              <w:textAlignment w:val="baseline"/>
              <w:rPr>
                <w:rFonts w:eastAsia="Times New Roman" w:cs="Arial"/>
                <w:lang w:eastAsia="en-GB"/>
              </w:rPr>
            </w:pPr>
            <w:r w:rsidRPr="003758EE">
              <w:rPr>
                <w:rFonts w:eastAsia="Times New Roman" w:cs="Arial"/>
                <w:color w:val="000000"/>
                <w:lang w:eastAsia="en-GB"/>
              </w:rPr>
              <w:t>Suspicion of malignancy </w:t>
            </w:r>
          </w:p>
          <w:p w14:paraId="7E88643E" w14:textId="37586C26" w:rsidR="003758EE" w:rsidRPr="003758EE" w:rsidRDefault="003758EE" w:rsidP="003758EE">
            <w:pPr>
              <w:rPr>
                <w:rFonts w:cs="Arial"/>
              </w:rPr>
            </w:pPr>
          </w:p>
        </w:tc>
        <w:tc>
          <w:tcPr>
            <w:tcW w:w="5245" w:type="dxa"/>
          </w:tcPr>
          <w:p w14:paraId="59049ED9" w14:textId="68E2D2F3" w:rsidR="003758EE" w:rsidRPr="003758EE" w:rsidRDefault="003758EE" w:rsidP="003758EE">
            <w:pPr>
              <w:rPr>
                <w:rFonts w:cs="Arial"/>
              </w:rPr>
            </w:pPr>
            <w:r w:rsidRPr="003758EE">
              <w:rPr>
                <w:rFonts w:eastAsia="Times New Roman" w:cs="Arial"/>
                <w:color w:val="000000"/>
                <w:lang w:eastAsia="en-GB"/>
              </w:rPr>
              <w:t>Discuss with specialist team. Refer for diagnosis and treatment of malignancy </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F132AA" w:rsidRPr="00F321FC" w14:paraId="399D38CB" w14:textId="77777777" w:rsidTr="00BF174A">
        <w:tc>
          <w:tcPr>
            <w:tcW w:w="2268" w:type="dxa"/>
          </w:tcPr>
          <w:p w14:paraId="139BFC3E" w14:textId="77777777" w:rsidR="00F132AA" w:rsidRDefault="001860C1" w:rsidP="001860C1">
            <w:pPr>
              <w:pStyle w:val="Heading2"/>
              <w:rPr>
                <w:rFonts w:cs="Arial"/>
              </w:rPr>
            </w:pPr>
            <w:bookmarkStart w:id="19" w:name="eleven_patient_advice"/>
            <w:bookmarkStart w:id="20" w:name="_Toc149231795"/>
            <w:r w:rsidRPr="00F321FC">
              <w:rPr>
                <w:rFonts w:cs="Arial"/>
              </w:rPr>
              <w:t>Advice to patients and carers</w:t>
            </w:r>
            <w:bookmarkEnd w:id="19"/>
            <w:bookmarkEnd w:id="20"/>
          </w:p>
          <w:p w14:paraId="4928E953" w14:textId="77777777" w:rsidR="005D79FA" w:rsidRDefault="005D79FA" w:rsidP="005D79FA"/>
          <w:p w14:paraId="7E51F76A" w14:textId="42531282" w:rsidR="005D79FA" w:rsidRPr="005D79FA" w:rsidRDefault="005D79FA" w:rsidP="005D79FA">
            <w:r w:rsidRPr="00F321FC">
              <w:rPr>
                <w:rFonts w:cs="Arial"/>
              </w:rPr>
              <w:t>The specialist will counsel the patient with regard to the benefits and risks of treatment and will provide the patient with any relevant information and advice, including patient information leaflets on individual drugs.</w:t>
            </w:r>
          </w:p>
        </w:tc>
        <w:tc>
          <w:tcPr>
            <w:tcW w:w="8193" w:type="dxa"/>
          </w:tcPr>
          <w:p w14:paraId="7C720F90" w14:textId="77777777" w:rsidR="003432C1" w:rsidRPr="003432C1" w:rsidRDefault="003432C1" w:rsidP="003432C1">
            <w:pPr>
              <w:rPr>
                <w:rFonts w:cs="Arial"/>
              </w:rPr>
            </w:pPr>
            <w:r w:rsidRPr="003432C1">
              <w:rPr>
                <w:rFonts w:cs="Arial"/>
                <w:b/>
                <w:bCs/>
              </w:rPr>
              <w:t>The patient should be advised to report any of the following signs or symptoms to their primary care prescriber without delay:          </w:t>
            </w:r>
            <w:r w:rsidRPr="003432C1">
              <w:rPr>
                <w:rFonts w:cs="Arial"/>
              </w:rPr>
              <w:t> </w:t>
            </w:r>
          </w:p>
          <w:p w14:paraId="3ECBFFF3" w14:textId="77777777" w:rsidR="003432C1" w:rsidRPr="003432C1" w:rsidRDefault="003432C1" w:rsidP="007D1085">
            <w:pPr>
              <w:numPr>
                <w:ilvl w:val="0"/>
                <w:numId w:val="15"/>
              </w:numPr>
              <w:rPr>
                <w:rFonts w:cs="Arial"/>
              </w:rPr>
            </w:pPr>
            <w:r w:rsidRPr="003432C1">
              <w:rPr>
                <w:rFonts w:cs="Arial"/>
              </w:rPr>
              <w:t>Rash </w:t>
            </w:r>
          </w:p>
          <w:p w14:paraId="3326D1D6" w14:textId="77777777" w:rsidR="003432C1" w:rsidRPr="003432C1" w:rsidRDefault="003432C1" w:rsidP="007D1085">
            <w:pPr>
              <w:numPr>
                <w:ilvl w:val="0"/>
                <w:numId w:val="15"/>
              </w:numPr>
              <w:rPr>
                <w:rFonts w:cs="Arial"/>
              </w:rPr>
            </w:pPr>
            <w:r w:rsidRPr="003432C1">
              <w:rPr>
                <w:rFonts w:cs="Arial"/>
              </w:rPr>
              <w:t>Abdominal pain or jaundice (skin or whites of the eyes appear yellow) </w:t>
            </w:r>
          </w:p>
          <w:p w14:paraId="734CE04C" w14:textId="77777777" w:rsidR="003432C1" w:rsidRPr="003432C1" w:rsidRDefault="003432C1" w:rsidP="007D1085">
            <w:pPr>
              <w:numPr>
                <w:ilvl w:val="0"/>
                <w:numId w:val="15"/>
              </w:numPr>
              <w:rPr>
                <w:rFonts w:cs="Arial"/>
              </w:rPr>
            </w:pPr>
            <w:r w:rsidRPr="003432C1">
              <w:rPr>
                <w:rFonts w:cs="Arial"/>
              </w:rPr>
              <w:t>Signs and symptoms suggestive of bone marrow suppression e.g. sore throat, oral ulceration, abnormal bruising or bleeding, or signs of infection.  </w:t>
            </w:r>
          </w:p>
          <w:p w14:paraId="6745B07A" w14:textId="77777777" w:rsidR="003432C1" w:rsidRPr="003432C1" w:rsidRDefault="003432C1" w:rsidP="007D1085">
            <w:pPr>
              <w:numPr>
                <w:ilvl w:val="0"/>
                <w:numId w:val="15"/>
              </w:numPr>
              <w:rPr>
                <w:rFonts w:cs="Arial"/>
              </w:rPr>
            </w:pPr>
            <w:r w:rsidRPr="003432C1">
              <w:rPr>
                <w:rFonts w:cs="Arial"/>
              </w:rPr>
              <w:t>Exposure to chickenpox or shingles or if the patient develops chicken pox or shingles. </w:t>
            </w:r>
          </w:p>
          <w:p w14:paraId="779035AC" w14:textId="252DC60E" w:rsidR="003432C1" w:rsidRDefault="003432C1" w:rsidP="007D1085">
            <w:pPr>
              <w:numPr>
                <w:ilvl w:val="0"/>
                <w:numId w:val="15"/>
              </w:numPr>
              <w:rPr>
                <w:rFonts w:cs="Arial"/>
              </w:rPr>
            </w:pPr>
            <w:r w:rsidRPr="003432C1">
              <w:rPr>
                <w:rFonts w:cs="Arial"/>
              </w:rPr>
              <w:t xml:space="preserve">Pregnancy or </w:t>
            </w:r>
            <w:r w:rsidR="007D1085">
              <w:rPr>
                <w:rFonts w:cs="Arial"/>
              </w:rPr>
              <w:t xml:space="preserve">they or their partner are </w:t>
            </w:r>
            <w:r w:rsidRPr="003432C1">
              <w:rPr>
                <w:rFonts w:cs="Arial"/>
              </w:rPr>
              <w:t>planning to become pregnant</w:t>
            </w:r>
            <w:r>
              <w:rPr>
                <w:rFonts w:cs="Arial"/>
              </w:rPr>
              <w:t>.</w:t>
            </w:r>
          </w:p>
          <w:p w14:paraId="351C0B20" w14:textId="77777777" w:rsidR="003432C1" w:rsidRPr="003432C1" w:rsidRDefault="003432C1" w:rsidP="003432C1">
            <w:pPr>
              <w:rPr>
                <w:rFonts w:cs="Arial"/>
              </w:rPr>
            </w:pPr>
          </w:p>
          <w:p w14:paraId="72680343" w14:textId="129BAE9F" w:rsidR="003432C1" w:rsidRPr="003432C1" w:rsidRDefault="003432C1" w:rsidP="003432C1">
            <w:pPr>
              <w:rPr>
                <w:rFonts w:cs="Arial"/>
              </w:rPr>
            </w:pPr>
            <w:r w:rsidRPr="003432C1">
              <w:rPr>
                <w:rFonts w:cs="Arial"/>
                <w:b/>
                <w:bCs/>
              </w:rPr>
              <w:t>The patient should be advised:</w:t>
            </w:r>
            <w:r w:rsidRPr="003432C1">
              <w:rPr>
                <w:rFonts w:cs="Arial"/>
              </w:rPr>
              <w:t> </w:t>
            </w:r>
          </w:p>
          <w:p w14:paraId="1B52243E" w14:textId="77777777" w:rsidR="003432C1" w:rsidRPr="003432C1" w:rsidRDefault="003432C1" w:rsidP="007D1085">
            <w:pPr>
              <w:numPr>
                <w:ilvl w:val="0"/>
                <w:numId w:val="15"/>
              </w:numPr>
              <w:rPr>
                <w:rFonts w:cs="Arial"/>
              </w:rPr>
            </w:pPr>
            <w:r w:rsidRPr="003432C1">
              <w:rPr>
                <w:rFonts w:cs="Arial"/>
              </w:rPr>
              <w:t>During a serious infection (requiring antibiotics) mycophenolate mofetil should be temporarily discontinued until the patient has recovered from the infection. </w:t>
            </w:r>
          </w:p>
          <w:p w14:paraId="39451E96" w14:textId="36E3F73D" w:rsidR="003432C1" w:rsidRPr="003432C1" w:rsidRDefault="003432C1" w:rsidP="007D1085">
            <w:pPr>
              <w:numPr>
                <w:ilvl w:val="0"/>
                <w:numId w:val="15"/>
              </w:numPr>
              <w:rPr>
                <w:rFonts w:cs="Arial"/>
              </w:rPr>
            </w:pPr>
            <w:r w:rsidRPr="003432C1">
              <w:rPr>
                <w:rFonts w:cs="Arial"/>
              </w:rPr>
              <w:t>If exposed to chickenpox or shingles patient must alert their primary care prescriber or specialist team and seek advice.  </w:t>
            </w:r>
          </w:p>
          <w:p w14:paraId="2BB345F2" w14:textId="77777777" w:rsidR="003432C1" w:rsidRPr="003432C1" w:rsidRDefault="003432C1" w:rsidP="007D1085">
            <w:pPr>
              <w:numPr>
                <w:ilvl w:val="0"/>
                <w:numId w:val="15"/>
              </w:numPr>
              <w:rPr>
                <w:rFonts w:cs="Arial"/>
              </w:rPr>
            </w:pPr>
            <w:r w:rsidRPr="003432C1">
              <w:rPr>
                <w:rFonts w:cs="Arial"/>
              </w:rPr>
              <w:t>That vaccination in line with current national advice (e.g. for COVID-19, influenza) is safe and recommended. </w:t>
            </w:r>
          </w:p>
          <w:p w14:paraId="178F2C82" w14:textId="77777777" w:rsidR="003432C1" w:rsidRPr="003432C1" w:rsidRDefault="003432C1" w:rsidP="007D1085">
            <w:pPr>
              <w:numPr>
                <w:ilvl w:val="0"/>
                <w:numId w:val="15"/>
              </w:numPr>
              <w:rPr>
                <w:rFonts w:cs="Arial"/>
              </w:rPr>
            </w:pPr>
            <w:r w:rsidRPr="003432C1">
              <w:rPr>
                <w:rFonts w:cs="Arial"/>
              </w:rPr>
              <w:t>Tell anyone who prescribes them a medicine that they are taking mycophenolate. Always ask a pharmacist before purchasing any medicines over the counter, including herbal remedies, and ask if they are safe. </w:t>
            </w:r>
          </w:p>
          <w:p w14:paraId="6AAB37AA" w14:textId="61A80F14" w:rsidR="003432C1" w:rsidRPr="003432C1" w:rsidRDefault="003432C1" w:rsidP="007D1085">
            <w:pPr>
              <w:numPr>
                <w:ilvl w:val="0"/>
                <w:numId w:val="15"/>
              </w:numPr>
              <w:rPr>
                <w:rFonts w:cs="Arial"/>
              </w:rPr>
            </w:pPr>
            <w:r w:rsidRPr="003432C1">
              <w:rPr>
                <w:rFonts w:cs="Arial"/>
              </w:rPr>
              <w:t>Patients have a small increased risk of skin cancers so should be advised to wear high factor sunscreen and to wear a hat and protective clothing when in strong sunshine. Sun beds should be avoided. Patients should be advised to carry out regular self-examination of the skin and report if there are any new lesions and/or changes to skin. </w:t>
            </w:r>
          </w:p>
          <w:p w14:paraId="458356B0" w14:textId="77777777" w:rsidR="003432C1" w:rsidRPr="003432C1" w:rsidRDefault="003432C1" w:rsidP="007D1085">
            <w:pPr>
              <w:numPr>
                <w:ilvl w:val="0"/>
                <w:numId w:val="15"/>
              </w:numPr>
              <w:rPr>
                <w:rFonts w:cs="Arial"/>
              </w:rPr>
            </w:pPr>
            <w:r w:rsidRPr="003432C1">
              <w:rPr>
                <w:rFonts w:cs="Arial"/>
              </w:rPr>
              <w:t>Mycophenolate mofetil may cause somnolence, confusion, dizziness, tremor or hypotension, and therefore patients are advised to use caution when driving or using machines. </w:t>
            </w:r>
          </w:p>
          <w:p w14:paraId="5AA18749" w14:textId="77777777" w:rsidR="003432C1" w:rsidRPr="003432C1" w:rsidRDefault="003432C1" w:rsidP="007D1085">
            <w:pPr>
              <w:numPr>
                <w:ilvl w:val="0"/>
                <w:numId w:val="15"/>
              </w:numPr>
              <w:rPr>
                <w:rFonts w:cs="Arial"/>
              </w:rPr>
            </w:pPr>
            <w:r w:rsidRPr="003432C1">
              <w:rPr>
                <w:rFonts w:cs="Arial"/>
              </w:rPr>
              <w:t>To use effective contraception, and to take a pregnancy test if they think they could be pregnant. Patients should inform the specialist or GP immediately if they or their partners become pregnant or are planning a pregnancy. </w:t>
            </w:r>
          </w:p>
          <w:p w14:paraId="01CFE433" w14:textId="77777777" w:rsidR="003432C1" w:rsidRPr="003432C1" w:rsidRDefault="003432C1" w:rsidP="007D1085">
            <w:pPr>
              <w:numPr>
                <w:ilvl w:val="0"/>
                <w:numId w:val="15"/>
              </w:numPr>
              <w:rPr>
                <w:rFonts w:cs="Arial"/>
              </w:rPr>
            </w:pPr>
            <w:r w:rsidRPr="003432C1">
              <w:rPr>
                <w:rFonts w:cs="Arial"/>
              </w:rPr>
              <w:lastRenderedPageBreak/>
              <w:t>Not to donate blood during treatment or for 6 weeks after stopping, and not to donate semen during treatment or for 90 days after stopping. </w:t>
            </w:r>
          </w:p>
          <w:p w14:paraId="1F72227D" w14:textId="77777777" w:rsidR="003432C1" w:rsidRPr="003432C1" w:rsidRDefault="003432C1" w:rsidP="007D1085">
            <w:pPr>
              <w:numPr>
                <w:ilvl w:val="0"/>
                <w:numId w:val="15"/>
              </w:numPr>
              <w:rPr>
                <w:rFonts w:cs="Arial"/>
              </w:rPr>
            </w:pPr>
            <w:r w:rsidRPr="003432C1">
              <w:rPr>
                <w:rFonts w:cs="Arial"/>
              </w:rPr>
              <w:t>To avoid contact with people with chicken pox or shingles and report any such contact urgently to their primary care prescriber. If the patient is exposed, contact the specialist for advice. For detailed advice on risk assessment and post exposure prophylaxis following exposure to chicken pox and shingles, see: </w:t>
            </w:r>
          </w:p>
          <w:p w14:paraId="78A1E475" w14:textId="77777777" w:rsidR="003432C1" w:rsidRPr="003432C1" w:rsidRDefault="003432C1" w:rsidP="007D1085">
            <w:pPr>
              <w:numPr>
                <w:ilvl w:val="1"/>
                <w:numId w:val="15"/>
              </w:numPr>
              <w:rPr>
                <w:rFonts w:cs="Arial"/>
              </w:rPr>
            </w:pPr>
            <w:r w:rsidRPr="003432C1">
              <w:rPr>
                <w:rFonts w:cs="Arial"/>
              </w:rPr>
              <w:t xml:space="preserve">the </w:t>
            </w:r>
            <w:hyperlink r:id="rId32" w:tgtFrame="_blank" w:history="1">
              <w:r w:rsidRPr="003432C1">
                <w:rPr>
                  <w:rStyle w:val="Hyperlink"/>
                  <w:rFonts w:cs="Arial"/>
                </w:rPr>
                <w:t>Green Book (Chapter 34)</w:t>
              </w:r>
            </w:hyperlink>
            <w:r w:rsidRPr="003432C1">
              <w:rPr>
                <w:rFonts w:cs="Arial"/>
              </w:rPr>
              <w:t>  </w:t>
            </w:r>
          </w:p>
          <w:p w14:paraId="75C6658B" w14:textId="77777777" w:rsidR="003432C1" w:rsidRDefault="003432C1" w:rsidP="007D1085">
            <w:pPr>
              <w:numPr>
                <w:ilvl w:val="1"/>
                <w:numId w:val="15"/>
              </w:numPr>
              <w:rPr>
                <w:rFonts w:cs="Arial"/>
              </w:rPr>
            </w:pPr>
            <w:r w:rsidRPr="003432C1">
              <w:rPr>
                <w:rFonts w:cs="Arial"/>
              </w:rPr>
              <w:t xml:space="preserve">UKHSA guidance: </w:t>
            </w:r>
            <w:hyperlink r:id="rId33" w:history="1">
              <w:r w:rsidRPr="003432C1">
                <w:rPr>
                  <w:rStyle w:val="Hyperlink"/>
                  <w:rFonts w:cs="Arial"/>
                </w:rPr>
                <w:t>Guidelines on post exposure prophylaxis (PEP) for varicella/shingles</w:t>
              </w:r>
            </w:hyperlink>
            <w:r w:rsidRPr="003432C1">
              <w:rPr>
                <w:rFonts w:cs="Arial"/>
              </w:rPr>
              <w:t>.  </w:t>
            </w:r>
          </w:p>
          <w:p w14:paraId="69DFD878" w14:textId="77777777" w:rsidR="003432C1" w:rsidRPr="003432C1" w:rsidRDefault="003432C1" w:rsidP="003432C1">
            <w:pPr>
              <w:rPr>
                <w:rFonts w:cs="Arial"/>
              </w:rPr>
            </w:pPr>
          </w:p>
          <w:p w14:paraId="57328E3D" w14:textId="77777777" w:rsidR="003432C1" w:rsidRPr="003432C1" w:rsidRDefault="003432C1" w:rsidP="003432C1">
            <w:pPr>
              <w:rPr>
                <w:rFonts w:cs="Arial"/>
              </w:rPr>
            </w:pPr>
            <w:r w:rsidRPr="003432C1">
              <w:rPr>
                <w:rFonts w:cs="Arial"/>
                <w:u w:val="single"/>
              </w:rPr>
              <w:t>Patient information leaflets</w:t>
            </w:r>
            <w:r w:rsidRPr="003432C1">
              <w:rPr>
                <w:rFonts w:cs="Arial"/>
              </w:rPr>
              <w:t>: </w:t>
            </w:r>
          </w:p>
          <w:p w14:paraId="4987A708" w14:textId="2FEF7F03" w:rsidR="003432C1" w:rsidRPr="003432C1" w:rsidRDefault="003432C1" w:rsidP="003432C1">
            <w:pPr>
              <w:rPr>
                <w:rFonts w:cs="Arial"/>
              </w:rPr>
            </w:pPr>
            <w:r w:rsidRPr="003432C1">
              <w:rPr>
                <w:rFonts w:cs="Arial"/>
              </w:rPr>
              <w:t xml:space="preserve">General information: </w:t>
            </w:r>
            <w:hyperlink r:id="rId34" w:tgtFrame="_blank" w:history="1">
              <w:r>
                <w:rPr>
                  <w:rStyle w:val="Hyperlink"/>
                  <w:rFonts w:cs="Arial"/>
                </w:rPr>
                <w:t>Patient.info</w:t>
              </w:r>
            </w:hyperlink>
            <w:r w:rsidRPr="003432C1">
              <w:rPr>
                <w:rFonts w:cs="Arial"/>
              </w:rPr>
              <w:t>  </w:t>
            </w:r>
          </w:p>
          <w:p w14:paraId="741FB4D2" w14:textId="673F8AD4" w:rsidR="003432C1" w:rsidRPr="003432C1" w:rsidRDefault="003432C1" w:rsidP="003432C1">
            <w:pPr>
              <w:rPr>
                <w:rFonts w:cs="Arial"/>
              </w:rPr>
            </w:pPr>
            <w:r w:rsidRPr="003432C1">
              <w:rPr>
                <w:rFonts w:cs="Arial"/>
              </w:rPr>
              <w:t xml:space="preserve">Rheumatology: </w:t>
            </w:r>
            <w:hyperlink r:id="rId35" w:tgtFrame="_blank" w:history="1">
              <w:r>
                <w:rPr>
                  <w:rStyle w:val="Hyperlink"/>
                  <w:rFonts w:cs="Arial"/>
                </w:rPr>
                <w:t>Versus Arthritis</w:t>
              </w:r>
            </w:hyperlink>
            <w:r w:rsidRPr="003432C1">
              <w:rPr>
                <w:rFonts w:cs="Arial"/>
              </w:rPr>
              <w:t>  </w:t>
            </w:r>
          </w:p>
          <w:p w14:paraId="7F68D119" w14:textId="7986C5A0" w:rsidR="003432C1" w:rsidRPr="003432C1" w:rsidRDefault="003432C1" w:rsidP="003432C1">
            <w:pPr>
              <w:rPr>
                <w:rFonts w:cs="Arial"/>
              </w:rPr>
            </w:pPr>
            <w:r w:rsidRPr="003432C1">
              <w:rPr>
                <w:rFonts w:cs="Arial"/>
              </w:rPr>
              <w:t xml:space="preserve">Dermatology: </w:t>
            </w:r>
            <w:hyperlink r:id="rId36" w:tgtFrame="_blank" w:history="1">
              <w:r>
                <w:rPr>
                  <w:rStyle w:val="Hyperlink"/>
                  <w:rFonts w:cs="Arial"/>
                </w:rPr>
                <w:t>British Association of Dermatologists</w:t>
              </w:r>
            </w:hyperlink>
            <w:r w:rsidRPr="003432C1">
              <w:rPr>
                <w:rFonts w:cs="Arial"/>
              </w:rPr>
              <w:t>  </w:t>
            </w:r>
          </w:p>
          <w:p w14:paraId="298DA26F" w14:textId="57130BA7" w:rsidR="00F132AA" w:rsidRPr="007A56FB" w:rsidRDefault="003432C1" w:rsidP="007A56FB">
            <w:pPr>
              <w:rPr>
                <w:rFonts w:cs="Arial"/>
              </w:rPr>
            </w:pPr>
            <w:r w:rsidRPr="003432C1">
              <w:rPr>
                <w:rFonts w:cs="Arial"/>
              </w:rPr>
              <w:t xml:space="preserve">Patient information leaflets are also available from </w:t>
            </w:r>
            <w:hyperlink r:id="rId37" w:tgtFrame="_blank" w:history="1">
              <w:r>
                <w:rPr>
                  <w:rStyle w:val="Hyperlink"/>
                  <w:rFonts w:cs="Arial"/>
                </w:rPr>
                <w:t>e</w:t>
              </w:r>
              <w:r w:rsidR="00B53534">
                <w:rPr>
                  <w:rStyle w:val="Hyperlink"/>
                  <w:rFonts w:cs="Arial"/>
                </w:rPr>
                <w:t>l</w:t>
              </w:r>
              <w:r w:rsidR="00B53534">
                <w:rPr>
                  <w:rStyle w:val="Hyperlink"/>
                </w:rPr>
                <w:t>ectronic medicines compendium</w:t>
              </w:r>
            </w:hyperlink>
          </w:p>
        </w:tc>
      </w:tr>
      <w:tr w:rsidR="001860C1" w:rsidRPr="00F321FC" w14:paraId="317161E6" w14:textId="77777777" w:rsidTr="00BF174A">
        <w:tc>
          <w:tcPr>
            <w:tcW w:w="2268" w:type="dxa"/>
          </w:tcPr>
          <w:p w14:paraId="7BADD8F8" w14:textId="77777777" w:rsidR="001860C1" w:rsidRDefault="009F106E" w:rsidP="009F106E">
            <w:pPr>
              <w:pStyle w:val="Heading2"/>
              <w:rPr>
                <w:rFonts w:cs="Arial"/>
              </w:rPr>
            </w:pPr>
            <w:bookmarkStart w:id="21" w:name="twelve_pregnancy"/>
            <w:bookmarkStart w:id="22" w:name="_Toc149231796"/>
            <w:r w:rsidRPr="00F321FC">
              <w:rPr>
                <w:rFonts w:cs="Arial"/>
              </w:rPr>
              <w:lastRenderedPageBreak/>
              <w:t>Pregnancy</w:t>
            </w:r>
            <w:r w:rsidR="00FB404F">
              <w:rPr>
                <w:rFonts w:cs="Arial"/>
              </w:rPr>
              <w:t>, paternal exposure</w:t>
            </w:r>
            <w:r w:rsidRPr="00F321FC">
              <w:rPr>
                <w:rFonts w:cs="Arial"/>
              </w:rPr>
              <w:t xml:space="preserve"> and breastfeeding</w:t>
            </w:r>
            <w:bookmarkEnd w:id="21"/>
            <w:bookmarkEnd w:id="22"/>
          </w:p>
          <w:p w14:paraId="0AE00B39" w14:textId="77777777" w:rsidR="005D79FA" w:rsidRDefault="005D79FA" w:rsidP="005D79FA"/>
          <w:p w14:paraId="4C3ACC97" w14:textId="3495C602" w:rsidR="005D79FA" w:rsidRPr="005D79FA" w:rsidRDefault="005D79FA" w:rsidP="0051526F"/>
        </w:tc>
        <w:tc>
          <w:tcPr>
            <w:tcW w:w="8193" w:type="dxa"/>
          </w:tcPr>
          <w:p w14:paraId="588B71AB" w14:textId="77777777" w:rsidR="0051526F" w:rsidRDefault="0051526F" w:rsidP="0051526F">
            <w:pPr>
              <w:rPr>
                <w:rFonts w:cs="Arial"/>
              </w:rPr>
            </w:pPr>
            <w:r w:rsidRPr="00FB404F">
              <w:rPr>
                <w:rFonts w:cs="Arial"/>
              </w:rPr>
              <w:t>It is the responsibility of the specialist to provide advice on the need for contraception to male and female patients on initiation and at each review, but the ongoing responsibility for providing this advice rests with both the primary care prescriber and the specialist.</w:t>
            </w:r>
          </w:p>
          <w:p w14:paraId="7F5D565C" w14:textId="77777777" w:rsidR="0051526F" w:rsidRDefault="0051526F" w:rsidP="0051526F">
            <w:pPr>
              <w:rPr>
                <w:rFonts w:cs="Arial"/>
              </w:rPr>
            </w:pPr>
          </w:p>
          <w:p w14:paraId="4A3684A3" w14:textId="77777777" w:rsidR="003432C1" w:rsidRPr="003432C1" w:rsidRDefault="003432C1" w:rsidP="003432C1">
            <w:pPr>
              <w:rPr>
                <w:rFonts w:cs="Arial"/>
              </w:rPr>
            </w:pPr>
            <w:r w:rsidRPr="003432C1">
              <w:rPr>
                <w:rFonts w:cs="Arial"/>
                <w:b/>
                <w:bCs/>
              </w:rPr>
              <w:t>All patients should be informed of the risks and benefits of taking this medicine during pregnancy and breastfeeding. The specialist team should be contacted if a patient becomes pregnant or is planning to become pregnant or breastfeed.</w:t>
            </w:r>
            <w:r w:rsidRPr="003432C1">
              <w:rPr>
                <w:rFonts w:cs="Arial"/>
              </w:rPr>
              <w:t> </w:t>
            </w:r>
          </w:p>
          <w:p w14:paraId="288B4E2A" w14:textId="77777777" w:rsidR="003432C1" w:rsidRPr="003432C1" w:rsidRDefault="003432C1" w:rsidP="003432C1">
            <w:pPr>
              <w:rPr>
                <w:rFonts w:cs="Arial"/>
              </w:rPr>
            </w:pPr>
            <w:r w:rsidRPr="003432C1">
              <w:rPr>
                <w:rFonts w:cs="Arial"/>
              </w:rPr>
              <w:t> </w:t>
            </w:r>
          </w:p>
          <w:p w14:paraId="034258C9" w14:textId="77777777" w:rsidR="003432C1" w:rsidRPr="003432C1" w:rsidRDefault="003432C1" w:rsidP="003432C1">
            <w:pPr>
              <w:rPr>
                <w:rFonts w:cs="Arial"/>
              </w:rPr>
            </w:pPr>
            <w:r w:rsidRPr="003432C1">
              <w:rPr>
                <w:rFonts w:cs="Arial"/>
                <w:b/>
                <w:bCs/>
                <w:u w:val="single"/>
              </w:rPr>
              <w:t>Pregnancy</w:t>
            </w:r>
            <w:r w:rsidRPr="003432C1">
              <w:rPr>
                <w:rFonts w:cs="Arial"/>
                <w:b/>
                <w:bCs/>
              </w:rPr>
              <w:t>:</w:t>
            </w:r>
            <w:r w:rsidRPr="003432C1">
              <w:rPr>
                <w:rFonts w:cs="Arial"/>
              </w:rPr>
              <w:t> </w:t>
            </w:r>
          </w:p>
          <w:p w14:paraId="1F9CA2B3" w14:textId="77777777" w:rsidR="007D1085" w:rsidRDefault="003432C1" w:rsidP="003432C1">
            <w:pPr>
              <w:rPr>
                <w:rFonts w:cs="Arial"/>
              </w:rPr>
            </w:pPr>
            <w:r w:rsidRPr="003432C1">
              <w:rPr>
                <w:rFonts w:cs="Arial"/>
                <w:b/>
                <w:bCs/>
              </w:rPr>
              <w:t>Mycophenolate is contraindicated during pregnancy or breastfeeding. Contraception should be used for 6 weeks after stopping the drug.</w:t>
            </w:r>
            <w:r w:rsidRPr="003432C1">
              <w:rPr>
                <w:rFonts w:cs="Arial"/>
              </w:rPr>
              <w:t> </w:t>
            </w:r>
          </w:p>
          <w:p w14:paraId="2354BAFD" w14:textId="13F4563A" w:rsidR="003432C1" w:rsidRPr="003432C1" w:rsidRDefault="007D1085" w:rsidP="003432C1">
            <w:pPr>
              <w:rPr>
                <w:rFonts w:cs="Arial"/>
              </w:rPr>
            </w:pPr>
            <w:r w:rsidRPr="007D1085">
              <w:rPr>
                <w:rFonts w:cs="Arial"/>
              </w:rPr>
              <w:t>Treatment should not be initiated without providing a negative pregnancy tes</w:t>
            </w:r>
            <w:r>
              <w:rPr>
                <w:rFonts w:cs="Arial"/>
              </w:rPr>
              <w:t xml:space="preserve">t. </w:t>
            </w:r>
            <w:r w:rsidR="003432C1" w:rsidRPr="003432C1">
              <w:rPr>
                <w:rFonts w:cs="Arial"/>
              </w:rPr>
              <w:t> </w:t>
            </w:r>
          </w:p>
          <w:p w14:paraId="04963696" w14:textId="77777777" w:rsidR="003432C1" w:rsidRPr="003432C1" w:rsidRDefault="003432C1" w:rsidP="003432C1">
            <w:pPr>
              <w:rPr>
                <w:rFonts w:cs="Arial"/>
              </w:rPr>
            </w:pPr>
            <w:r w:rsidRPr="003432C1">
              <w:rPr>
                <w:rFonts w:cs="Arial"/>
              </w:rPr>
              <w:t xml:space="preserve">Because of the genotoxic and teratogenic potential of mycophenolate mofetil, people of childbearing potential must use at least one highly effective form of contraception before and during treatment and for six weeks after stopping mycophenolate unless abstinence is the chosen method of contraception.  Two forms of contraception used simultaneously are preferred. See </w:t>
            </w:r>
            <w:hyperlink r:id="rId38" w:tgtFrame="_blank" w:history="1">
              <w:r w:rsidRPr="003432C1">
                <w:rPr>
                  <w:rStyle w:val="Hyperlink"/>
                  <w:rFonts w:cs="Arial"/>
                </w:rPr>
                <w:t>MHRA Drug safety update</w:t>
              </w:r>
            </w:hyperlink>
            <w:r w:rsidRPr="003432C1">
              <w:rPr>
                <w:rFonts w:cs="Arial"/>
              </w:rPr>
              <w:t xml:space="preserve"> and </w:t>
            </w:r>
            <w:hyperlink r:id="rId39" w:tgtFrame="_blank" w:history="1">
              <w:r w:rsidRPr="003432C1">
                <w:rPr>
                  <w:rStyle w:val="Hyperlink"/>
                  <w:rFonts w:cs="Arial"/>
                </w:rPr>
                <w:t>letter sent to healthcare professionals</w:t>
              </w:r>
            </w:hyperlink>
            <w:r w:rsidRPr="003432C1">
              <w:rPr>
                <w:rFonts w:cs="Arial"/>
              </w:rPr>
              <w:t>. See also more recent advice: </w:t>
            </w:r>
          </w:p>
          <w:p w14:paraId="11B8C53A" w14:textId="77777777" w:rsidR="003432C1" w:rsidRPr="003432C1" w:rsidRDefault="00E44E88" w:rsidP="001B5AFA">
            <w:pPr>
              <w:numPr>
                <w:ilvl w:val="0"/>
                <w:numId w:val="17"/>
              </w:numPr>
              <w:rPr>
                <w:rFonts w:cs="Arial"/>
              </w:rPr>
            </w:pPr>
            <w:hyperlink r:id="rId40" w:anchor="need-for-pregnancy-testing" w:tgtFrame="_blank" w:history="1">
              <w:r w:rsidR="003432C1" w:rsidRPr="003432C1">
                <w:rPr>
                  <w:rStyle w:val="Hyperlink"/>
                  <w:rFonts w:cs="Arial"/>
                </w:rPr>
                <w:t>MHRA Drug Safety Update: Medicines with teratogenic potential: what is effective contraception and how often is pregnancy testing needed?</w:t>
              </w:r>
            </w:hyperlink>
            <w:r w:rsidR="003432C1" w:rsidRPr="003432C1">
              <w:rPr>
                <w:rFonts w:cs="Arial"/>
              </w:rPr>
              <w:t> </w:t>
            </w:r>
          </w:p>
          <w:p w14:paraId="78730667" w14:textId="77777777" w:rsidR="003432C1" w:rsidRPr="003432C1" w:rsidRDefault="00E44E88" w:rsidP="001B5AFA">
            <w:pPr>
              <w:numPr>
                <w:ilvl w:val="0"/>
                <w:numId w:val="17"/>
              </w:numPr>
              <w:rPr>
                <w:rFonts w:cs="Arial"/>
              </w:rPr>
            </w:pPr>
            <w:hyperlink r:id="rId41" w:tgtFrame="_blank" w:history="1">
              <w:r w:rsidR="003432C1" w:rsidRPr="003432C1">
                <w:rPr>
                  <w:rStyle w:val="Hyperlink"/>
                  <w:rFonts w:cs="Arial"/>
                </w:rPr>
                <w:t>Faculty of Sexual and Reproductive Healthcare statement on contraception for women using known teratogenic drugs or drugs with potential teratogenic effects</w:t>
              </w:r>
            </w:hyperlink>
            <w:r w:rsidR="003432C1" w:rsidRPr="003432C1">
              <w:rPr>
                <w:rFonts w:cs="Arial"/>
              </w:rPr>
              <w:t>. </w:t>
            </w:r>
          </w:p>
          <w:p w14:paraId="6FC9906E" w14:textId="77777777" w:rsidR="003432C1" w:rsidRPr="003432C1" w:rsidRDefault="003432C1" w:rsidP="003432C1">
            <w:pPr>
              <w:rPr>
                <w:rFonts w:cs="Arial"/>
              </w:rPr>
            </w:pPr>
          </w:p>
          <w:p w14:paraId="22B6C546" w14:textId="77777777" w:rsidR="003432C1" w:rsidRPr="003432C1" w:rsidRDefault="003432C1" w:rsidP="003432C1">
            <w:pPr>
              <w:rPr>
                <w:rFonts w:cs="Arial"/>
              </w:rPr>
            </w:pPr>
            <w:r w:rsidRPr="003432C1">
              <w:rPr>
                <w:rFonts w:cs="Arial"/>
              </w:rPr>
              <w:t>Methods of contraception which are considered ‘highly effective’ in this context include the long-acting reversible contraceptives (LARC) copper intrauterine device (Cu-IUD), levonorgestrel intrauterine system (LNG-IUS) and progestogen-only implant (IMP) and male and female sterilisation, all of which have a failure rate of less than 1% with typical use. (Note that patients using IMP must not take any interacting drugs that could reduce contraceptive effectiveness). </w:t>
            </w:r>
          </w:p>
          <w:p w14:paraId="58BAC4E7" w14:textId="42589059" w:rsidR="003432C1" w:rsidRPr="003432C1" w:rsidRDefault="003432C1" w:rsidP="001B5AFA">
            <w:pPr>
              <w:pStyle w:val="ListParagraph"/>
              <w:numPr>
                <w:ilvl w:val="0"/>
                <w:numId w:val="18"/>
              </w:numPr>
              <w:rPr>
                <w:rFonts w:cs="Arial"/>
              </w:rPr>
            </w:pPr>
            <w:r w:rsidRPr="003432C1">
              <w:rPr>
                <w:rFonts w:cs="Arial"/>
              </w:rPr>
              <w:lastRenderedPageBreak/>
              <w:t xml:space="preserve">Information for healthcare professionals: </w:t>
            </w:r>
            <w:hyperlink r:id="rId42" w:tgtFrame="_blank" w:history="1">
              <w:r w:rsidRPr="003432C1">
                <w:rPr>
                  <w:rStyle w:val="Hyperlink"/>
                  <w:rFonts w:cs="Arial"/>
                </w:rPr>
                <w:t>UK Teratology Information Services (UKTIS)</w:t>
              </w:r>
            </w:hyperlink>
            <w:r w:rsidRPr="003432C1">
              <w:rPr>
                <w:rFonts w:cs="Arial"/>
              </w:rPr>
              <w:t>  </w:t>
            </w:r>
          </w:p>
          <w:p w14:paraId="1020ADC9" w14:textId="159DCD89" w:rsidR="003432C1" w:rsidRPr="003432C1" w:rsidRDefault="003432C1" w:rsidP="001B5AFA">
            <w:pPr>
              <w:pStyle w:val="ListParagraph"/>
              <w:numPr>
                <w:ilvl w:val="0"/>
                <w:numId w:val="18"/>
              </w:numPr>
              <w:rPr>
                <w:rFonts w:cs="Arial"/>
              </w:rPr>
            </w:pPr>
            <w:r w:rsidRPr="003432C1">
              <w:rPr>
                <w:rFonts w:cs="Arial"/>
              </w:rPr>
              <w:t xml:space="preserve">Information for patients and carers: </w:t>
            </w:r>
            <w:hyperlink r:id="rId43" w:tgtFrame="_blank" w:history="1">
              <w:r w:rsidRPr="003432C1">
                <w:rPr>
                  <w:rStyle w:val="Hyperlink"/>
                  <w:rFonts w:cs="Arial"/>
                </w:rPr>
                <w:t xml:space="preserve">Best Use </w:t>
              </w:r>
              <w:r w:rsidR="00960D9E">
                <w:rPr>
                  <w:rStyle w:val="Hyperlink"/>
                  <w:rFonts w:cs="Arial"/>
                </w:rPr>
                <w:t>o</w:t>
              </w:r>
              <w:r w:rsidRPr="003432C1">
                <w:rPr>
                  <w:rStyle w:val="Hyperlink"/>
                  <w:rFonts w:cs="Arial"/>
                </w:rPr>
                <w:t>f Medicines in Pregnancy (BUMPs)</w:t>
              </w:r>
            </w:hyperlink>
            <w:r w:rsidRPr="003432C1">
              <w:rPr>
                <w:rFonts w:cs="Arial"/>
              </w:rPr>
              <w:t>  </w:t>
            </w:r>
          </w:p>
          <w:p w14:paraId="50B79FA8" w14:textId="77777777" w:rsidR="003432C1" w:rsidRPr="003432C1" w:rsidRDefault="003432C1" w:rsidP="003432C1">
            <w:pPr>
              <w:rPr>
                <w:rFonts w:cs="Arial"/>
              </w:rPr>
            </w:pPr>
            <w:r w:rsidRPr="003432C1">
              <w:rPr>
                <w:rFonts w:cs="Arial"/>
              </w:rPr>
              <w:t> </w:t>
            </w:r>
          </w:p>
          <w:p w14:paraId="2F74CD3E" w14:textId="77777777" w:rsidR="003432C1" w:rsidRPr="003432C1" w:rsidRDefault="003432C1" w:rsidP="003432C1">
            <w:pPr>
              <w:rPr>
                <w:rFonts w:cs="Arial"/>
              </w:rPr>
            </w:pPr>
            <w:r w:rsidRPr="003432C1">
              <w:rPr>
                <w:rFonts w:cs="Arial"/>
                <w:b/>
                <w:bCs/>
                <w:u w:val="single"/>
              </w:rPr>
              <w:t>Breastfeeding</w:t>
            </w:r>
            <w:r w:rsidRPr="003432C1">
              <w:rPr>
                <w:rFonts w:cs="Arial"/>
                <w:b/>
                <w:bCs/>
              </w:rPr>
              <w:t>:</w:t>
            </w:r>
            <w:r w:rsidRPr="003432C1">
              <w:rPr>
                <w:rFonts w:cs="Arial"/>
              </w:rPr>
              <w:t> </w:t>
            </w:r>
          </w:p>
          <w:p w14:paraId="2EF29BDE" w14:textId="5EC3569E" w:rsidR="003432C1" w:rsidRPr="003432C1" w:rsidRDefault="003432C1" w:rsidP="003432C1">
            <w:pPr>
              <w:rPr>
                <w:rFonts w:cs="Arial"/>
              </w:rPr>
            </w:pPr>
            <w:r w:rsidRPr="003432C1">
              <w:rPr>
                <w:rFonts w:cs="Arial"/>
              </w:rPr>
              <w:t>Mycophenolate should not be prescribed for people who are breastfeeding</w:t>
            </w:r>
            <w:r>
              <w:rPr>
                <w:rFonts w:cs="Arial"/>
              </w:rPr>
              <w:t>.</w:t>
            </w:r>
          </w:p>
          <w:p w14:paraId="2C524D0C" w14:textId="03F999FC" w:rsidR="003432C1" w:rsidRPr="003432C1" w:rsidRDefault="003432C1" w:rsidP="003432C1">
            <w:pPr>
              <w:rPr>
                <w:rFonts w:cs="Arial"/>
              </w:rPr>
            </w:pPr>
            <w:r w:rsidRPr="003432C1">
              <w:rPr>
                <w:rFonts w:cs="Arial"/>
              </w:rPr>
              <w:t xml:space="preserve">Information for healthcare professionals: </w:t>
            </w:r>
            <w:hyperlink r:id="rId44" w:tgtFrame="_blank" w:history="1">
              <w:r>
                <w:rPr>
                  <w:rStyle w:val="Hyperlink"/>
                  <w:rFonts w:cs="Arial"/>
                </w:rPr>
                <w:t>UK Drugs in Lactation Advisory Service (</w:t>
              </w:r>
              <w:proofErr w:type="spellStart"/>
              <w:r>
                <w:rPr>
                  <w:rStyle w:val="Hyperlink"/>
                  <w:rFonts w:cs="Arial"/>
                </w:rPr>
                <w:t>UKDiLAS</w:t>
              </w:r>
              <w:proofErr w:type="spellEnd"/>
              <w:r>
                <w:rPr>
                  <w:rStyle w:val="Hyperlink"/>
                  <w:rFonts w:cs="Arial"/>
                </w:rPr>
                <w:t>)</w:t>
              </w:r>
            </w:hyperlink>
            <w:r w:rsidRPr="003432C1">
              <w:rPr>
                <w:rFonts w:cs="Arial"/>
              </w:rPr>
              <w:t>  </w:t>
            </w:r>
          </w:p>
          <w:p w14:paraId="6C627E14" w14:textId="77777777" w:rsidR="003432C1" w:rsidRPr="003432C1" w:rsidRDefault="003432C1" w:rsidP="003432C1">
            <w:pPr>
              <w:rPr>
                <w:rFonts w:cs="Arial"/>
              </w:rPr>
            </w:pPr>
            <w:r w:rsidRPr="003432C1">
              <w:rPr>
                <w:rFonts w:cs="Arial"/>
              </w:rPr>
              <w:t> </w:t>
            </w:r>
          </w:p>
          <w:p w14:paraId="198BB25D" w14:textId="77777777" w:rsidR="003432C1" w:rsidRPr="003432C1" w:rsidRDefault="003432C1" w:rsidP="003432C1">
            <w:pPr>
              <w:rPr>
                <w:rFonts w:cs="Arial"/>
              </w:rPr>
            </w:pPr>
            <w:r w:rsidRPr="003432C1">
              <w:rPr>
                <w:rFonts w:cs="Arial"/>
                <w:b/>
                <w:bCs/>
                <w:u w:val="single"/>
              </w:rPr>
              <w:t>Paternal exposure</w:t>
            </w:r>
            <w:r w:rsidRPr="003432C1">
              <w:rPr>
                <w:rFonts w:cs="Arial"/>
              </w:rPr>
              <w:t>: </w:t>
            </w:r>
          </w:p>
          <w:p w14:paraId="2E1E85DB" w14:textId="77777777" w:rsidR="003432C1" w:rsidRDefault="003432C1" w:rsidP="007A56FB">
            <w:pPr>
              <w:rPr>
                <w:rFonts w:cs="Arial"/>
              </w:rPr>
            </w:pPr>
            <w:r w:rsidRPr="003432C1">
              <w:rPr>
                <w:rFonts w:cs="Arial"/>
              </w:rPr>
              <w:t>Limited evidence does not indicate an increased risk of malformations or miscarriages in pregnancies where the father is taking mycophenolate.  However, mycophenolate is genotoxic and the risk cannot be fully excluded.  It is therefore recommended that male patients or their female partners use reliable contraception during treatment, and for at least 90 days after stopping mycophenolate.</w:t>
            </w:r>
          </w:p>
          <w:p w14:paraId="06C7937A" w14:textId="6401ECE3" w:rsidR="007A56FB" w:rsidRPr="007A56FB" w:rsidRDefault="003432C1" w:rsidP="007A56FB">
            <w:pPr>
              <w:rPr>
                <w:rFonts w:cs="Arial"/>
              </w:rPr>
            </w:pPr>
            <w:r w:rsidRPr="003432C1">
              <w:rPr>
                <w:rFonts w:cs="Arial"/>
              </w:rPr>
              <w:t xml:space="preserve">See MHRA Drug Safety Update: </w:t>
            </w:r>
            <w:hyperlink r:id="rId45" w:tgtFrame="_blank" w:history="1">
              <w:r w:rsidRPr="003432C1">
                <w:rPr>
                  <w:rStyle w:val="Hyperlink"/>
                  <w:rFonts w:cs="Arial"/>
                </w:rPr>
                <w:t>Mycophenolate mofetil, mycophenolic acid, updated contraception advice for male patients (Feb 2018)</w:t>
              </w:r>
            </w:hyperlink>
            <w:r w:rsidRPr="003432C1">
              <w:rPr>
                <w:rFonts w:cs="Arial"/>
              </w:rPr>
              <w:t> </w:t>
            </w:r>
          </w:p>
        </w:tc>
      </w:tr>
      <w:tr w:rsidR="00767B99" w:rsidRPr="00F321FC" w14:paraId="6398E15E" w14:textId="77777777" w:rsidTr="00BF174A">
        <w:tc>
          <w:tcPr>
            <w:tcW w:w="2268" w:type="dxa"/>
          </w:tcPr>
          <w:p w14:paraId="6BB398C7" w14:textId="6C037366" w:rsidR="00767B99" w:rsidRPr="00F321FC" w:rsidRDefault="00767B99" w:rsidP="00767B99">
            <w:pPr>
              <w:pStyle w:val="Heading2"/>
              <w:rPr>
                <w:rFonts w:cs="Arial"/>
              </w:rPr>
            </w:pPr>
            <w:bookmarkStart w:id="23" w:name="thirteen_specialist_contact"/>
            <w:bookmarkStart w:id="24" w:name="_Toc149231797"/>
            <w:r w:rsidRPr="00F321FC">
              <w:rPr>
                <w:rFonts w:cs="Arial"/>
              </w:rPr>
              <w:lastRenderedPageBreak/>
              <w:t>Specialist contact information</w:t>
            </w:r>
            <w:r>
              <w:rPr>
                <w:rFonts w:cs="Arial"/>
              </w:rPr>
              <w:t xml:space="preserve"> and arrangements for referral</w:t>
            </w:r>
            <w:bookmarkEnd w:id="23"/>
            <w:bookmarkEnd w:id="24"/>
          </w:p>
        </w:tc>
        <w:tc>
          <w:tcPr>
            <w:tcW w:w="8193" w:type="dxa"/>
          </w:tcPr>
          <w:p w14:paraId="63F90746" w14:textId="44D49A13" w:rsidR="00767B99" w:rsidRPr="00F321FC" w:rsidRDefault="00767B99" w:rsidP="00FB404F">
            <w:pPr>
              <w:rPr>
                <w:rFonts w:cs="Arial"/>
              </w:rPr>
            </w:pPr>
            <w:r w:rsidRPr="000E2D8B">
              <w:rPr>
                <w:rFonts w:cs="Arial"/>
                <w:i/>
                <w:iCs/>
                <w:highlight w:val="yellow"/>
              </w:rPr>
              <w:t>To be completed locally</w:t>
            </w:r>
          </w:p>
        </w:tc>
      </w:tr>
      <w:tr w:rsidR="00767B99" w:rsidRPr="00F321FC" w14:paraId="207E7612" w14:textId="77777777" w:rsidTr="00BF174A">
        <w:tc>
          <w:tcPr>
            <w:tcW w:w="2268" w:type="dxa"/>
          </w:tcPr>
          <w:p w14:paraId="1F87C246" w14:textId="316BF7A3" w:rsidR="00767B99" w:rsidRPr="00F321FC" w:rsidRDefault="00767B99" w:rsidP="00767B99">
            <w:pPr>
              <w:pStyle w:val="Heading2"/>
              <w:rPr>
                <w:rFonts w:cs="Arial"/>
              </w:rPr>
            </w:pPr>
            <w:bookmarkStart w:id="25" w:name="fourteen_additional_info"/>
            <w:bookmarkStart w:id="26" w:name="_Toc149231798"/>
            <w:r w:rsidRPr="00F321FC">
              <w:rPr>
                <w:rFonts w:cs="Arial"/>
              </w:rPr>
              <w:t>Additional information</w:t>
            </w:r>
            <w:bookmarkEnd w:id="25"/>
            <w:bookmarkEnd w:id="26"/>
          </w:p>
        </w:tc>
        <w:tc>
          <w:tcPr>
            <w:tcW w:w="8193" w:type="dxa"/>
          </w:tcPr>
          <w:p w14:paraId="3634BE8A" w14:textId="5D969788" w:rsidR="00767B99" w:rsidRPr="00F321FC" w:rsidRDefault="005D79FA" w:rsidP="00FB404F">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767B99" w:rsidRPr="00F321FC" w14:paraId="6B6F9FF7" w14:textId="77777777" w:rsidTr="00BF174A">
        <w:tc>
          <w:tcPr>
            <w:tcW w:w="2268" w:type="dxa"/>
          </w:tcPr>
          <w:p w14:paraId="4580613D" w14:textId="3D2EB4DF" w:rsidR="00767B99" w:rsidRPr="00F321FC" w:rsidRDefault="00767B99" w:rsidP="00767B99">
            <w:pPr>
              <w:pStyle w:val="Heading2"/>
              <w:rPr>
                <w:rFonts w:cs="Arial"/>
              </w:rPr>
            </w:pPr>
            <w:bookmarkStart w:id="27" w:name="fifteen_references"/>
            <w:bookmarkStart w:id="28" w:name="_Toc149231799"/>
            <w:r w:rsidRPr="00F321FC">
              <w:rPr>
                <w:rFonts w:cs="Arial"/>
              </w:rPr>
              <w:t>References</w:t>
            </w:r>
            <w:bookmarkEnd w:id="27"/>
            <w:bookmarkEnd w:id="28"/>
          </w:p>
        </w:tc>
        <w:tc>
          <w:tcPr>
            <w:tcW w:w="8193" w:type="dxa"/>
          </w:tcPr>
          <w:p w14:paraId="16BFAA52" w14:textId="6F3FA767" w:rsidR="009F34F9" w:rsidRPr="00301F73" w:rsidRDefault="00960D9E"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British National Formulary. Accessed via https://bnf.nice.org.uk/ on 30/11/23</w:t>
            </w:r>
          </w:p>
          <w:p w14:paraId="6D7D16EE" w14:textId="5ED00515"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color w:val="000000"/>
                <w:sz w:val="22"/>
                <w:szCs w:val="22"/>
              </w:rPr>
              <w:t>Mycophenolate mofetil 250 mg capsules (</w:t>
            </w:r>
            <w:proofErr w:type="spellStart"/>
            <w:r w:rsidRPr="00301F73">
              <w:rPr>
                <w:rStyle w:val="normaltextrun"/>
                <w:rFonts w:ascii="Arial" w:hAnsi="Arial" w:cs="Arial"/>
                <w:color w:val="000000"/>
                <w:sz w:val="22"/>
                <w:szCs w:val="22"/>
              </w:rPr>
              <w:t>CellCept</w:t>
            </w:r>
            <w:proofErr w:type="spellEnd"/>
            <w:r w:rsidRPr="00301F73">
              <w:rPr>
                <w:rStyle w:val="normaltextrun"/>
                <w:rFonts w:ascii="Arial" w:hAnsi="Arial" w:cs="Arial"/>
                <w:color w:val="000000"/>
                <w:sz w:val="22"/>
                <w:szCs w:val="22"/>
              </w:rPr>
              <w:t xml:space="preserve">®). Date of revision of the text </w:t>
            </w:r>
            <w:r w:rsidR="004B3ACB" w:rsidRPr="00301F73">
              <w:rPr>
                <w:rStyle w:val="normaltextrun"/>
                <w:rFonts w:ascii="Arial" w:hAnsi="Arial" w:cs="Arial"/>
                <w:color w:val="000000"/>
                <w:sz w:val="22"/>
                <w:szCs w:val="22"/>
              </w:rPr>
              <w:t>2</w:t>
            </w:r>
            <w:r w:rsidR="004B3ACB" w:rsidRPr="003D3A14">
              <w:rPr>
                <w:rStyle w:val="normaltextrun"/>
                <w:rFonts w:ascii="Arial" w:hAnsi="Arial" w:cs="Arial"/>
                <w:color w:val="000000"/>
                <w:sz w:val="22"/>
                <w:szCs w:val="22"/>
              </w:rPr>
              <w:t>2/07/22</w:t>
            </w:r>
            <w:r w:rsidRPr="00301F73">
              <w:rPr>
                <w:rStyle w:val="normaltextrun"/>
                <w:rFonts w:ascii="Arial" w:hAnsi="Arial" w:cs="Arial"/>
                <w:color w:val="000000"/>
                <w:sz w:val="22"/>
                <w:szCs w:val="22"/>
              </w:rPr>
              <w:t>. Accessed via</w:t>
            </w:r>
            <w:r w:rsidRPr="00301F73">
              <w:rPr>
                <w:rStyle w:val="normaltextrun"/>
                <w:rFonts w:ascii="Arial" w:hAnsi="Arial" w:cs="Arial"/>
                <w:color w:val="FF0000"/>
                <w:sz w:val="22"/>
                <w:szCs w:val="22"/>
              </w:rPr>
              <w:t xml:space="preserve"> </w:t>
            </w:r>
            <w:hyperlink r:id="rId46" w:tgtFrame="_blank" w:history="1">
              <w:r w:rsidRPr="00301F73">
                <w:rPr>
                  <w:rStyle w:val="normaltextrun"/>
                  <w:rFonts w:ascii="Arial" w:hAnsi="Arial" w:cs="Arial"/>
                  <w:color w:val="0000FF"/>
                  <w:sz w:val="22"/>
                  <w:szCs w:val="22"/>
                  <w:u w:val="single"/>
                </w:rPr>
                <w:t>https://www.medicines.org.uk/emc/product/1102</w:t>
              </w:r>
            </w:hyperlink>
            <w:r w:rsidRPr="00301F73">
              <w:rPr>
                <w:rStyle w:val="normaltextrun"/>
                <w:rFonts w:ascii="Arial" w:hAnsi="Arial" w:cs="Arial"/>
                <w:color w:val="000000"/>
                <w:sz w:val="22"/>
                <w:szCs w:val="22"/>
              </w:rPr>
              <w:t xml:space="preserve"> on </w:t>
            </w:r>
            <w:r w:rsidR="004B3ACB" w:rsidRPr="00301F73">
              <w:rPr>
                <w:rStyle w:val="normaltextrun"/>
                <w:rFonts w:ascii="Arial" w:hAnsi="Arial" w:cs="Arial"/>
                <w:color w:val="000000"/>
                <w:sz w:val="22"/>
                <w:szCs w:val="22"/>
              </w:rPr>
              <w:t>30</w:t>
            </w:r>
            <w:r w:rsidR="004B3ACB" w:rsidRPr="003D3A14">
              <w:rPr>
                <w:rStyle w:val="normaltextrun"/>
                <w:rFonts w:ascii="Arial" w:hAnsi="Arial" w:cs="Arial"/>
                <w:color w:val="000000"/>
                <w:sz w:val="22"/>
                <w:szCs w:val="22"/>
              </w:rPr>
              <w:t>/11/23.</w:t>
            </w:r>
            <w:r w:rsidRPr="00301F73">
              <w:rPr>
                <w:rStyle w:val="eop"/>
                <w:rFonts w:ascii="Arial" w:hAnsi="Arial" w:cs="Arial"/>
                <w:color w:val="000000"/>
                <w:sz w:val="22"/>
                <w:szCs w:val="22"/>
              </w:rPr>
              <w:t> </w:t>
            </w:r>
          </w:p>
          <w:p w14:paraId="59E32A67" w14:textId="1D1437A3" w:rsidR="009F34F9" w:rsidRPr="003D3A14" w:rsidRDefault="001B5AFA" w:rsidP="00960D9E">
            <w:pPr>
              <w:pStyle w:val="paragraph"/>
              <w:numPr>
                <w:ilvl w:val="0"/>
                <w:numId w:val="20"/>
              </w:numPr>
              <w:spacing w:before="60" w:beforeAutospacing="0" w:after="60" w:afterAutospacing="0"/>
              <w:textAlignment w:val="baseline"/>
              <w:rPr>
                <w:rStyle w:val="normaltextrun"/>
                <w:rFonts w:ascii="Arial" w:hAnsi="Arial" w:cs="Arial"/>
                <w:sz w:val="22"/>
                <w:szCs w:val="22"/>
              </w:rPr>
            </w:pPr>
            <w:r w:rsidRPr="00301F73">
              <w:rPr>
                <w:rStyle w:val="normaltextrun"/>
                <w:rFonts w:ascii="Arial" w:hAnsi="Arial" w:cs="Arial"/>
                <w:color w:val="000000"/>
                <w:sz w:val="22"/>
                <w:szCs w:val="22"/>
              </w:rPr>
              <w:t>Mycophenolate mofetil 500 mg film-coated tablets (</w:t>
            </w:r>
            <w:proofErr w:type="spellStart"/>
            <w:r w:rsidRPr="00301F73">
              <w:rPr>
                <w:rStyle w:val="normaltextrun"/>
                <w:rFonts w:ascii="Arial" w:hAnsi="Arial" w:cs="Arial"/>
                <w:color w:val="000000"/>
                <w:sz w:val="22"/>
                <w:szCs w:val="22"/>
              </w:rPr>
              <w:t>Cellcept</w:t>
            </w:r>
            <w:proofErr w:type="spellEnd"/>
            <w:r w:rsidRPr="00301F73">
              <w:rPr>
                <w:rStyle w:val="normaltextrun"/>
                <w:rFonts w:ascii="Arial" w:hAnsi="Arial" w:cs="Arial"/>
                <w:color w:val="000000"/>
                <w:sz w:val="22"/>
                <w:szCs w:val="22"/>
              </w:rPr>
              <w:t xml:space="preserve">®). Date of revision of the text </w:t>
            </w:r>
            <w:r w:rsidR="009F34F9" w:rsidRPr="00301F73">
              <w:rPr>
                <w:rStyle w:val="normaltextrun"/>
                <w:rFonts w:ascii="Arial" w:hAnsi="Arial" w:cs="Arial"/>
                <w:color w:val="000000"/>
                <w:sz w:val="22"/>
                <w:szCs w:val="22"/>
              </w:rPr>
              <w:t>2</w:t>
            </w:r>
            <w:r w:rsidR="009F34F9" w:rsidRPr="003D3A14">
              <w:rPr>
                <w:rStyle w:val="normaltextrun"/>
                <w:rFonts w:ascii="Arial" w:hAnsi="Arial" w:cs="Arial"/>
                <w:color w:val="000000"/>
                <w:sz w:val="22"/>
                <w:szCs w:val="22"/>
              </w:rPr>
              <w:t>2/07/22</w:t>
            </w:r>
            <w:r w:rsidRPr="00301F73">
              <w:rPr>
                <w:rStyle w:val="normaltextrun"/>
                <w:rFonts w:ascii="Arial" w:hAnsi="Arial" w:cs="Arial"/>
                <w:color w:val="000000"/>
                <w:sz w:val="22"/>
                <w:szCs w:val="22"/>
              </w:rPr>
              <w:t>. Accessed via</w:t>
            </w:r>
            <w:r w:rsidRPr="00301F73">
              <w:rPr>
                <w:rStyle w:val="normaltextrun"/>
                <w:rFonts w:ascii="Arial" w:hAnsi="Arial" w:cs="Arial"/>
                <w:color w:val="FF0000"/>
                <w:sz w:val="22"/>
                <w:szCs w:val="22"/>
              </w:rPr>
              <w:t xml:space="preserve"> </w:t>
            </w:r>
            <w:hyperlink r:id="rId47" w:history="1">
              <w:r w:rsidR="009F34F9" w:rsidRPr="003D3A14">
                <w:rPr>
                  <w:rStyle w:val="Hyperlink"/>
                  <w:rFonts w:ascii="Arial" w:hAnsi="Arial" w:cs="Arial"/>
                  <w:color w:val="0000FF"/>
                  <w:sz w:val="22"/>
                  <w:szCs w:val="22"/>
                </w:rPr>
                <w:t>https://www.medicines.org.uk/emc/product/1103</w:t>
              </w:r>
            </w:hyperlink>
            <w:r w:rsidR="009F34F9" w:rsidRPr="003D3A14">
              <w:rPr>
                <w:rStyle w:val="normaltextrun"/>
                <w:rFonts w:ascii="Arial" w:hAnsi="Arial" w:cs="Arial"/>
                <w:color w:val="000000"/>
                <w:sz w:val="22"/>
                <w:szCs w:val="22"/>
              </w:rPr>
              <w:t xml:space="preserve"> on 30/11/23</w:t>
            </w:r>
            <w:r w:rsidR="009F34F9" w:rsidRPr="00301F73">
              <w:rPr>
                <w:rStyle w:val="normaltextrun"/>
                <w:rFonts w:ascii="Arial" w:hAnsi="Arial" w:cs="Arial"/>
                <w:color w:val="000000"/>
                <w:sz w:val="22"/>
                <w:szCs w:val="22"/>
              </w:rPr>
              <w:t>.</w:t>
            </w:r>
          </w:p>
          <w:p w14:paraId="72E59F25" w14:textId="47A35A4A" w:rsidR="001B5AFA" w:rsidRPr="00301F73" w:rsidRDefault="009F34F9"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eop"/>
                <w:rFonts w:ascii="Arial" w:hAnsi="Arial" w:cs="Arial"/>
                <w:color w:val="000000"/>
                <w:sz w:val="22"/>
                <w:szCs w:val="22"/>
              </w:rPr>
              <w:t>P</w:t>
            </w:r>
            <w:r w:rsidRPr="003D3A14">
              <w:rPr>
                <w:rStyle w:val="eop"/>
                <w:rFonts w:ascii="Arial" w:hAnsi="Arial" w:cs="Arial"/>
                <w:sz w:val="22"/>
                <w:szCs w:val="22"/>
              </w:rPr>
              <w:t xml:space="preserve">ackage leaflet: Information for the patient. </w:t>
            </w:r>
            <w:proofErr w:type="spellStart"/>
            <w:r w:rsidRPr="003D3A14">
              <w:rPr>
                <w:rStyle w:val="eop"/>
                <w:rFonts w:ascii="Arial" w:hAnsi="Arial" w:cs="Arial"/>
                <w:sz w:val="22"/>
                <w:szCs w:val="22"/>
              </w:rPr>
              <w:t>CellCept</w:t>
            </w:r>
            <w:proofErr w:type="spellEnd"/>
            <w:r w:rsidRPr="003D3A14">
              <w:rPr>
                <w:rStyle w:val="eop"/>
                <w:rFonts w:ascii="Arial" w:hAnsi="Arial" w:cs="Arial"/>
                <w:sz w:val="22"/>
                <w:szCs w:val="22"/>
              </w:rPr>
              <w:t xml:space="preserve"> 500 mg film-coated tablets. May 2023. Accessed via </w:t>
            </w:r>
            <w:hyperlink r:id="rId48" w:history="1">
              <w:r w:rsidRPr="003D3A14">
                <w:rPr>
                  <w:rStyle w:val="Hyperlink"/>
                  <w:rFonts w:ascii="Arial" w:hAnsi="Arial" w:cs="Arial"/>
                  <w:color w:val="0000FF"/>
                  <w:sz w:val="22"/>
                  <w:szCs w:val="22"/>
                </w:rPr>
                <w:t>https://www.medicines.org.uk/emc/files/pil.1103.pdf</w:t>
              </w:r>
            </w:hyperlink>
            <w:r w:rsidRPr="003D3A14">
              <w:rPr>
                <w:rStyle w:val="eop"/>
                <w:rFonts w:ascii="Arial" w:hAnsi="Arial" w:cs="Arial"/>
                <w:sz w:val="22"/>
                <w:szCs w:val="22"/>
              </w:rPr>
              <w:t xml:space="preserve"> on 23/02/24</w:t>
            </w:r>
            <w:r w:rsidRPr="00301F73">
              <w:rPr>
                <w:rStyle w:val="eop"/>
                <w:rFonts w:ascii="Arial" w:hAnsi="Arial" w:cs="Arial"/>
                <w:color w:val="000000"/>
                <w:sz w:val="22"/>
                <w:szCs w:val="22"/>
              </w:rPr>
              <w:t>.</w:t>
            </w:r>
          </w:p>
          <w:p w14:paraId="6E1743DA" w14:textId="58A7ADB3"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color w:val="000000"/>
                <w:sz w:val="22"/>
                <w:szCs w:val="22"/>
              </w:rPr>
              <w:t>Mycophenolate mofetil 1g/5 mL powder for oral suspension (</w:t>
            </w:r>
            <w:proofErr w:type="spellStart"/>
            <w:r w:rsidRPr="00301F73">
              <w:rPr>
                <w:rStyle w:val="normaltextrun"/>
                <w:rFonts w:ascii="Arial" w:hAnsi="Arial" w:cs="Arial"/>
                <w:color w:val="000000"/>
                <w:sz w:val="22"/>
                <w:szCs w:val="22"/>
              </w:rPr>
              <w:t>CellCept</w:t>
            </w:r>
            <w:proofErr w:type="spellEnd"/>
            <w:r w:rsidRPr="00301F73">
              <w:rPr>
                <w:rStyle w:val="normaltextrun"/>
                <w:rFonts w:ascii="Arial" w:hAnsi="Arial" w:cs="Arial"/>
                <w:color w:val="000000"/>
                <w:sz w:val="22"/>
                <w:szCs w:val="22"/>
              </w:rPr>
              <w:t xml:space="preserve">®). Date of revision of the text </w:t>
            </w:r>
            <w:r w:rsidR="009F34F9" w:rsidRPr="00301F73">
              <w:rPr>
                <w:rStyle w:val="normaltextrun"/>
                <w:rFonts w:ascii="Arial" w:hAnsi="Arial" w:cs="Arial"/>
                <w:color w:val="000000"/>
                <w:sz w:val="22"/>
                <w:szCs w:val="22"/>
              </w:rPr>
              <w:t>2</w:t>
            </w:r>
            <w:r w:rsidR="009F34F9" w:rsidRPr="003D3A14">
              <w:rPr>
                <w:rStyle w:val="normaltextrun"/>
                <w:rFonts w:ascii="Arial" w:hAnsi="Arial" w:cs="Arial"/>
                <w:color w:val="000000"/>
                <w:sz w:val="22"/>
                <w:szCs w:val="22"/>
              </w:rPr>
              <w:t>2/07/22</w:t>
            </w:r>
            <w:r w:rsidRPr="00301F73">
              <w:rPr>
                <w:rStyle w:val="normaltextrun"/>
                <w:rFonts w:ascii="Arial" w:hAnsi="Arial" w:cs="Arial"/>
                <w:color w:val="000000"/>
                <w:sz w:val="22"/>
                <w:szCs w:val="22"/>
              </w:rPr>
              <w:t>. Accessed via</w:t>
            </w:r>
            <w:r w:rsidRPr="00301F73">
              <w:rPr>
                <w:rStyle w:val="normaltextrun"/>
                <w:rFonts w:ascii="Arial" w:hAnsi="Arial" w:cs="Arial"/>
                <w:color w:val="FF0000"/>
                <w:sz w:val="22"/>
                <w:szCs w:val="22"/>
              </w:rPr>
              <w:t xml:space="preserve"> </w:t>
            </w:r>
            <w:hyperlink r:id="rId49" w:tgtFrame="_blank" w:history="1">
              <w:r w:rsidRPr="00301F73">
                <w:rPr>
                  <w:rStyle w:val="normaltextrun"/>
                  <w:rFonts w:ascii="Arial" w:hAnsi="Arial" w:cs="Arial"/>
                  <w:color w:val="0000FF"/>
                  <w:sz w:val="22"/>
                  <w:szCs w:val="22"/>
                  <w:u w:val="single"/>
                </w:rPr>
                <w:t>https://www.medicines.org.uk/emc/product/1569</w:t>
              </w:r>
            </w:hyperlink>
            <w:r w:rsidRPr="00301F73">
              <w:rPr>
                <w:rStyle w:val="normaltextrun"/>
                <w:rFonts w:ascii="Arial" w:hAnsi="Arial" w:cs="Arial"/>
                <w:color w:val="0000FF"/>
                <w:sz w:val="22"/>
                <w:szCs w:val="22"/>
                <w:u w:val="single"/>
              </w:rPr>
              <w:t xml:space="preserve"> </w:t>
            </w:r>
            <w:r w:rsidRPr="00301F73">
              <w:rPr>
                <w:rStyle w:val="normaltextrun"/>
                <w:rFonts w:ascii="Arial" w:hAnsi="Arial" w:cs="Arial"/>
                <w:color w:val="000000"/>
                <w:sz w:val="22"/>
                <w:szCs w:val="22"/>
              </w:rPr>
              <w:t xml:space="preserve">on </w:t>
            </w:r>
            <w:r w:rsidR="009F34F9" w:rsidRPr="00301F73">
              <w:rPr>
                <w:rStyle w:val="normaltextrun"/>
                <w:rFonts w:ascii="Arial" w:hAnsi="Arial" w:cs="Arial"/>
                <w:color w:val="000000"/>
                <w:sz w:val="22"/>
                <w:szCs w:val="22"/>
              </w:rPr>
              <w:t>30/11/23.</w:t>
            </w:r>
            <w:r w:rsidRPr="00301F73">
              <w:rPr>
                <w:rStyle w:val="eop"/>
                <w:rFonts w:ascii="Arial" w:hAnsi="Arial" w:cs="Arial"/>
                <w:color w:val="000000"/>
                <w:sz w:val="22"/>
                <w:szCs w:val="22"/>
              </w:rPr>
              <w:t> </w:t>
            </w:r>
          </w:p>
          <w:p w14:paraId="0D92F451" w14:textId="37BE428B"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Mycophenolate mofetil 250 mg hard capsules (</w:t>
            </w:r>
            <w:proofErr w:type="spellStart"/>
            <w:r w:rsidRPr="00301F73">
              <w:rPr>
                <w:rStyle w:val="normaltextrun"/>
                <w:rFonts w:ascii="Arial" w:hAnsi="Arial" w:cs="Arial"/>
                <w:sz w:val="22"/>
                <w:szCs w:val="22"/>
              </w:rPr>
              <w:t>Myfenax</w:t>
            </w:r>
            <w:proofErr w:type="spellEnd"/>
            <w:r w:rsidRPr="00301F73">
              <w:rPr>
                <w:rStyle w:val="normaltextrun"/>
                <w:rFonts w:ascii="Arial" w:hAnsi="Arial" w:cs="Arial"/>
                <w:sz w:val="22"/>
                <w:szCs w:val="22"/>
              </w:rPr>
              <w:t xml:space="preserve">®). Date of revision of the text </w:t>
            </w:r>
            <w:r w:rsidR="008246C7" w:rsidRPr="00301F73">
              <w:rPr>
                <w:rStyle w:val="normaltextrun"/>
                <w:rFonts w:ascii="Arial" w:hAnsi="Arial" w:cs="Arial"/>
                <w:sz w:val="22"/>
                <w:szCs w:val="22"/>
              </w:rPr>
              <w:t>3</w:t>
            </w:r>
            <w:r w:rsidR="008246C7" w:rsidRPr="003D3A14">
              <w:rPr>
                <w:rStyle w:val="normaltextrun"/>
                <w:rFonts w:ascii="Arial" w:hAnsi="Arial" w:cs="Arial"/>
                <w:sz w:val="22"/>
                <w:szCs w:val="22"/>
              </w:rPr>
              <w:t>0/06/23</w:t>
            </w:r>
            <w:r w:rsidRPr="00301F73">
              <w:rPr>
                <w:rStyle w:val="normaltextrun"/>
                <w:rFonts w:ascii="Arial" w:hAnsi="Arial" w:cs="Arial"/>
                <w:sz w:val="22"/>
                <w:szCs w:val="22"/>
              </w:rPr>
              <w:t xml:space="preserve">. Accessed via </w:t>
            </w:r>
            <w:hyperlink r:id="rId50" w:tgtFrame="_blank" w:history="1">
              <w:r w:rsidRPr="00301F73">
                <w:rPr>
                  <w:rStyle w:val="normaltextrun"/>
                  <w:rFonts w:ascii="Arial" w:hAnsi="Arial" w:cs="Arial"/>
                  <w:color w:val="0000FF"/>
                  <w:sz w:val="22"/>
                  <w:szCs w:val="22"/>
                  <w:u w:val="single"/>
                </w:rPr>
                <w:t>https://www.medicines.org.uk/emc/product/9293</w:t>
              </w:r>
            </w:hyperlink>
            <w:r w:rsidRPr="00301F73">
              <w:rPr>
                <w:rStyle w:val="normaltextrun"/>
                <w:rFonts w:ascii="Arial" w:hAnsi="Arial" w:cs="Arial"/>
                <w:sz w:val="22"/>
                <w:szCs w:val="22"/>
              </w:rPr>
              <w:t xml:space="preserve"> on </w:t>
            </w:r>
            <w:r w:rsidR="008246C7" w:rsidRPr="00301F73">
              <w:rPr>
                <w:rStyle w:val="normaltextrun"/>
                <w:rFonts w:ascii="Arial" w:hAnsi="Arial" w:cs="Arial"/>
                <w:sz w:val="22"/>
                <w:szCs w:val="22"/>
              </w:rPr>
              <w:t>30/11/23.</w:t>
            </w:r>
            <w:r w:rsidRPr="00301F73">
              <w:rPr>
                <w:rStyle w:val="normaltextrun"/>
                <w:rFonts w:ascii="Arial" w:hAnsi="Arial" w:cs="Arial"/>
                <w:sz w:val="22"/>
                <w:szCs w:val="22"/>
              </w:rPr>
              <w:t> </w:t>
            </w:r>
            <w:r w:rsidRPr="00301F73">
              <w:rPr>
                <w:rStyle w:val="eop"/>
                <w:rFonts w:ascii="Arial" w:hAnsi="Arial" w:cs="Arial"/>
                <w:sz w:val="22"/>
                <w:szCs w:val="22"/>
              </w:rPr>
              <w:t> </w:t>
            </w:r>
          </w:p>
          <w:p w14:paraId="59B36D1D" w14:textId="77988F3D" w:rsidR="001B5AFA" w:rsidRPr="00301F73" w:rsidRDefault="001B5AFA" w:rsidP="00960D9E">
            <w:pPr>
              <w:pStyle w:val="paragraph"/>
              <w:numPr>
                <w:ilvl w:val="0"/>
                <w:numId w:val="20"/>
              </w:numPr>
              <w:spacing w:before="60" w:beforeAutospacing="0" w:after="60" w:afterAutospacing="0"/>
              <w:textAlignment w:val="baseline"/>
              <w:rPr>
                <w:rStyle w:val="eop"/>
                <w:rFonts w:ascii="Arial" w:hAnsi="Arial" w:cs="Arial"/>
                <w:sz w:val="22"/>
                <w:szCs w:val="22"/>
              </w:rPr>
            </w:pPr>
            <w:r w:rsidRPr="00301F73">
              <w:rPr>
                <w:rStyle w:val="normaltextrun"/>
                <w:rFonts w:ascii="Arial" w:hAnsi="Arial" w:cs="Arial"/>
                <w:sz w:val="22"/>
                <w:szCs w:val="22"/>
              </w:rPr>
              <w:t>Mycophenolate mofetil 500 mg tablets (</w:t>
            </w:r>
            <w:proofErr w:type="spellStart"/>
            <w:r w:rsidRPr="00301F73">
              <w:rPr>
                <w:rStyle w:val="normaltextrun"/>
                <w:rFonts w:ascii="Arial" w:hAnsi="Arial" w:cs="Arial"/>
                <w:sz w:val="22"/>
                <w:szCs w:val="22"/>
              </w:rPr>
              <w:t>Myfenax</w:t>
            </w:r>
            <w:proofErr w:type="spellEnd"/>
            <w:r w:rsidRPr="00301F73">
              <w:rPr>
                <w:rStyle w:val="normaltextrun"/>
                <w:rFonts w:ascii="Arial" w:hAnsi="Arial" w:cs="Arial"/>
                <w:sz w:val="22"/>
                <w:szCs w:val="22"/>
              </w:rPr>
              <w:t xml:space="preserve">®). Date of revision of the text </w:t>
            </w:r>
            <w:r w:rsidR="008246C7" w:rsidRPr="00301F73">
              <w:rPr>
                <w:rStyle w:val="normaltextrun"/>
                <w:rFonts w:ascii="Arial" w:hAnsi="Arial" w:cs="Arial"/>
                <w:sz w:val="22"/>
                <w:szCs w:val="22"/>
              </w:rPr>
              <w:t>30/06/23</w:t>
            </w:r>
            <w:r w:rsidRPr="00301F73">
              <w:rPr>
                <w:rStyle w:val="normaltextrun"/>
                <w:rFonts w:ascii="Arial" w:hAnsi="Arial" w:cs="Arial"/>
                <w:sz w:val="22"/>
                <w:szCs w:val="22"/>
              </w:rPr>
              <w:t xml:space="preserve">. Accessed via </w:t>
            </w:r>
            <w:hyperlink r:id="rId51" w:tgtFrame="_blank" w:history="1">
              <w:r w:rsidRPr="00301F73">
                <w:rPr>
                  <w:rStyle w:val="normaltextrun"/>
                  <w:rFonts w:ascii="Arial" w:hAnsi="Arial" w:cs="Arial"/>
                  <w:color w:val="0000FF"/>
                  <w:sz w:val="22"/>
                  <w:szCs w:val="22"/>
                  <w:u w:val="single"/>
                </w:rPr>
                <w:t>https://www.medicines.org.uk/emc/product/9294</w:t>
              </w:r>
            </w:hyperlink>
            <w:r w:rsidRPr="00301F73">
              <w:rPr>
                <w:rStyle w:val="normaltextrun"/>
                <w:rFonts w:ascii="Arial" w:hAnsi="Arial" w:cs="Arial"/>
                <w:sz w:val="22"/>
                <w:szCs w:val="22"/>
              </w:rPr>
              <w:t xml:space="preserve"> on </w:t>
            </w:r>
            <w:r w:rsidR="008246C7" w:rsidRPr="00301F73">
              <w:rPr>
                <w:rStyle w:val="normaltextrun"/>
                <w:rFonts w:ascii="Arial" w:hAnsi="Arial" w:cs="Arial"/>
                <w:sz w:val="22"/>
                <w:szCs w:val="22"/>
              </w:rPr>
              <w:t>30/11/23.</w:t>
            </w:r>
            <w:r w:rsidRPr="00301F73">
              <w:rPr>
                <w:rStyle w:val="eop"/>
                <w:rFonts w:ascii="Arial" w:hAnsi="Arial" w:cs="Arial"/>
                <w:sz w:val="22"/>
                <w:szCs w:val="22"/>
              </w:rPr>
              <w:t> </w:t>
            </w:r>
          </w:p>
          <w:p w14:paraId="39767DB6" w14:textId="4AD1C7B9" w:rsidR="00816AA0" w:rsidRPr="00301F73" w:rsidRDefault="008246C7" w:rsidP="00816AA0">
            <w:pPr>
              <w:pStyle w:val="paragraph"/>
              <w:numPr>
                <w:ilvl w:val="0"/>
                <w:numId w:val="20"/>
              </w:numPr>
              <w:spacing w:before="60" w:beforeAutospacing="0" w:after="60" w:afterAutospacing="0"/>
              <w:textAlignment w:val="baseline"/>
              <w:rPr>
                <w:rFonts w:ascii="Arial" w:hAnsi="Arial" w:cs="Arial"/>
                <w:sz w:val="22"/>
                <w:szCs w:val="22"/>
              </w:rPr>
            </w:pPr>
            <w:r w:rsidRPr="003D3A14">
              <w:rPr>
                <w:rStyle w:val="eop"/>
                <w:rFonts w:ascii="Arial" w:hAnsi="Arial" w:cs="Arial"/>
                <w:sz w:val="22"/>
                <w:szCs w:val="22"/>
              </w:rPr>
              <w:lastRenderedPageBreak/>
              <w:t xml:space="preserve">Mycophenolic acid </w:t>
            </w:r>
            <w:r w:rsidR="00816AA0" w:rsidRPr="003D3A14">
              <w:rPr>
                <w:rStyle w:val="eop"/>
                <w:rFonts w:ascii="Arial" w:hAnsi="Arial" w:cs="Arial"/>
                <w:sz w:val="22"/>
                <w:szCs w:val="22"/>
              </w:rPr>
              <w:t xml:space="preserve">360 mg </w:t>
            </w:r>
            <w:r w:rsidRPr="003D3A14">
              <w:rPr>
                <w:rStyle w:val="eop"/>
                <w:rFonts w:ascii="Arial" w:hAnsi="Arial" w:cs="Arial"/>
                <w:sz w:val="22"/>
                <w:szCs w:val="22"/>
              </w:rPr>
              <w:t>gastro-resistant tablets (</w:t>
            </w:r>
            <w:proofErr w:type="spellStart"/>
            <w:r w:rsidRPr="003D3A14">
              <w:rPr>
                <w:rStyle w:val="eop"/>
                <w:rFonts w:ascii="Arial" w:hAnsi="Arial" w:cs="Arial"/>
                <w:sz w:val="22"/>
                <w:szCs w:val="22"/>
              </w:rPr>
              <w:t>Ceptava</w:t>
            </w:r>
            <w:proofErr w:type="spellEnd"/>
            <w:r w:rsidRPr="003D3A14">
              <w:rPr>
                <w:rStyle w:val="eop"/>
                <w:rFonts w:ascii="Arial" w:hAnsi="Arial" w:cs="Arial"/>
                <w:sz w:val="22"/>
                <w:szCs w:val="22"/>
              </w:rPr>
              <w:t xml:space="preserve">®). Date of revision of the text 21/12/22. Accessed via </w:t>
            </w:r>
            <w:hyperlink r:id="rId52" w:history="1">
              <w:r w:rsidRPr="003D3A14">
                <w:rPr>
                  <w:rStyle w:val="Hyperlink"/>
                  <w:rFonts w:ascii="Arial" w:hAnsi="Arial" w:cs="Arial"/>
                  <w:color w:val="0000FF"/>
                  <w:sz w:val="22"/>
                  <w:szCs w:val="22"/>
                </w:rPr>
                <w:t>https://www.medicines.org.uk/emc/product/8508/smpc</w:t>
              </w:r>
            </w:hyperlink>
            <w:r w:rsidRPr="003D3A14">
              <w:rPr>
                <w:rStyle w:val="eop"/>
                <w:rFonts w:ascii="Arial" w:hAnsi="Arial" w:cs="Arial"/>
                <w:sz w:val="22"/>
                <w:szCs w:val="22"/>
              </w:rPr>
              <w:t xml:space="preserve"> on 23/02/24.</w:t>
            </w:r>
          </w:p>
          <w:p w14:paraId="257297B9" w14:textId="1C58010A" w:rsidR="00816AA0" w:rsidRPr="003D3A14" w:rsidRDefault="008246C7" w:rsidP="00960D9E">
            <w:pPr>
              <w:pStyle w:val="paragraph"/>
              <w:numPr>
                <w:ilvl w:val="0"/>
                <w:numId w:val="20"/>
              </w:numPr>
              <w:spacing w:before="60" w:beforeAutospacing="0" w:after="60" w:afterAutospacing="0"/>
              <w:textAlignment w:val="baseline"/>
              <w:rPr>
                <w:rStyle w:val="eop"/>
                <w:rFonts w:ascii="Arial" w:hAnsi="Arial" w:cs="Arial"/>
                <w:sz w:val="22"/>
                <w:szCs w:val="22"/>
              </w:rPr>
            </w:pPr>
            <w:r w:rsidRPr="003D3A14">
              <w:rPr>
                <w:rStyle w:val="eop"/>
                <w:rFonts w:ascii="Arial" w:hAnsi="Arial" w:cs="Arial"/>
                <w:sz w:val="22"/>
                <w:szCs w:val="22"/>
              </w:rPr>
              <w:t>Mycophenolic acid 360 mg gastro-resistant tablets (</w:t>
            </w:r>
            <w:proofErr w:type="spellStart"/>
            <w:r w:rsidR="00816AA0" w:rsidRPr="003D3A14">
              <w:rPr>
                <w:rStyle w:val="eop"/>
                <w:rFonts w:ascii="Arial" w:hAnsi="Arial" w:cs="Arial"/>
                <w:sz w:val="22"/>
                <w:szCs w:val="22"/>
              </w:rPr>
              <w:t>Myfortic</w:t>
            </w:r>
            <w:proofErr w:type="spellEnd"/>
            <w:r w:rsidRPr="003D3A14">
              <w:rPr>
                <w:rStyle w:val="eop"/>
                <w:rFonts w:ascii="Arial" w:hAnsi="Arial" w:cs="Arial"/>
                <w:sz w:val="22"/>
                <w:szCs w:val="22"/>
              </w:rPr>
              <w:t xml:space="preserve">®). Date of revision of the text 23/01/23. Accessed via </w:t>
            </w:r>
            <w:hyperlink r:id="rId53" w:history="1">
              <w:r w:rsidRPr="003D3A14">
                <w:rPr>
                  <w:rStyle w:val="Hyperlink"/>
                  <w:rFonts w:ascii="Arial" w:hAnsi="Arial" w:cs="Arial"/>
                  <w:color w:val="0000FF"/>
                  <w:sz w:val="22"/>
                  <w:szCs w:val="22"/>
                </w:rPr>
                <w:t>https://www.medicines.org.uk/emc/product/7793/smpc</w:t>
              </w:r>
            </w:hyperlink>
            <w:r w:rsidRPr="003D3A14">
              <w:rPr>
                <w:rStyle w:val="eop"/>
                <w:rFonts w:ascii="Arial" w:hAnsi="Arial" w:cs="Arial"/>
                <w:color w:val="0000FF"/>
                <w:sz w:val="22"/>
                <w:szCs w:val="22"/>
              </w:rPr>
              <w:t xml:space="preserve"> </w:t>
            </w:r>
            <w:r w:rsidRPr="003D3A14">
              <w:rPr>
                <w:rStyle w:val="eop"/>
                <w:rFonts w:ascii="Arial" w:hAnsi="Arial" w:cs="Arial"/>
                <w:sz w:val="22"/>
                <w:szCs w:val="22"/>
              </w:rPr>
              <w:t>on 23/02/24.</w:t>
            </w:r>
          </w:p>
          <w:p w14:paraId="536DD963" w14:textId="61DD4A70"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British Society for Rheumatology and British Health Professionals in Rheumatology. BSR and BHPR guideline for the prescription and monitoring of non-biologic disease-modifying anti-rheumatic drugs. Rheumatology </w:t>
            </w:r>
            <w:proofErr w:type="gramStart"/>
            <w:r w:rsidRPr="00301F73">
              <w:rPr>
                <w:rStyle w:val="normaltextrun"/>
                <w:rFonts w:ascii="Arial" w:hAnsi="Arial" w:cs="Arial"/>
                <w:sz w:val="22"/>
                <w:szCs w:val="22"/>
              </w:rPr>
              <w:t>2017;56:865868</w:t>
            </w:r>
            <w:proofErr w:type="gramEnd"/>
            <w:r w:rsidRPr="00301F73">
              <w:rPr>
                <w:rStyle w:val="normaltextrun"/>
                <w:rFonts w:ascii="Arial" w:hAnsi="Arial" w:cs="Arial"/>
                <w:sz w:val="22"/>
                <w:szCs w:val="22"/>
              </w:rPr>
              <w:t xml:space="preserve">. doi:10.1093/rheumatology/kew479. Accessed via </w:t>
            </w:r>
            <w:hyperlink r:id="rId54" w:anchor="97289271" w:tgtFrame="_blank" w:history="1">
              <w:r w:rsidRPr="00301F73">
                <w:rPr>
                  <w:rStyle w:val="normaltextrun"/>
                  <w:rFonts w:ascii="Arial" w:hAnsi="Arial" w:cs="Arial"/>
                  <w:color w:val="0000FF"/>
                  <w:sz w:val="22"/>
                  <w:szCs w:val="22"/>
                  <w:u w:val="single"/>
                </w:rPr>
                <w:t>https://academic.oup.com/rheumatology/article/56/6/865/3053478#97289271</w:t>
              </w:r>
            </w:hyperlink>
            <w:r w:rsidR="00301F73">
              <w:rPr>
                <w:rStyle w:val="eop"/>
                <w:rFonts w:ascii="Arial" w:hAnsi="Arial" w:cs="Arial"/>
                <w:sz w:val="22"/>
                <w:szCs w:val="22"/>
              </w:rPr>
              <w:t>.</w:t>
            </w:r>
          </w:p>
          <w:p w14:paraId="38397B5D" w14:textId="52B502B9" w:rsidR="001B5AFA" w:rsidRPr="00301F73" w:rsidRDefault="00301F73"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British Society for Rheumatology 2023. Guideline on prescribing drugs in pregnancy and breastfeeding: immunomodulatory anti-rheumatic drugs and corticosteroids. Accessed via </w:t>
            </w:r>
            <w:hyperlink r:id="rId55" w:history="1">
              <w:r w:rsidRPr="003D3A14">
                <w:rPr>
                  <w:rStyle w:val="Hyperlink"/>
                  <w:rFonts w:ascii="Arial" w:hAnsi="Arial" w:cs="Arial"/>
                  <w:color w:val="0000FF"/>
                  <w:sz w:val="22"/>
                  <w:szCs w:val="22"/>
                </w:rPr>
                <w:t>https://academic.oup.com/rheumatology/article/62/4/e48/6783012</w:t>
              </w:r>
            </w:hyperlink>
            <w:r w:rsidR="001B5AFA" w:rsidRPr="00301F73">
              <w:rPr>
                <w:rStyle w:val="normaltextrun"/>
                <w:rFonts w:ascii="Arial" w:hAnsi="Arial" w:cs="Arial"/>
                <w:sz w:val="22"/>
                <w:szCs w:val="22"/>
              </w:rPr>
              <w:t>. </w:t>
            </w:r>
            <w:r w:rsidR="001B5AFA" w:rsidRPr="00301F73">
              <w:rPr>
                <w:rStyle w:val="eop"/>
                <w:rFonts w:ascii="Arial" w:hAnsi="Arial" w:cs="Arial"/>
                <w:sz w:val="22"/>
                <w:szCs w:val="22"/>
              </w:rPr>
              <w:t> </w:t>
            </w:r>
          </w:p>
          <w:p w14:paraId="103E74CE" w14:textId="5BA9BC66"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Renal Drug Database. Mycophenolate. Reviewed 10/08/20. Accessed via </w:t>
            </w:r>
            <w:hyperlink r:id="rId56" w:tgtFrame="_blank" w:history="1">
              <w:r w:rsidRPr="00301F73">
                <w:rPr>
                  <w:rStyle w:val="normaltextrun"/>
                  <w:rFonts w:ascii="Arial" w:hAnsi="Arial" w:cs="Arial"/>
                  <w:color w:val="0000FF"/>
                  <w:sz w:val="22"/>
                  <w:szCs w:val="22"/>
                  <w:u w:val="single"/>
                </w:rPr>
                <w:t>https://renaldrugdatabase.com/</w:t>
              </w:r>
            </w:hyperlink>
            <w:r w:rsidRPr="00301F73">
              <w:rPr>
                <w:rStyle w:val="normaltextrun"/>
                <w:rFonts w:ascii="Arial" w:hAnsi="Arial" w:cs="Arial"/>
                <w:sz w:val="22"/>
                <w:szCs w:val="22"/>
              </w:rPr>
              <w:t xml:space="preserve"> on </w:t>
            </w:r>
            <w:r w:rsidR="003D3A14">
              <w:rPr>
                <w:rStyle w:val="normaltextrun"/>
                <w:rFonts w:ascii="Arial" w:hAnsi="Arial" w:cs="Arial"/>
                <w:sz w:val="22"/>
                <w:szCs w:val="22"/>
              </w:rPr>
              <w:t>3</w:t>
            </w:r>
            <w:r w:rsidR="003D3A14">
              <w:rPr>
                <w:rStyle w:val="normaltextrun"/>
                <w:rFonts w:ascii="Arial" w:hAnsi="Arial"/>
              </w:rPr>
              <w:t>0/11/23</w:t>
            </w:r>
            <w:r w:rsidRPr="00301F73">
              <w:rPr>
                <w:rStyle w:val="normaltextrun"/>
                <w:rFonts w:ascii="Arial" w:hAnsi="Arial" w:cs="Arial"/>
                <w:sz w:val="22"/>
                <w:szCs w:val="22"/>
              </w:rPr>
              <w:t>. </w:t>
            </w:r>
            <w:r w:rsidRPr="00301F73">
              <w:rPr>
                <w:rStyle w:val="eop"/>
                <w:rFonts w:ascii="Arial" w:hAnsi="Arial" w:cs="Arial"/>
                <w:sz w:val="22"/>
                <w:szCs w:val="22"/>
              </w:rPr>
              <w:t> </w:t>
            </w:r>
          </w:p>
          <w:p w14:paraId="4713CA64" w14:textId="77777777"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Public Health England. The Green Book: Immunisation against infectious disease. Last updated 27 November 2020. Accessed via </w:t>
            </w:r>
            <w:hyperlink r:id="rId57" w:tgtFrame="_blank" w:history="1">
              <w:r w:rsidRPr="00301F73">
                <w:rPr>
                  <w:rStyle w:val="normaltextrun"/>
                  <w:rFonts w:ascii="Arial" w:hAnsi="Arial" w:cs="Arial"/>
                  <w:color w:val="0000FF"/>
                  <w:sz w:val="22"/>
                  <w:szCs w:val="22"/>
                  <w:u w:val="single"/>
                </w:rPr>
                <w:t>https://www.gov.uk/government/collections/immunisation-against-infectious-disease-the-green-book</w:t>
              </w:r>
            </w:hyperlink>
            <w:r w:rsidRPr="00301F73">
              <w:rPr>
                <w:rStyle w:val="normaltextrun"/>
                <w:rFonts w:ascii="Arial" w:hAnsi="Arial" w:cs="Arial"/>
                <w:sz w:val="22"/>
                <w:szCs w:val="22"/>
              </w:rPr>
              <w:t> </w:t>
            </w:r>
            <w:r w:rsidRPr="00301F73">
              <w:rPr>
                <w:rStyle w:val="eop"/>
                <w:rFonts w:ascii="Arial" w:hAnsi="Arial" w:cs="Arial"/>
                <w:sz w:val="22"/>
                <w:szCs w:val="22"/>
              </w:rPr>
              <w:t> </w:t>
            </w:r>
          </w:p>
          <w:p w14:paraId="5D484A13" w14:textId="77777777"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MHRA Drug Safety Update. Mycophenolate mofetil, mycophenolic acid: new pregnancy-prevention advice for women and men. Last updated December 2015. Accessed via </w:t>
            </w:r>
            <w:hyperlink r:id="rId58" w:tgtFrame="_blank" w:history="1">
              <w:r w:rsidRPr="00301F73">
                <w:rPr>
                  <w:rStyle w:val="normaltextrun"/>
                  <w:rFonts w:ascii="Arial" w:hAnsi="Arial" w:cs="Arial"/>
                  <w:color w:val="0000FF"/>
                  <w:sz w:val="22"/>
                  <w:szCs w:val="22"/>
                  <w:u w:val="single"/>
                </w:rPr>
                <w:t>https://www.gov.uk/drug-safety-update/mycophenolate-mofetil-mycophenolic-acid-new-pregnancy-prevention-advice-for-women-and-men</w:t>
              </w:r>
            </w:hyperlink>
            <w:r w:rsidRPr="00301F73">
              <w:rPr>
                <w:rStyle w:val="eop"/>
                <w:rFonts w:ascii="Arial" w:hAnsi="Arial" w:cs="Arial"/>
                <w:sz w:val="22"/>
                <w:szCs w:val="22"/>
              </w:rPr>
              <w:t> </w:t>
            </w:r>
          </w:p>
          <w:p w14:paraId="394E9C63" w14:textId="77777777" w:rsidR="001B5AFA"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 xml:space="preserve">MHRA Drug Safety Update. Mycophenolate mofetil, mycophenolic acid: updated contraception advice for male patients. February 2018. Accessed via </w:t>
            </w:r>
            <w:hyperlink r:id="rId59" w:tgtFrame="_blank" w:history="1">
              <w:r w:rsidRPr="00301F73">
                <w:rPr>
                  <w:rStyle w:val="normaltextrun"/>
                  <w:rFonts w:ascii="Arial" w:hAnsi="Arial" w:cs="Arial"/>
                  <w:color w:val="0000FF"/>
                  <w:sz w:val="22"/>
                  <w:szCs w:val="22"/>
                  <w:u w:val="single"/>
                </w:rPr>
                <w:t>https://www.gov.uk/drug-safety-update/mycophenolate-mofetil-mycophenolic-acid-updated-contraception-advice-for-male-patients</w:t>
              </w:r>
            </w:hyperlink>
            <w:r w:rsidRPr="00301F73">
              <w:rPr>
                <w:rStyle w:val="normaltextrun"/>
                <w:rFonts w:ascii="Arial" w:hAnsi="Arial" w:cs="Arial"/>
                <w:sz w:val="22"/>
                <w:szCs w:val="22"/>
              </w:rPr>
              <w:t>. </w:t>
            </w:r>
            <w:r w:rsidRPr="00301F73">
              <w:rPr>
                <w:rStyle w:val="eop"/>
                <w:rFonts w:ascii="Arial" w:hAnsi="Arial" w:cs="Arial"/>
                <w:sz w:val="22"/>
                <w:szCs w:val="22"/>
              </w:rPr>
              <w:t> </w:t>
            </w:r>
          </w:p>
          <w:p w14:paraId="0A9C3F49" w14:textId="77777777" w:rsidR="001B5AFA" w:rsidRPr="00301F73" w:rsidRDefault="001B5AFA" w:rsidP="00960D9E">
            <w:pPr>
              <w:pStyle w:val="paragraph"/>
              <w:numPr>
                <w:ilvl w:val="0"/>
                <w:numId w:val="20"/>
              </w:numPr>
              <w:spacing w:before="60" w:beforeAutospacing="0" w:after="60" w:afterAutospacing="0"/>
              <w:textAlignment w:val="baseline"/>
              <w:rPr>
                <w:rStyle w:val="normaltextrun"/>
                <w:rFonts w:ascii="Arial" w:hAnsi="Arial" w:cs="Arial"/>
                <w:sz w:val="22"/>
                <w:szCs w:val="22"/>
              </w:rPr>
            </w:pPr>
            <w:r w:rsidRPr="00301F73">
              <w:rPr>
                <w:rStyle w:val="normaltextrun"/>
                <w:rFonts w:ascii="Arial" w:hAnsi="Arial" w:cs="Arial"/>
                <w:sz w:val="22"/>
                <w:szCs w:val="22"/>
              </w:rPr>
              <w:t xml:space="preserve">MHRA Drug Safety Update. Mycophenolate mofetil: pure red cell aplasia. July 2009. Accessed via </w:t>
            </w:r>
            <w:hyperlink r:id="rId60" w:tgtFrame="_blank" w:history="1">
              <w:r w:rsidRPr="00301F73">
                <w:rPr>
                  <w:rStyle w:val="normaltextrun"/>
                  <w:rFonts w:ascii="Arial" w:hAnsi="Arial" w:cs="Arial"/>
                  <w:color w:val="0000FF"/>
                  <w:sz w:val="22"/>
                  <w:szCs w:val="22"/>
                  <w:u w:val="single"/>
                </w:rPr>
                <w:t>https://www.gov.uk/drug-safety-update/mycophenolate-mofetil-pure-red-cell-aplasia</w:t>
              </w:r>
            </w:hyperlink>
            <w:r w:rsidRPr="00301F73">
              <w:rPr>
                <w:rStyle w:val="normaltextrun"/>
                <w:rFonts w:ascii="Arial" w:hAnsi="Arial" w:cs="Arial"/>
                <w:sz w:val="22"/>
                <w:szCs w:val="22"/>
              </w:rPr>
              <w:t>. </w:t>
            </w:r>
          </w:p>
          <w:p w14:paraId="691F28DD" w14:textId="2340DE48" w:rsidR="0085244E" w:rsidRPr="00301F73" w:rsidRDefault="001B5AFA" w:rsidP="00960D9E">
            <w:pPr>
              <w:pStyle w:val="paragraph"/>
              <w:numPr>
                <w:ilvl w:val="0"/>
                <w:numId w:val="20"/>
              </w:numPr>
              <w:spacing w:before="60" w:beforeAutospacing="0" w:after="60" w:afterAutospacing="0"/>
              <w:textAlignment w:val="baseline"/>
              <w:rPr>
                <w:rFonts w:ascii="Arial" w:hAnsi="Arial" w:cs="Arial"/>
                <w:sz w:val="22"/>
                <w:szCs w:val="22"/>
              </w:rPr>
            </w:pPr>
            <w:r w:rsidRPr="00301F73">
              <w:rPr>
                <w:rStyle w:val="normaltextrun"/>
                <w:rFonts w:ascii="Arial" w:hAnsi="Arial" w:cs="Arial"/>
                <w:sz w:val="22"/>
                <w:szCs w:val="22"/>
              </w:rPr>
              <w:t>MHRA Drug Safety Update. Mycophenolate mofetil (</w:t>
            </w:r>
            <w:proofErr w:type="spellStart"/>
            <w:r w:rsidRPr="00301F73">
              <w:rPr>
                <w:rStyle w:val="normaltextrun"/>
                <w:rFonts w:ascii="Arial" w:hAnsi="Arial" w:cs="Arial"/>
                <w:sz w:val="22"/>
                <w:szCs w:val="22"/>
              </w:rPr>
              <w:t>CellCept</w:t>
            </w:r>
            <w:proofErr w:type="spellEnd"/>
            <w:r w:rsidRPr="00301F73">
              <w:rPr>
                <w:rStyle w:val="normaltextrun"/>
                <w:rFonts w:ascii="Arial" w:hAnsi="Arial" w:cs="Arial"/>
                <w:sz w:val="22"/>
                <w:szCs w:val="22"/>
              </w:rPr>
              <w:t xml:space="preserve">) and mycophenolic acid: risk of hypogammaglobulinaemia and risk of bronchiectasis. January 2015. Accessed via </w:t>
            </w:r>
            <w:hyperlink r:id="rId61" w:tgtFrame="_blank" w:history="1">
              <w:r w:rsidRPr="00301F73">
                <w:rPr>
                  <w:rStyle w:val="normaltextrun"/>
                  <w:rFonts w:ascii="Arial" w:hAnsi="Arial" w:cs="Arial"/>
                  <w:color w:val="0000FF"/>
                  <w:sz w:val="22"/>
                  <w:szCs w:val="22"/>
                  <w:u w:val="single"/>
                </w:rPr>
                <w:t>https://www.gov.uk/drug-safety-update/mycophenolate-mofetil-cellcept-and-mycophenolic-acid-risk-of-hypogammaglobulinaemia-and-risk-of-bronchiectasis</w:t>
              </w:r>
            </w:hyperlink>
            <w:r w:rsidRPr="00301F73">
              <w:rPr>
                <w:rStyle w:val="normaltextrun"/>
                <w:rFonts w:ascii="Arial" w:hAnsi="Arial" w:cs="Arial"/>
                <w:sz w:val="22"/>
                <w:szCs w:val="22"/>
              </w:rPr>
              <w:t>. </w:t>
            </w:r>
            <w:r w:rsidRPr="00301F73">
              <w:rPr>
                <w:rStyle w:val="eop"/>
                <w:rFonts w:ascii="Arial" w:hAnsi="Arial" w:cs="Arial"/>
                <w:sz w:val="22"/>
                <w:szCs w:val="22"/>
              </w:rPr>
              <w:t> </w:t>
            </w:r>
          </w:p>
        </w:tc>
      </w:tr>
      <w:tr w:rsidR="00767B99" w:rsidRPr="00F321FC" w14:paraId="5BFC9044" w14:textId="77777777" w:rsidTr="00BF174A">
        <w:tc>
          <w:tcPr>
            <w:tcW w:w="2268" w:type="dxa"/>
          </w:tcPr>
          <w:p w14:paraId="2578110D" w14:textId="586DDC3D" w:rsidR="00767B99" w:rsidRPr="00F321FC" w:rsidRDefault="00767B99" w:rsidP="00767B99">
            <w:pPr>
              <w:pStyle w:val="Heading2"/>
              <w:rPr>
                <w:rFonts w:cs="Arial"/>
              </w:rPr>
            </w:pPr>
            <w:bookmarkStart w:id="29" w:name="sixteen_read_with"/>
            <w:bookmarkStart w:id="30" w:name="_Toc149231800"/>
            <w:r w:rsidRPr="00F321FC">
              <w:rPr>
                <w:rFonts w:cs="Arial"/>
              </w:rPr>
              <w:lastRenderedPageBreak/>
              <w:t>To be read in conjunction with the following documents</w:t>
            </w:r>
            <w:bookmarkEnd w:id="29"/>
            <w:bookmarkEnd w:id="30"/>
          </w:p>
        </w:tc>
        <w:tc>
          <w:tcPr>
            <w:tcW w:w="8193" w:type="dxa"/>
          </w:tcPr>
          <w:p w14:paraId="1D359FBA" w14:textId="77777777" w:rsidR="00FB404F" w:rsidRPr="00FB404F" w:rsidRDefault="00FB404F" w:rsidP="001B5AFA">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r:id="rId62" w:history="1">
              <w:r w:rsidRPr="003D3A14">
                <w:rPr>
                  <w:rStyle w:val="Hyperlink"/>
                  <w:rFonts w:eastAsia="Times New Roman" w:cs="Arial"/>
                  <w:color w:val="0000FF"/>
                  <w:lang w:eastAsia="en-GB"/>
                </w:rPr>
                <w:t>https://www.sps.nhs.uk/articles/rmoc-shared-care-guidance/</w:t>
              </w:r>
            </w:hyperlink>
            <w:r w:rsidRPr="00FB404F">
              <w:rPr>
                <w:rFonts w:eastAsia="Times New Roman" w:cs="Arial"/>
                <w:lang w:eastAsia="en-GB"/>
              </w:rPr>
              <w:t xml:space="preserve"> </w:t>
            </w:r>
          </w:p>
          <w:p w14:paraId="2D3D56F2" w14:textId="77777777" w:rsidR="00FB404F" w:rsidRPr="00FB404F" w:rsidRDefault="00FB404F" w:rsidP="001B5AFA">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63" w:history="1">
              <w:r w:rsidRPr="003D3A14">
                <w:rPr>
                  <w:rStyle w:val="Hyperlink"/>
                  <w:rFonts w:cs="Arial"/>
                  <w:color w:val="0000FF"/>
                </w:rPr>
                <w:t>https://www.england.nhs.uk/publication/responsibility-for-prescribing-between-primary-and-secondary-tertiary-care/</w:t>
              </w:r>
            </w:hyperlink>
            <w:r w:rsidRPr="003D3A14">
              <w:rPr>
                <w:rFonts w:cs="Arial"/>
                <w:color w:val="0000FF"/>
              </w:rPr>
              <w:t xml:space="preserve"> </w:t>
            </w:r>
          </w:p>
          <w:p w14:paraId="253D5A7B" w14:textId="77777777" w:rsidR="00FB404F" w:rsidRPr="00FB404F" w:rsidRDefault="00FB404F" w:rsidP="001B5AFA">
            <w:pPr>
              <w:pStyle w:val="ListParagraph"/>
              <w:numPr>
                <w:ilvl w:val="0"/>
                <w:numId w:val="3"/>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64" w:history="1">
              <w:r w:rsidRPr="003D3A14">
                <w:rPr>
                  <w:rStyle w:val="Hyperlink"/>
                  <w:rFonts w:eastAsia="Times New Roman" w:cs="Arial"/>
                  <w:color w:val="0000FF"/>
                  <w:lang w:eastAsia="en-GB"/>
                </w:rPr>
                <w:t>https://www.gmc-uk.org/ethical-guidance/ethical-guidance-for-doctors/good-practice-in-prescribing-and-managing-medicines-and-devices/shared-care</w:t>
              </w:r>
            </w:hyperlink>
            <w:r w:rsidRPr="003D3A14">
              <w:rPr>
                <w:rFonts w:eastAsia="Times New Roman" w:cs="Arial"/>
                <w:color w:val="0000FF"/>
                <w:lang w:eastAsia="en-GB"/>
              </w:rPr>
              <w:t xml:space="preserve"> </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t xml:space="preserve">NICE NG197: Shared decision making. Last updated June 2021. </w:t>
            </w:r>
            <w:hyperlink r:id="rId65" w:history="1">
              <w:r w:rsidRPr="003D3A14">
                <w:rPr>
                  <w:rStyle w:val="Hyperlink"/>
                  <w:rFonts w:eastAsia="Times New Roman" w:cs="Arial"/>
                  <w:color w:val="0000FF"/>
                  <w:lang w:eastAsia="en-GB"/>
                </w:rPr>
                <w:t>https://www.nice.org.uk/guidance/ng197/</w:t>
              </w:r>
            </w:hyperlink>
            <w:r w:rsidRPr="00FB404F">
              <w:rPr>
                <w:rFonts w:eastAsia="Times New Roman" w:cs="Arial"/>
                <w:lang w:eastAsia="en-GB"/>
              </w:rPr>
              <w:t>.</w:t>
            </w:r>
          </w:p>
        </w:tc>
      </w:tr>
    </w:tbl>
    <w:p w14:paraId="3B0B1FF8" w14:textId="39911C27" w:rsidR="003552BC" w:rsidRDefault="003552BC" w:rsidP="00F34C5E"/>
    <w:sectPr w:rsidR="003552BC" w:rsidSect="00BF1406">
      <w:footerReference w:type="default" r:id="rId66"/>
      <w:headerReference w:type="first" r:id="rId67"/>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TANIFORTH, Rachel (NHS NORTH OF ENGLAND COMMISSIONING SUPPORT UNIT)" w:date="2025-01-15T12:42:00Z" w:initials="SR(NOECSU">
    <w:p w14:paraId="70EA2A71" w14:textId="77777777" w:rsidR="00E44E88" w:rsidRDefault="00E44E88" w:rsidP="00E44E88">
      <w:pPr>
        <w:pStyle w:val="CommentText"/>
      </w:pPr>
      <w:r>
        <w:rPr>
          <w:rStyle w:val="CommentReference"/>
        </w:rPr>
        <w:annotationRef/>
      </w:r>
      <w:r>
        <w:t xml:space="preserve">As per NHSE document - </w:t>
      </w:r>
      <w:hyperlink r:id="rId1" w:history="1">
        <w:r w:rsidRPr="00295603">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EA2A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22BCC" w16cex:dateUtc="2025-01-15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EA2A71" w16cid:durableId="2B322B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002C4" w14:textId="77777777" w:rsidR="006356B7" w:rsidRDefault="006356B7" w:rsidP="00E83C66">
      <w:pPr>
        <w:spacing w:after="0" w:line="240" w:lineRule="auto"/>
      </w:pPr>
      <w:r>
        <w:separator/>
      </w:r>
    </w:p>
  </w:endnote>
  <w:endnote w:type="continuationSeparator" w:id="0">
    <w:p w14:paraId="586902F3" w14:textId="77777777" w:rsidR="006356B7" w:rsidRDefault="006356B7"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288E" w14:textId="6CC0DEBE" w:rsidR="00CC4648" w:rsidRPr="00003E35" w:rsidRDefault="00CC4648" w:rsidP="00003E35">
    <w:pPr>
      <w:pStyle w:val="Footer"/>
    </w:pPr>
    <w:r w:rsidRPr="00003E35">
      <w:t xml:space="preserve">Shared care protocol: </w:t>
    </w:r>
    <w:r w:rsidR="00F9771E">
      <w:t>mycophenolate mofetil and mycophenolic acid</w:t>
    </w:r>
    <w:r w:rsidRPr="00003E35">
      <w:t xml:space="preserve"> in adults </w:t>
    </w:r>
    <w:r w:rsidR="00F9771E">
      <w:t>(non-transplant)</w:t>
    </w:r>
    <w:r w:rsidRPr="00003E35">
      <w:tab/>
    </w:r>
    <w:r w:rsidR="00974B6C">
      <w:t>v1.</w:t>
    </w:r>
    <w:r w:rsidR="00000B8B">
      <w:t>1</w:t>
    </w:r>
  </w:p>
  <w:p w14:paraId="505A2D92" w14:textId="337189D2" w:rsidR="00BF1406" w:rsidRDefault="00CC4648" w:rsidP="00003E35">
    <w:pPr>
      <w:pStyle w:val="Footer"/>
    </w:pPr>
    <w:r w:rsidRPr="00003E35">
      <w:t xml:space="preserve">Clinical content reviewed by RDTC: </w:t>
    </w:r>
    <w:r w:rsidR="00960D9E">
      <w:t>30th November 2023</w:t>
    </w:r>
    <w:r w:rsidRPr="00003E35">
      <w:tab/>
    </w:r>
    <w:r w:rsidRPr="00003E35">
      <w:tab/>
      <w:t xml:space="preserve">Approved by </w:t>
    </w:r>
    <w:r w:rsidRPr="00003E35">
      <w:rPr>
        <w:highlight w:val="yellow"/>
      </w:rPr>
      <w:t>xx</w:t>
    </w:r>
    <w:r w:rsidRPr="00003E35">
      <w:t xml:space="preserve"> ICB: DATE</w:t>
    </w:r>
  </w:p>
  <w:p w14:paraId="6053BF00" w14:textId="2E85CE45" w:rsidR="0092446D" w:rsidRPr="0092446D" w:rsidRDefault="0092446D"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096F5D">
      <w:rPr>
        <w:noProof/>
      </w:rPr>
      <w:t>11</w:t>
    </w:r>
    <w:r w:rsidRPr="0092446D">
      <w:fldChar w:fldCharType="end"/>
    </w:r>
    <w:r w:rsidRPr="0092446D">
      <w:t xml:space="preserve"> of </w:t>
    </w:r>
    <w:r w:rsidR="00E44E88">
      <w:fldChar w:fldCharType="begin"/>
    </w:r>
    <w:r w:rsidR="00E44E88">
      <w:instrText xml:space="preserve"> NUMPAGES  \* Arabic  \* MERGEFORMAT </w:instrText>
    </w:r>
    <w:r w:rsidR="00E44E88">
      <w:fldChar w:fldCharType="separate"/>
    </w:r>
    <w:r w:rsidR="00096F5D">
      <w:rPr>
        <w:noProof/>
      </w:rPr>
      <w:t>11</w:t>
    </w:r>
    <w:r w:rsidR="00E44E8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B1C0B" w14:textId="77777777" w:rsidR="006356B7" w:rsidRDefault="006356B7" w:rsidP="00E83C66">
      <w:pPr>
        <w:spacing w:after="0" w:line="240" w:lineRule="auto"/>
      </w:pPr>
      <w:r>
        <w:separator/>
      </w:r>
    </w:p>
  </w:footnote>
  <w:footnote w:type="continuationSeparator" w:id="0">
    <w:p w14:paraId="4B8CB091" w14:textId="77777777" w:rsidR="006356B7" w:rsidRDefault="006356B7"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C3F" w14:textId="75F6414B" w:rsidR="00CB6622" w:rsidRPr="003C21D1" w:rsidRDefault="003C21D1" w:rsidP="003C21D1">
    <w:pPr>
      <w:pStyle w:val="Header"/>
      <w:spacing w:after="0"/>
    </w:pPr>
    <w:r>
      <w:rPr>
        <w:rFonts w:cs="Arial"/>
        <w:noProof/>
        <w:lang w:eastAsia="en-GB"/>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43E9C"/>
    <w:multiLevelType w:val="hybridMultilevel"/>
    <w:tmpl w:val="2B863A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B0D28FD"/>
    <w:multiLevelType w:val="hybridMultilevel"/>
    <w:tmpl w:val="43BE1D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B4023D6"/>
    <w:multiLevelType w:val="hybridMultilevel"/>
    <w:tmpl w:val="E594F7B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DBC64F5"/>
    <w:multiLevelType w:val="hybridMultilevel"/>
    <w:tmpl w:val="92D801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F512C1A"/>
    <w:multiLevelType w:val="hybridMultilevel"/>
    <w:tmpl w:val="92AEB50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30C836FF"/>
    <w:multiLevelType w:val="hybridMultilevel"/>
    <w:tmpl w:val="0ADA9B8E"/>
    <w:lvl w:ilvl="0" w:tplc="41EC57F8">
      <w:start w:val="1"/>
      <w:numFmt w:val="bullet"/>
      <w:lvlText w:val=""/>
      <w:lvlJc w:val="left"/>
      <w:pPr>
        <w:ind w:left="720" w:hanging="360"/>
      </w:pPr>
      <w:rPr>
        <w:rFonts w:ascii="Symbol" w:hAnsi="Symbol"/>
      </w:rPr>
    </w:lvl>
    <w:lvl w:ilvl="1" w:tplc="3A3CA0BE">
      <w:start w:val="1"/>
      <w:numFmt w:val="bullet"/>
      <w:lvlText w:val=""/>
      <w:lvlJc w:val="left"/>
      <w:pPr>
        <w:ind w:left="720" w:hanging="360"/>
      </w:pPr>
      <w:rPr>
        <w:rFonts w:ascii="Symbol" w:hAnsi="Symbol"/>
      </w:rPr>
    </w:lvl>
    <w:lvl w:ilvl="2" w:tplc="00122CC8">
      <w:start w:val="1"/>
      <w:numFmt w:val="bullet"/>
      <w:lvlText w:val=""/>
      <w:lvlJc w:val="left"/>
      <w:pPr>
        <w:ind w:left="720" w:hanging="360"/>
      </w:pPr>
      <w:rPr>
        <w:rFonts w:ascii="Symbol" w:hAnsi="Symbol"/>
      </w:rPr>
    </w:lvl>
    <w:lvl w:ilvl="3" w:tplc="585ACDC6">
      <w:start w:val="1"/>
      <w:numFmt w:val="bullet"/>
      <w:lvlText w:val=""/>
      <w:lvlJc w:val="left"/>
      <w:pPr>
        <w:ind w:left="720" w:hanging="360"/>
      </w:pPr>
      <w:rPr>
        <w:rFonts w:ascii="Symbol" w:hAnsi="Symbol"/>
      </w:rPr>
    </w:lvl>
    <w:lvl w:ilvl="4" w:tplc="D570C346">
      <w:start w:val="1"/>
      <w:numFmt w:val="bullet"/>
      <w:lvlText w:val=""/>
      <w:lvlJc w:val="left"/>
      <w:pPr>
        <w:ind w:left="720" w:hanging="360"/>
      </w:pPr>
      <w:rPr>
        <w:rFonts w:ascii="Symbol" w:hAnsi="Symbol"/>
      </w:rPr>
    </w:lvl>
    <w:lvl w:ilvl="5" w:tplc="E8E89232">
      <w:start w:val="1"/>
      <w:numFmt w:val="bullet"/>
      <w:lvlText w:val=""/>
      <w:lvlJc w:val="left"/>
      <w:pPr>
        <w:ind w:left="720" w:hanging="360"/>
      </w:pPr>
      <w:rPr>
        <w:rFonts w:ascii="Symbol" w:hAnsi="Symbol"/>
      </w:rPr>
    </w:lvl>
    <w:lvl w:ilvl="6" w:tplc="2188CD10">
      <w:start w:val="1"/>
      <w:numFmt w:val="bullet"/>
      <w:lvlText w:val=""/>
      <w:lvlJc w:val="left"/>
      <w:pPr>
        <w:ind w:left="720" w:hanging="360"/>
      </w:pPr>
      <w:rPr>
        <w:rFonts w:ascii="Symbol" w:hAnsi="Symbol"/>
      </w:rPr>
    </w:lvl>
    <w:lvl w:ilvl="7" w:tplc="55AAF4AC">
      <w:start w:val="1"/>
      <w:numFmt w:val="bullet"/>
      <w:lvlText w:val=""/>
      <w:lvlJc w:val="left"/>
      <w:pPr>
        <w:ind w:left="720" w:hanging="360"/>
      </w:pPr>
      <w:rPr>
        <w:rFonts w:ascii="Symbol" w:hAnsi="Symbol"/>
      </w:rPr>
    </w:lvl>
    <w:lvl w:ilvl="8" w:tplc="F2880DC2">
      <w:start w:val="1"/>
      <w:numFmt w:val="bullet"/>
      <w:lvlText w:val=""/>
      <w:lvlJc w:val="left"/>
      <w:pPr>
        <w:ind w:left="720" w:hanging="360"/>
      </w:pPr>
      <w:rPr>
        <w:rFonts w:ascii="Symbol" w:hAnsi="Symbol"/>
      </w:rPr>
    </w:lvl>
  </w:abstractNum>
  <w:abstractNum w:abstractNumId="6" w15:restartNumberingAfterBreak="0">
    <w:nsid w:val="36BB6F34"/>
    <w:multiLevelType w:val="hybridMultilevel"/>
    <w:tmpl w:val="72187168"/>
    <w:lvl w:ilvl="0" w:tplc="08090001">
      <w:start w:val="1"/>
      <w:numFmt w:val="bullet"/>
      <w:lvlText w:val=""/>
      <w:lvlJc w:val="left"/>
      <w:pPr>
        <w:ind w:left="-3564" w:hanging="360"/>
      </w:pPr>
      <w:rPr>
        <w:rFonts w:ascii="Symbol" w:hAnsi="Symbol" w:hint="default"/>
      </w:rPr>
    </w:lvl>
    <w:lvl w:ilvl="1" w:tplc="08090003">
      <w:start w:val="1"/>
      <w:numFmt w:val="bullet"/>
      <w:lvlText w:val="o"/>
      <w:lvlJc w:val="left"/>
      <w:pPr>
        <w:ind w:left="-2844" w:hanging="360"/>
      </w:pPr>
      <w:rPr>
        <w:rFonts w:ascii="Courier New" w:hAnsi="Courier New" w:cs="Courier New" w:hint="default"/>
      </w:rPr>
    </w:lvl>
    <w:lvl w:ilvl="2" w:tplc="08090005">
      <w:start w:val="1"/>
      <w:numFmt w:val="bullet"/>
      <w:lvlText w:val=""/>
      <w:lvlJc w:val="left"/>
      <w:pPr>
        <w:ind w:left="-2124" w:hanging="360"/>
      </w:pPr>
      <w:rPr>
        <w:rFonts w:ascii="Wingdings" w:hAnsi="Wingdings" w:hint="default"/>
      </w:rPr>
    </w:lvl>
    <w:lvl w:ilvl="3" w:tplc="08090001">
      <w:start w:val="1"/>
      <w:numFmt w:val="bullet"/>
      <w:lvlText w:val=""/>
      <w:lvlJc w:val="left"/>
      <w:pPr>
        <w:ind w:left="-1404" w:hanging="360"/>
      </w:pPr>
      <w:rPr>
        <w:rFonts w:ascii="Symbol" w:hAnsi="Symbol" w:hint="default"/>
      </w:rPr>
    </w:lvl>
    <w:lvl w:ilvl="4" w:tplc="08090003">
      <w:start w:val="1"/>
      <w:numFmt w:val="bullet"/>
      <w:lvlText w:val="o"/>
      <w:lvlJc w:val="left"/>
      <w:pPr>
        <w:ind w:left="-684" w:hanging="360"/>
      </w:pPr>
      <w:rPr>
        <w:rFonts w:ascii="Courier New" w:hAnsi="Courier New" w:cs="Courier New" w:hint="default"/>
      </w:rPr>
    </w:lvl>
    <w:lvl w:ilvl="5" w:tplc="08090005">
      <w:start w:val="1"/>
      <w:numFmt w:val="bullet"/>
      <w:lvlText w:val=""/>
      <w:lvlJc w:val="left"/>
      <w:pPr>
        <w:ind w:left="36" w:hanging="360"/>
      </w:pPr>
      <w:rPr>
        <w:rFonts w:ascii="Wingdings" w:hAnsi="Wingdings" w:hint="default"/>
      </w:rPr>
    </w:lvl>
    <w:lvl w:ilvl="6" w:tplc="08090001">
      <w:start w:val="1"/>
      <w:numFmt w:val="bullet"/>
      <w:lvlText w:val=""/>
      <w:lvlJc w:val="left"/>
      <w:pPr>
        <w:ind w:left="756" w:hanging="360"/>
      </w:pPr>
      <w:rPr>
        <w:rFonts w:ascii="Symbol" w:hAnsi="Symbol" w:hint="default"/>
      </w:rPr>
    </w:lvl>
    <w:lvl w:ilvl="7" w:tplc="08090003">
      <w:start w:val="1"/>
      <w:numFmt w:val="bullet"/>
      <w:lvlText w:val="o"/>
      <w:lvlJc w:val="left"/>
      <w:pPr>
        <w:ind w:left="1476" w:hanging="360"/>
      </w:pPr>
      <w:rPr>
        <w:rFonts w:ascii="Courier New" w:hAnsi="Courier New" w:cs="Courier New" w:hint="default"/>
      </w:rPr>
    </w:lvl>
    <w:lvl w:ilvl="8" w:tplc="08090005">
      <w:start w:val="1"/>
      <w:numFmt w:val="bullet"/>
      <w:lvlText w:val=""/>
      <w:lvlJc w:val="left"/>
      <w:pPr>
        <w:ind w:left="2196" w:hanging="360"/>
      </w:pPr>
      <w:rPr>
        <w:rFonts w:ascii="Wingdings" w:hAnsi="Wingdings" w:hint="default"/>
      </w:rPr>
    </w:lvl>
  </w:abstractNum>
  <w:abstractNum w:abstractNumId="7" w15:restartNumberingAfterBreak="0">
    <w:nsid w:val="373E7DFA"/>
    <w:multiLevelType w:val="hybridMultilevel"/>
    <w:tmpl w:val="7CDA57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9AF2972"/>
    <w:multiLevelType w:val="hybridMultilevel"/>
    <w:tmpl w:val="8A7064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DF76965"/>
    <w:multiLevelType w:val="hybridMultilevel"/>
    <w:tmpl w:val="422C1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3EF664C"/>
    <w:multiLevelType w:val="hybridMultilevel"/>
    <w:tmpl w:val="557A8A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21045EA"/>
    <w:multiLevelType w:val="hybridMultilevel"/>
    <w:tmpl w:val="417488E0"/>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65956018"/>
    <w:multiLevelType w:val="hybridMultilevel"/>
    <w:tmpl w:val="6004E9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69495E65"/>
    <w:multiLevelType w:val="hybridMultilevel"/>
    <w:tmpl w:val="2CCE45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6AB9067B"/>
    <w:multiLevelType w:val="hybridMultilevel"/>
    <w:tmpl w:val="79D20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993DAB"/>
    <w:multiLevelType w:val="hybridMultilevel"/>
    <w:tmpl w:val="FF5E87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762F2E77"/>
    <w:multiLevelType w:val="hybridMultilevel"/>
    <w:tmpl w:val="983A4D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65157D9"/>
    <w:multiLevelType w:val="hybridMultilevel"/>
    <w:tmpl w:val="EC04DC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7AF73B9C"/>
    <w:multiLevelType w:val="hybridMultilevel"/>
    <w:tmpl w:val="41E454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690327187">
    <w:abstractNumId w:val="12"/>
  </w:num>
  <w:num w:numId="2" w16cid:durableId="1876845289">
    <w:abstractNumId w:val="21"/>
  </w:num>
  <w:num w:numId="3" w16cid:durableId="1249969533">
    <w:abstractNumId w:val="9"/>
  </w:num>
  <w:num w:numId="4" w16cid:durableId="1704598709">
    <w:abstractNumId w:val="10"/>
  </w:num>
  <w:num w:numId="5" w16cid:durableId="1949312254">
    <w:abstractNumId w:val="16"/>
  </w:num>
  <w:num w:numId="6" w16cid:durableId="1446389009">
    <w:abstractNumId w:val="8"/>
  </w:num>
  <w:num w:numId="7" w16cid:durableId="548804773">
    <w:abstractNumId w:val="7"/>
  </w:num>
  <w:num w:numId="8" w16cid:durableId="662900794">
    <w:abstractNumId w:val="11"/>
  </w:num>
  <w:num w:numId="9" w16cid:durableId="1330865637">
    <w:abstractNumId w:val="4"/>
  </w:num>
  <w:num w:numId="10" w16cid:durableId="1102451521">
    <w:abstractNumId w:val="1"/>
  </w:num>
  <w:num w:numId="11" w16cid:durableId="2038920901">
    <w:abstractNumId w:val="6"/>
  </w:num>
  <w:num w:numId="12" w16cid:durableId="1445418184">
    <w:abstractNumId w:val="0"/>
  </w:num>
  <w:num w:numId="13" w16cid:durableId="1282958607">
    <w:abstractNumId w:val="3"/>
  </w:num>
  <w:num w:numId="14" w16cid:durableId="2127920395">
    <w:abstractNumId w:val="2"/>
  </w:num>
  <w:num w:numId="15" w16cid:durableId="2088334487">
    <w:abstractNumId w:val="19"/>
  </w:num>
  <w:num w:numId="16" w16cid:durableId="159974693">
    <w:abstractNumId w:val="15"/>
  </w:num>
  <w:num w:numId="17" w16cid:durableId="1303659417">
    <w:abstractNumId w:val="17"/>
  </w:num>
  <w:num w:numId="18" w16cid:durableId="1893081663">
    <w:abstractNumId w:val="18"/>
  </w:num>
  <w:num w:numId="19" w16cid:durableId="1400011277">
    <w:abstractNumId w:val="14"/>
  </w:num>
  <w:num w:numId="20" w16cid:durableId="782846356">
    <w:abstractNumId w:val="13"/>
  </w:num>
  <w:num w:numId="21" w16cid:durableId="530845491">
    <w:abstractNumId w:val="5"/>
  </w:num>
  <w:num w:numId="22" w16cid:durableId="369383696">
    <w:abstractNumId w:val="20"/>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FORTH, Rachel (NHS NORTH OF ENGLAND COMMISSIONING SUPPORT UNIT)">
    <w15:presenceInfo w15:providerId="AD" w15:userId="S::rachel.staniforth@nhs.net::6995b86a-bcb3-4219-9da6-0b2c483f94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zNDEwNbW0NAWS5ko6SsGpxcWZ+XkgBaa1AJeahIYsAAAA"/>
  </w:docVars>
  <w:rsids>
    <w:rsidRoot w:val="00E83C66"/>
    <w:rsid w:val="00000B8B"/>
    <w:rsid w:val="00003E35"/>
    <w:rsid w:val="00005FC7"/>
    <w:rsid w:val="00006013"/>
    <w:rsid w:val="00015B69"/>
    <w:rsid w:val="00021009"/>
    <w:rsid w:val="00023A66"/>
    <w:rsid w:val="0002435C"/>
    <w:rsid w:val="00026645"/>
    <w:rsid w:val="00032724"/>
    <w:rsid w:val="00035AE8"/>
    <w:rsid w:val="00036678"/>
    <w:rsid w:val="00044DF9"/>
    <w:rsid w:val="00057CD1"/>
    <w:rsid w:val="000950C8"/>
    <w:rsid w:val="00096F5D"/>
    <w:rsid w:val="000A0ECA"/>
    <w:rsid w:val="000B18BF"/>
    <w:rsid w:val="000D080C"/>
    <w:rsid w:val="000E2D8B"/>
    <w:rsid w:val="000F1BE5"/>
    <w:rsid w:val="000F4219"/>
    <w:rsid w:val="000F48EC"/>
    <w:rsid w:val="000F53A2"/>
    <w:rsid w:val="000F5E8F"/>
    <w:rsid w:val="000F68E2"/>
    <w:rsid w:val="001026FB"/>
    <w:rsid w:val="001123BA"/>
    <w:rsid w:val="001179FD"/>
    <w:rsid w:val="001208FF"/>
    <w:rsid w:val="00127BC4"/>
    <w:rsid w:val="00135DDB"/>
    <w:rsid w:val="00141994"/>
    <w:rsid w:val="00142209"/>
    <w:rsid w:val="001432AE"/>
    <w:rsid w:val="00145D93"/>
    <w:rsid w:val="001479B1"/>
    <w:rsid w:val="00152265"/>
    <w:rsid w:val="00161742"/>
    <w:rsid w:val="00165BA2"/>
    <w:rsid w:val="00170656"/>
    <w:rsid w:val="00173AC1"/>
    <w:rsid w:val="0017424B"/>
    <w:rsid w:val="00180953"/>
    <w:rsid w:val="001860C1"/>
    <w:rsid w:val="00190AC9"/>
    <w:rsid w:val="001939C7"/>
    <w:rsid w:val="001946BB"/>
    <w:rsid w:val="001948E2"/>
    <w:rsid w:val="0019640D"/>
    <w:rsid w:val="001A101D"/>
    <w:rsid w:val="001A4776"/>
    <w:rsid w:val="001A51F3"/>
    <w:rsid w:val="001B0E46"/>
    <w:rsid w:val="001B5AFA"/>
    <w:rsid w:val="001B5F28"/>
    <w:rsid w:val="001B694A"/>
    <w:rsid w:val="001B6C1D"/>
    <w:rsid w:val="001C246F"/>
    <w:rsid w:val="001D0EF0"/>
    <w:rsid w:val="001D2CF1"/>
    <w:rsid w:val="001D5D77"/>
    <w:rsid w:val="001E4A10"/>
    <w:rsid w:val="001E5484"/>
    <w:rsid w:val="001F2BF8"/>
    <w:rsid w:val="001F4159"/>
    <w:rsid w:val="00200BBF"/>
    <w:rsid w:val="0020740C"/>
    <w:rsid w:val="002135C2"/>
    <w:rsid w:val="00214BDA"/>
    <w:rsid w:val="00224A5C"/>
    <w:rsid w:val="00236EDC"/>
    <w:rsid w:val="002415D5"/>
    <w:rsid w:val="0024547E"/>
    <w:rsid w:val="002477FF"/>
    <w:rsid w:val="00250BA1"/>
    <w:rsid w:val="00251EF7"/>
    <w:rsid w:val="002523EC"/>
    <w:rsid w:val="0027038D"/>
    <w:rsid w:val="00273B12"/>
    <w:rsid w:val="00274A7A"/>
    <w:rsid w:val="0028454D"/>
    <w:rsid w:val="002A0803"/>
    <w:rsid w:val="002B0761"/>
    <w:rsid w:val="002B318E"/>
    <w:rsid w:val="002B45DB"/>
    <w:rsid w:val="002C3506"/>
    <w:rsid w:val="002C4029"/>
    <w:rsid w:val="002C5EE8"/>
    <w:rsid w:val="002D1A25"/>
    <w:rsid w:val="002D4BB4"/>
    <w:rsid w:val="002E2BA7"/>
    <w:rsid w:val="002F2DEA"/>
    <w:rsid w:val="002F47EB"/>
    <w:rsid w:val="002F6F07"/>
    <w:rsid w:val="00301F73"/>
    <w:rsid w:val="00302122"/>
    <w:rsid w:val="00303331"/>
    <w:rsid w:val="0030335E"/>
    <w:rsid w:val="003036A6"/>
    <w:rsid w:val="00306E44"/>
    <w:rsid w:val="00310E09"/>
    <w:rsid w:val="0031567A"/>
    <w:rsid w:val="00316F74"/>
    <w:rsid w:val="003171D6"/>
    <w:rsid w:val="00320AAD"/>
    <w:rsid w:val="00323120"/>
    <w:rsid w:val="003249D2"/>
    <w:rsid w:val="003263E8"/>
    <w:rsid w:val="003268BD"/>
    <w:rsid w:val="00326BD8"/>
    <w:rsid w:val="003310A9"/>
    <w:rsid w:val="00333A28"/>
    <w:rsid w:val="0034160F"/>
    <w:rsid w:val="00341D88"/>
    <w:rsid w:val="003432C1"/>
    <w:rsid w:val="00343C0A"/>
    <w:rsid w:val="00352F67"/>
    <w:rsid w:val="003552BC"/>
    <w:rsid w:val="003558F4"/>
    <w:rsid w:val="00357F6B"/>
    <w:rsid w:val="00360805"/>
    <w:rsid w:val="00360FFA"/>
    <w:rsid w:val="00361167"/>
    <w:rsid w:val="00361FB3"/>
    <w:rsid w:val="0037508C"/>
    <w:rsid w:val="003758EE"/>
    <w:rsid w:val="00375C79"/>
    <w:rsid w:val="00386DAA"/>
    <w:rsid w:val="003931A7"/>
    <w:rsid w:val="0039379F"/>
    <w:rsid w:val="0039672B"/>
    <w:rsid w:val="003A4127"/>
    <w:rsid w:val="003A4B07"/>
    <w:rsid w:val="003B3F51"/>
    <w:rsid w:val="003B5125"/>
    <w:rsid w:val="003C21D1"/>
    <w:rsid w:val="003C2558"/>
    <w:rsid w:val="003D2022"/>
    <w:rsid w:val="003D3A14"/>
    <w:rsid w:val="003D53B2"/>
    <w:rsid w:val="003E5AD7"/>
    <w:rsid w:val="003E7840"/>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4347D"/>
    <w:rsid w:val="004438CF"/>
    <w:rsid w:val="00447C21"/>
    <w:rsid w:val="00462329"/>
    <w:rsid w:val="00485359"/>
    <w:rsid w:val="004864D7"/>
    <w:rsid w:val="004912A2"/>
    <w:rsid w:val="004968DC"/>
    <w:rsid w:val="004A28EF"/>
    <w:rsid w:val="004A4D94"/>
    <w:rsid w:val="004A5F57"/>
    <w:rsid w:val="004B05FA"/>
    <w:rsid w:val="004B25D8"/>
    <w:rsid w:val="004B3ACB"/>
    <w:rsid w:val="004B6FA7"/>
    <w:rsid w:val="004B7BBD"/>
    <w:rsid w:val="004C0D86"/>
    <w:rsid w:val="004C2598"/>
    <w:rsid w:val="004C31F8"/>
    <w:rsid w:val="004C7302"/>
    <w:rsid w:val="004D46F6"/>
    <w:rsid w:val="004D5B8A"/>
    <w:rsid w:val="004E5EB8"/>
    <w:rsid w:val="004F250B"/>
    <w:rsid w:val="004F2781"/>
    <w:rsid w:val="00502B61"/>
    <w:rsid w:val="0051526F"/>
    <w:rsid w:val="00515CB1"/>
    <w:rsid w:val="00517DC6"/>
    <w:rsid w:val="00521A7D"/>
    <w:rsid w:val="00521D64"/>
    <w:rsid w:val="005221E5"/>
    <w:rsid w:val="005228A2"/>
    <w:rsid w:val="0053459F"/>
    <w:rsid w:val="00535162"/>
    <w:rsid w:val="0053551A"/>
    <w:rsid w:val="00537F63"/>
    <w:rsid w:val="00541CF7"/>
    <w:rsid w:val="005432DD"/>
    <w:rsid w:val="00545443"/>
    <w:rsid w:val="00547308"/>
    <w:rsid w:val="00547AA5"/>
    <w:rsid w:val="0055256C"/>
    <w:rsid w:val="00561F39"/>
    <w:rsid w:val="00565352"/>
    <w:rsid w:val="00572DB9"/>
    <w:rsid w:val="0057400B"/>
    <w:rsid w:val="00581703"/>
    <w:rsid w:val="00592565"/>
    <w:rsid w:val="0059282E"/>
    <w:rsid w:val="005A5F28"/>
    <w:rsid w:val="005A633C"/>
    <w:rsid w:val="005A7119"/>
    <w:rsid w:val="005B4BAE"/>
    <w:rsid w:val="005B7F7A"/>
    <w:rsid w:val="005D05B1"/>
    <w:rsid w:val="005D105B"/>
    <w:rsid w:val="005D27FE"/>
    <w:rsid w:val="005D416F"/>
    <w:rsid w:val="005D56F3"/>
    <w:rsid w:val="005D75B4"/>
    <w:rsid w:val="005D79FA"/>
    <w:rsid w:val="005E614B"/>
    <w:rsid w:val="005E6901"/>
    <w:rsid w:val="005F346E"/>
    <w:rsid w:val="005F3D83"/>
    <w:rsid w:val="00603A8A"/>
    <w:rsid w:val="00613294"/>
    <w:rsid w:val="006179D7"/>
    <w:rsid w:val="0062204F"/>
    <w:rsid w:val="006247FA"/>
    <w:rsid w:val="00626457"/>
    <w:rsid w:val="006356B7"/>
    <w:rsid w:val="00641F7D"/>
    <w:rsid w:val="00643FC9"/>
    <w:rsid w:val="00644539"/>
    <w:rsid w:val="00647492"/>
    <w:rsid w:val="0065325B"/>
    <w:rsid w:val="00656044"/>
    <w:rsid w:val="00661A75"/>
    <w:rsid w:val="006706F6"/>
    <w:rsid w:val="006837B0"/>
    <w:rsid w:val="00683C92"/>
    <w:rsid w:val="0068627A"/>
    <w:rsid w:val="006876AB"/>
    <w:rsid w:val="0069144C"/>
    <w:rsid w:val="00692AD5"/>
    <w:rsid w:val="00694531"/>
    <w:rsid w:val="00696EFE"/>
    <w:rsid w:val="006A333F"/>
    <w:rsid w:val="006A6B10"/>
    <w:rsid w:val="006B7253"/>
    <w:rsid w:val="006B7712"/>
    <w:rsid w:val="006C3870"/>
    <w:rsid w:val="006D277B"/>
    <w:rsid w:val="006E062E"/>
    <w:rsid w:val="006E5307"/>
    <w:rsid w:val="006F1403"/>
    <w:rsid w:val="006F2BD8"/>
    <w:rsid w:val="006F5C79"/>
    <w:rsid w:val="007015BE"/>
    <w:rsid w:val="00703459"/>
    <w:rsid w:val="007039EB"/>
    <w:rsid w:val="00716C9C"/>
    <w:rsid w:val="00721E7A"/>
    <w:rsid w:val="007333E4"/>
    <w:rsid w:val="0073466F"/>
    <w:rsid w:val="00743437"/>
    <w:rsid w:val="00747226"/>
    <w:rsid w:val="00747D63"/>
    <w:rsid w:val="007525E6"/>
    <w:rsid w:val="00756836"/>
    <w:rsid w:val="00756EF7"/>
    <w:rsid w:val="00761FA3"/>
    <w:rsid w:val="00767B99"/>
    <w:rsid w:val="00776295"/>
    <w:rsid w:val="0078680E"/>
    <w:rsid w:val="0079308C"/>
    <w:rsid w:val="00797053"/>
    <w:rsid w:val="007A2C20"/>
    <w:rsid w:val="007A2F8D"/>
    <w:rsid w:val="007A3942"/>
    <w:rsid w:val="007A4CEB"/>
    <w:rsid w:val="007A56FB"/>
    <w:rsid w:val="007A6AB9"/>
    <w:rsid w:val="007A703C"/>
    <w:rsid w:val="007D0860"/>
    <w:rsid w:val="007D1085"/>
    <w:rsid w:val="007D49ED"/>
    <w:rsid w:val="007D79C4"/>
    <w:rsid w:val="007F2776"/>
    <w:rsid w:val="007F5A80"/>
    <w:rsid w:val="007F76B7"/>
    <w:rsid w:val="0080016C"/>
    <w:rsid w:val="0080432B"/>
    <w:rsid w:val="0081160F"/>
    <w:rsid w:val="00812579"/>
    <w:rsid w:val="00813FDD"/>
    <w:rsid w:val="00816AA0"/>
    <w:rsid w:val="008246C7"/>
    <w:rsid w:val="00824D10"/>
    <w:rsid w:val="00834811"/>
    <w:rsid w:val="0083681D"/>
    <w:rsid w:val="00850521"/>
    <w:rsid w:val="0085244E"/>
    <w:rsid w:val="00854C79"/>
    <w:rsid w:val="00855246"/>
    <w:rsid w:val="00857AF2"/>
    <w:rsid w:val="00857D13"/>
    <w:rsid w:val="00864066"/>
    <w:rsid w:val="00870582"/>
    <w:rsid w:val="008875AD"/>
    <w:rsid w:val="008877CF"/>
    <w:rsid w:val="00890C0E"/>
    <w:rsid w:val="00891257"/>
    <w:rsid w:val="0089223A"/>
    <w:rsid w:val="00893011"/>
    <w:rsid w:val="0089560C"/>
    <w:rsid w:val="008A1C28"/>
    <w:rsid w:val="008A7289"/>
    <w:rsid w:val="008C5848"/>
    <w:rsid w:val="008C5DE7"/>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446D"/>
    <w:rsid w:val="00924D4C"/>
    <w:rsid w:val="00925D95"/>
    <w:rsid w:val="0093064C"/>
    <w:rsid w:val="009331B2"/>
    <w:rsid w:val="00934454"/>
    <w:rsid w:val="00934919"/>
    <w:rsid w:val="0094328F"/>
    <w:rsid w:val="00944F42"/>
    <w:rsid w:val="00946787"/>
    <w:rsid w:val="009510E4"/>
    <w:rsid w:val="00952F29"/>
    <w:rsid w:val="0095396C"/>
    <w:rsid w:val="00955587"/>
    <w:rsid w:val="00960D9E"/>
    <w:rsid w:val="0096376B"/>
    <w:rsid w:val="0096381D"/>
    <w:rsid w:val="00971FA7"/>
    <w:rsid w:val="009727D6"/>
    <w:rsid w:val="00974382"/>
    <w:rsid w:val="00974B6C"/>
    <w:rsid w:val="00977019"/>
    <w:rsid w:val="00977956"/>
    <w:rsid w:val="009827DB"/>
    <w:rsid w:val="00983558"/>
    <w:rsid w:val="0098487D"/>
    <w:rsid w:val="00986C24"/>
    <w:rsid w:val="00987128"/>
    <w:rsid w:val="00990069"/>
    <w:rsid w:val="0099141A"/>
    <w:rsid w:val="00997659"/>
    <w:rsid w:val="009A1A10"/>
    <w:rsid w:val="009A2B89"/>
    <w:rsid w:val="009A325F"/>
    <w:rsid w:val="009B21F3"/>
    <w:rsid w:val="009C34A6"/>
    <w:rsid w:val="009C3964"/>
    <w:rsid w:val="009C64D5"/>
    <w:rsid w:val="009C7155"/>
    <w:rsid w:val="009D28E8"/>
    <w:rsid w:val="009D3C59"/>
    <w:rsid w:val="009D5234"/>
    <w:rsid w:val="009E2C50"/>
    <w:rsid w:val="009E48D1"/>
    <w:rsid w:val="009E7120"/>
    <w:rsid w:val="009E76E0"/>
    <w:rsid w:val="009F106E"/>
    <w:rsid w:val="009F147B"/>
    <w:rsid w:val="009F2FB2"/>
    <w:rsid w:val="009F34F9"/>
    <w:rsid w:val="009F3CD7"/>
    <w:rsid w:val="009F495B"/>
    <w:rsid w:val="009F60DF"/>
    <w:rsid w:val="00A00E16"/>
    <w:rsid w:val="00A07375"/>
    <w:rsid w:val="00A23014"/>
    <w:rsid w:val="00A238E8"/>
    <w:rsid w:val="00A34E93"/>
    <w:rsid w:val="00A34F87"/>
    <w:rsid w:val="00A36E3E"/>
    <w:rsid w:val="00A44140"/>
    <w:rsid w:val="00A51C33"/>
    <w:rsid w:val="00A62C68"/>
    <w:rsid w:val="00A75F2A"/>
    <w:rsid w:val="00A7767F"/>
    <w:rsid w:val="00A866B1"/>
    <w:rsid w:val="00A87E4E"/>
    <w:rsid w:val="00A93496"/>
    <w:rsid w:val="00AA054A"/>
    <w:rsid w:val="00AA2DB4"/>
    <w:rsid w:val="00AA77AA"/>
    <w:rsid w:val="00AB5625"/>
    <w:rsid w:val="00AB5FFA"/>
    <w:rsid w:val="00AD29EE"/>
    <w:rsid w:val="00AE0E89"/>
    <w:rsid w:val="00AE6B64"/>
    <w:rsid w:val="00AF3702"/>
    <w:rsid w:val="00AF6D9B"/>
    <w:rsid w:val="00B00BA2"/>
    <w:rsid w:val="00B02888"/>
    <w:rsid w:val="00B1162A"/>
    <w:rsid w:val="00B140AC"/>
    <w:rsid w:val="00B173F9"/>
    <w:rsid w:val="00B211F5"/>
    <w:rsid w:val="00B26BC0"/>
    <w:rsid w:val="00B32818"/>
    <w:rsid w:val="00B34E46"/>
    <w:rsid w:val="00B37609"/>
    <w:rsid w:val="00B4473D"/>
    <w:rsid w:val="00B448FF"/>
    <w:rsid w:val="00B53534"/>
    <w:rsid w:val="00B57456"/>
    <w:rsid w:val="00B6423F"/>
    <w:rsid w:val="00B7076B"/>
    <w:rsid w:val="00B71E59"/>
    <w:rsid w:val="00B73F57"/>
    <w:rsid w:val="00B802D9"/>
    <w:rsid w:val="00B8340C"/>
    <w:rsid w:val="00B87200"/>
    <w:rsid w:val="00B917CE"/>
    <w:rsid w:val="00BA2628"/>
    <w:rsid w:val="00BA47E9"/>
    <w:rsid w:val="00BA5689"/>
    <w:rsid w:val="00BA59D4"/>
    <w:rsid w:val="00BB4167"/>
    <w:rsid w:val="00BB50BD"/>
    <w:rsid w:val="00BC10C0"/>
    <w:rsid w:val="00BD117A"/>
    <w:rsid w:val="00BE0C8B"/>
    <w:rsid w:val="00BE22FC"/>
    <w:rsid w:val="00BE2DE1"/>
    <w:rsid w:val="00BE36F4"/>
    <w:rsid w:val="00BE5563"/>
    <w:rsid w:val="00BE765E"/>
    <w:rsid w:val="00BF1406"/>
    <w:rsid w:val="00BF174A"/>
    <w:rsid w:val="00BF634E"/>
    <w:rsid w:val="00C013FB"/>
    <w:rsid w:val="00C035A7"/>
    <w:rsid w:val="00C047D6"/>
    <w:rsid w:val="00C068F7"/>
    <w:rsid w:val="00C06D95"/>
    <w:rsid w:val="00C10A49"/>
    <w:rsid w:val="00C15C81"/>
    <w:rsid w:val="00C2040F"/>
    <w:rsid w:val="00C3123A"/>
    <w:rsid w:val="00C31FE5"/>
    <w:rsid w:val="00C3262E"/>
    <w:rsid w:val="00C54C9D"/>
    <w:rsid w:val="00C64E95"/>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1121"/>
    <w:rsid w:val="00CF42CA"/>
    <w:rsid w:val="00CF5D14"/>
    <w:rsid w:val="00D03A33"/>
    <w:rsid w:val="00D04CA9"/>
    <w:rsid w:val="00D06F14"/>
    <w:rsid w:val="00D13A1C"/>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763A0"/>
    <w:rsid w:val="00D80BC7"/>
    <w:rsid w:val="00D83656"/>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1964"/>
    <w:rsid w:val="00DD3EC9"/>
    <w:rsid w:val="00DD72FD"/>
    <w:rsid w:val="00DE4EDB"/>
    <w:rsid w:val="00DE5F0F"/>
    <w:rsid w:val="00DF53DC"/>
    <w:rsid w:val="00DF546B"/>
    <w:rsid w:val="00E02748"/>
    <w:rsid w:val="00E02EB3"/>
    <w:rsid w:val="00E237BF"/>
    <w:rsid w:val="00E26932"/>
    <w:rsid w:val="00E40774"/>
    <w:rsid w:val="00E41DC1"/>
    <w:rsid w:val="00E44E88"/>
    <w:rsid w:val="00E45F49"/>
    <w:rsid w:val="00E57F18"/>
    <w:rsid w:val="00E6086E"/>
    <w:rsid w:val="00E67648"/>
    <w:rsid w:val="00E70B23"/>
    <w:rsid w:val="00E72BD0"/>
    <w:rsid w:val="00E768F3"/>
    <w:rsid w:val="00E83C66"/>
    <w:rsid w:val="00E933BF"/>
    <w:rsid w:val="00E95339"/>
    <w:rsid w:val="00EA5CA5"/>
    <w:rsid w:val="00EA6E66"/>
    <w:rsid w:val="00EA78BB"/>
    <w:rsid w:val="00EB33A1"/>
    <w:rsid w:val="00EB6ECF"/>
    <w:rsid w:val="00EC0326"/>
    <w:rsid w:val="00EC3273"/>
    <w:rsid w:val="00EC32AE"/>
    <w:rsid w:val="00EC60A1"/>
    <w:rsid w:val="00EC6389"/>
    <w:rsid w:val="00EC702D"/>
    <w:rsid w:val="00ED2366"/>
    <w:rsid w:val="00ED68A3"/>
    <w:rsid w:val="00ED7060"/>
    <w:rsid w:val="00ED7968"/>
    <w:rsid w:val="00ED7C8A"/>
    <w:rsid w:val="00EE22F5"/>
    <w:rsid w:val="00EE3527"/>
    <w:rsid w:val="00EE3DFC"/>
    <w:rsid w:val="00EE51EC"/>
    <w:rsid w:val="00EE6A28"/>
    <w:rsid w:val="00EF0329"/>
    <w:rsid w:val="00EF0D5B"/>
    <w:rsid w:val="00EF1CF5"/>
    <w:rsid w:val="00EF31C2"/>
    <w:rsid w:val="00EF4A47"/>
    <w:rsid w:val="00EF71D5"/>
    <w:rsid w:val="00F02A8A"/>
    <w:rsid w:val="00F10F0C"/>
    <w:rsid w:val="00F12BB5"/>
    <w:rsid w:val="00F132AA"/>
    <w:rsid w:val="00F24018"/>
    <w:rsid w:val="00F2717B"/>
    <w:rsid w:val="00F321FC"/>
    <w:rsid w:val="00F34C5E"/>
    <w:rsid w:val="00F37647"/>
    <w:rsid w:val="00F4137E"/>
    <w:rsid w:val="00F42B3C"/>
    <w:rsid w:val="00F43222"/>
    <w:rsid w:val="00F465B4"/>
    <w:rsid w:val="00F54268"/>
    <w:rsid w:val="00F556DE"/>
    <w:rsid w:val="00F57B58"/>
    <w:rsid w:val="00F66DA7"/>
    <w:rsid w:val="00F70696"/>
    <w:rsid w:val="00F71253"/>
    <w:rsid w:val="00F7127C"/>
    <w:rsid w:val="00F863CC"/>
    <w:rsid w:val="00F9771E"/>
    <w:rsid w:val="00FA1C34"/>
    <w:rsid w:val="00FA30F5"/>
    <w:rsid w:val="00FA5C0B"/>
    <w:rsid w:val="00FB404F"/>
    <w:rsid w:val="00FB49CB"/>
    <w:rsid w:val="00FD1A3A"/>
    <w:rsid w:val="00FD6D26"/>
    <w:rsid w:val="00FE3EEF"/>
    <w:rsid w:val="00FE6F5A"/>
    <w:rsid w:val="00FE7024"/>
    <w:rsid w:val="00FF2DA0"/>
    <w:rsid w:val="00FF2F68"/>
    <w:rsid w:val="00FF4964"/>
    <w:rsid w:val="00FF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2"/>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ascii="Arial" w:eastAsiaTheme="majorEastAsia" w:hAnsi="Arial"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customStyle="1" w:styleId="UnresolvedMention2">
    <w:name w:val="Unresolved Mention2"/>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 w:type="paragraph" w:customStyle="1" w:styleId="paragraph">
    <w:name w:val="paragraph"/>
    <w:basedOn w:val="Normal"/>
    <w:rsid w:val="00F9771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9771E"/>
  </w:style>
  <w:style w:type="character" w:customStyle="1" w:styleId="eop">
    <w:name w:val="eop"/>
    <w:basedOn w:val="DefaultParagraphFont"/>
    <w:rsid w:val="00F9771E"/>
  </w:style>
  <w:style w:type="character" w:styleId="UnresolvedMention">
    <w:name w:val="Unresolved Mention"/>
    <w:basedOn w:val="DefaultParagraphFont"/>
    <w:uiPriority w:val="99"/>
    <w:semiHidden/>
    <w:unhideWhenUsed/>
    <w:rsid w:val="00E44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101847280">
      <w:bodyDiv w:val="1"/>
      <w:marLeft w:val="0"/>
      <w:marRight w:val="0"/>
      <w:marTop w:val="0"/>
      <w:marBottom w:val="0"/>
      <w:divBdr>
        <w:top w:val="none" w:sz="0" w:space="0" w:color="auto"/>
        <w:left w:val="none" w:sz="0" w:space="0" w:color="auto"/>
        <w:bottom w:val="none" w:sz="0" w:space="0" w:color="auto"/>
        <w:right w:val="none" w:sz="0" w:space="0" w:color="auto"/>
      </w:divBdr>
    </w:div>
    <w:div w:id="143864288">
      <w:bodyDiv w:val="1"/>
      <w:marLeft w:val="0"/>
      <w:marRight w:val="0"/>
      <w:marTop w:val="0"/>
      <w:marBottom w:val="0"/>
      <w:divBdr>
        <w:top w:val="none" w:sz="0" w:space="0" w:color="auto"/>
        <w:left w:val="none" w:sz="0" w:space="0" w:color="auto"/>
        <w:bottom w:val="none" w:sz="0" w:space="0" w:color="auto"/>
        <w:right w:val="none" w:sz="0" w:space="0" w:color="auto"/>
      </w:divBdr>
    </w:div>
    <w:div w:id="155390604">
      <w:bodyDiv w:val="1"/>
      <w:marLeft w:val="0"/>
      <w:marRight w:val="0"/>
      <w:marTop w:val="0"/>
      <w:marBottom w:val="0"/>
      <w:divBdr>
        <w:top w:val="none" w:sz="0" w:space="0" w:color="auto"/>
        <w:left w:val="none" w:sz="0" w:space="0" w:color="auto"/>
        <w:bottom w:val="none" w:sz="0" w:space="0" w:color="auto"/>
        <w:right w:val="none" w:sz="0" w:space="0" w:color="auto"/>
      </w:divBdr>
    </w:div>
    <w:div w:id="229073433">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36415519">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502820144">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638148648">
      <w:bodyDiv w:val="1"/>
      <w:marLeft w:val="0"/>
      <w:marRight w:val="0"/>
      <w:marTop w:val="0"/>
      <w:marBottom w:val="0"/>
      <w:divBdr>
        <w:top w:val="none" w:sz="0" w:space="0" w:color="auto"/>
        <w:left w:val="none" w:sz="0" w:space="0" w:color="auto"/>
        <w:bottom w:val="none" w:sz="0" w:space="0" w:color="auto"/>
        <w:right w:val="none" w:sz="0" w:space="0" w:color="auto"/>
      </w:divBdr>
    </w:div>
    <w:div w:id="670716491">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19827996">
      <w:bodyDiv w:val="1"/>
      <w:marLeft w:val="0"/>
      <w:marRight w:val="0"/>
      <w:marTop w:val="0"/>
      <w:marBottom w:val="0"/>
      <w:divBdr>
        <w:top w:val="none" w:sz="0" w:space="0" w:color="auto"/>
        <w:left w:val="none" w:sz="0" w:space="0" w:color="auto"/>
        <w:bottom w:val="none" w:sz="0" w:space="0" w:color="auto"/>
        <w:right w:val="none" w:sz="0" w:space="0" w:color="auto"/>
      </w:divBdr>
    </w:div>
    <w:div w:id="954486728">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083529516">
      <w:bodyDiv w:val="1"/>
      <w:marLeft w:val="0"/>
      <w:marRight w:val="0"/>
      <w:marTop w:val="0"/>
      <w:marBottom w:val="0"/>
      <w:divBdr>
        <w:top w:val="none" w:sz="0" w:space="0" w:color="auto"/>
        <w:left w:val="none" w:sz="0" w:space="0" w:color="auto"/>
        <w:bottom w:val="none" w:sz="0" w:space="0" w:color="auto"/>
        <w:right w:val="none" w:sz="0" w:space="0" w:color="auto"/>
      </w:divBdr>
    </w:div>
    <w:div w:id="1093428347">
      <w:bodyDiv w:val="1"/>
      <w:marLeft w:val="0"/>
      <w:marRight w:val="0"/>
      <w:marTop w:val="0"/>
      <w:marBottom w:val="0"/>
      <w:divBdr>
        <w:top w:val="none" w:sz="0" w:space="0" w:color="auto"/>
        <w:left w:val="none" w:sz="0" w:space="0" w:color="auto"/>
        <w:bottom w:val="none" w:sz="0" w:space="0" w:color="auto"/>
        <w:right w:val="none" w:sz="0" w:space="0" w:color="auto"/>
      </w:divBdr>
    </w:div>
    <w:div w:id="1158888510">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295525930">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344087378">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34608150">
      <w:bodyDiv w:val="1"/>
      <w:marLeft w:val="0"/>
      <w:marRight w:val="0"/>
      <w:marTop w:val="0"/>
      <w:marBottom w:val="0"/>
      <w:divBdr>
        <w:top w:val="none" w:sz="0" w:space="0" w:color="auto"/>
        <w:left w:val="none" w:sz="0" w:space="0" w:color="auto"/>
        <w:bottom w:val="none" w:sz="0" w:space="0" w:color="auto"/>
        <w:right w:val="none" w:sz="0" w:space="0" w:color="auto"/>
      </w:divBdr>
    </w:div>
    <w:div w:id="1553300805">
      <w:bodyDiv w:val="1"/>
      <w:marLeft w:val="0"/>
      <w:marRight w:val="0"/>
      <w:marTop w:val="0"/>
      <w:marBottom w:val="0"/>
      <w:divBdr>
        <w:top w:val="none" w:sz="0" w:space="0" w:color="auto"/>
        <w:left w:val="none" w:sz="0" w:space="0" w:color="auto"/>
        <w:bottom w:val="none" w:sz="0" w:space="0" w:color="auto"/>
        <w:right w:val="none" w:sz="0" w:space="0" w:color="auto"/>
      </w:divBdr>
    </w:div>
    <w:div w:id="1575507672">
      <w:bodyDiv w:val="1"/>
      <w:marLeft w:val="0"/>
      <w:marRight w:val="0"/>
      <w:marTop w:val="0"/>
      <w:marBottom w:val="0"/>
      <w:divBdr>
        <w:top w:val="none" w:sz="0" w:space="0" w:color="auto"/>
        <w:left w:val="none" w:sz="0" w:space="0" w:color="auto"/>
        <w:bottom w:val="none" w:sz="0" w:space="0" w:color="auto"/>
        <w:right w:val="none" w:sz="0" w:space="0" w:color="auto"/>
      </w:divBdr>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683239620">
      <w:bodyDiv w:val="1"/>
      <w:marLeft w:val="0"/>
      <w:marRight w:val="0"/>
      <w:marTop w:val="0"/>
      <w:marBottom w:val="0"/>
      <w:divBdr>
        <w:top w:val="none" w:sz="0" w:space="0" w:color="auto"/>
        <w:left w:val="none" w:sz="0" w:space="0" w:color="auto"/>
        <w:bottom w:val="none" w:sz="0" w:space="0" w:color="auto"/>
        <w:right w:val="none" w:sz="0" w:space="0" w:color="auto"/>
      </w:divBdr>
    </w:div>
    <w:div w:id="1726833147">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1966813309">
      <w:bodyDiv w:val="1"/>
      <w:marLeft w:val="0"/>
      <w:marRight w:val="0"/>
      <w:marTop w:val="0"/>
      <w:marBottom w:val="0"/>
      <w:divBdr>
        <w:top w:val="none" w:sz="0" w:space="0" w:color="auto"/>
        <w:left w:val="none" w:sz="0" w:space="0" w:color="auto"/>
        <w:bottom w:val="none" w:sz="0" w:space="0" w:color="auto"/>
        <w:right w:val="none" w:sz="0" w:space="0" w:color="auto"/>
      </w:divBdr>
    </w:div>
    <w:div w:id="201282914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bnf.nice.org.uk/drugs/mycophenolate-mofetil/" TargetMode="External"/><Relationship Id="rId21" Type="http://schemas.openxmlformats.org/officeDocument/2006/relationships/hyperlink" Target="https://www.gov.uk/government/publications/covid-19-the-green-book-chapter-14a" TargetMode="External"/><Relationship Id="rId42" Type="http://schemas.openxmlformats.org/officeDocument/2006/relationships/hyperlink" Target="https://uktis.org/monographs/use-of-mycophenolate-mofetil-in-pregnancy/" TargetMode="External"/><Relationship Id="rId47" Type="http://schemas.openxmlformats.org/officeDocument/2006/relationships/hyperlink" Target="https://www.medicines.org.uk/emc/product/1103" TargetMode="External"/><Relationship Id="rId63" Type="http://schemas.openxmlformats.org/officeDocument/2006/relationships/hyperlink" Target="https://www.england.nhs.uk/publication/responsibility-for-prescribing-between-primary-and-secondary-tertiary-care/" TargetMode="Externa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hyperlink" Target="http://www.mhra.gov.uk/yellowcard" TargetMode="External"/><Relationship Id="rId11" Type="http://schemas.openxmlformats.org/officeDocument/2006/relationships/endnotes" Target="endnotes.xml"/><Relationship Id="rId24" Type="http://schemas.openxmlformats.org/officeDocument/2006/relationships/hyperlink" Target="https://www.gov.uk/drug-safety-update/mycophenolate-mofetil-pure-red-cell-aplasia" TargetMode="External"/><Relationship Id="rId32" Type="http://schemas.openxmlformats.org/officeDocument/2006/relationships/hyperlink" Target="https://www.gov.uk/government/publications/varicella-the-green-book-chapter-34" TargetMode="External"/><Relationship Id="rId37" Type="http://schemas.openxmlformats.org/officeDocument/2006/relationships/hyperlink" Target="https://www.medicines.org.uk/emc/search?q=mycophenolate" TargetMode="External"/><Relationship Id="rId40" Type="http://schemas.openxmlformats.org/officeDocument/2006/relationships/hyperlink" Target="https://www.gov.uk/drug-safety-update/medicines-with-teratogenic-potential-what-is-effective-contraception-and-how-often-is-pregnancy-testing-needed" TargetMode="External"/><Relationship Id="rId45" Type="http://schemas.openxmlformats.org/officeDocument/2006/relationships/hyperlink" Target="https://www.gov.uk/drug-safety-update/mycophenolate-mofetil-mycophenolic-acid-updated-contraception-advice-for-male-patients" TargetMode="External"/><Relationship Id="rId53" Type="http://schemas.openxmlformats.org/officeDocument/2006/relationships/hyperlink" Target="https://www.medicines.org.uk/emc/product/7793/smpc" TargetMode="External"/><Relationship Id="rId58" Type="http://schemas.openxmlformats.org/officeDocument/2006/relationships/hyperlink" Target="https://www.gov.uk/drug-safety-update/mycophenolate-mofetil-mycophenolic-acid-new-pregnancy-prevention-advice-for-women-and-men" TargetMode="Externa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hyperlink" Target="https://www.gov.uk/drug-safety-update/mycophenolate-mofetil-cellcept-and-mycophenolic-acid-risk-of-hypogammaglobulinaemia-and-risk-of-bronchiectasis" TargetMode="External"/><Relationship Id="rId19" Type="http://schemas.openxmlformats.org/officeDocument/2006/relationships/hyperlink" Target="https://www.gov.uk/government/publications/shingles-herpes-zoster-the-green-book-chapter-28a" TargetMode="External"/><Relationship Id="rId14" Type="http://schemas.microsoft.com/office/2011/relationships/commentsExtended" Target="commentsExtended.xml"/><Relationship Id="rId22" Type="http://schemas.openxmlformats.org/officeDocument/2006/relationships/hyperlink" Target="https://www.gov.uk/government/publications/contraindications-and-special-considerations-the-green-book-chapter-6" TargetMode="External"/><Relationship Id="rId27" Type="http://schemas.openxmlformats.org/officeDocument/2006/relationships/hyperlink" Target="https://www.medicines.org.uk/emc/search?q=mycophenolate+or+mycophenolic" TargetMode="External"/><Relationship Id="rId30" Type="http://schemas.openxmlformats.org/officeDocument/2006/relationships/hyperlink" Target="https://www.gov.uk/government/publications/varicella-the-green-book-chapter-34" TargetMode="External"/><Relationship Id="rId35" Type="http://schemas.openxmlformats.org/officeDocument/2006/relationships/hyperlink" Target="https://www.versusarthritis.org/about-arthritis/treatments/drugs/mycophenolate/" TargetMode="External"/><Relationship Id="rId43" Type="http://schemas.openxmlformats.org/officeDocument/2006/relationships/hyperlink" Target="https://www.medicinesinpregnancy.org/Medicine--pregnancy/Mycophenolate/" TargetMode="External"/><Relationship Id="rId48" Type="http://schemas.openxmlformats.org/officeDocument/2006/relationships/hyperlink" Target="https://www.medicines.org.uk/emc/files/pil.1103.pdf" TargetMode="External"/><Relationship Id="rId56" Type="http://schemas.openxmlformats.org/officeDocument/2006/relationships/hyperlink" Target="https://renaldrugdatabase.com/" TargetMode="External"/><Relationship Id="rId64" Type="http://schemas.openxmlformats.org/officeDocument/2006/relationships/hyperlink" Target="https://www.gmc-uk.org/ethical-guidance/ethical-guidance-for-doctors/good-practice-in-prescribing-and-managing-medicines-and-devices/shared-care" TargetMode="External"/><Relationship Id="rId69" Type="http://schemas.microsoft.com/office/2011/relationships/people" Target="people.xml"/><Relationship Id="rId8" Type="http://schemas.openxmlformats.org/officeDocument/2006/relationships/settings" Target="settings.xml"/><Relationship Id="rId51" Type="http://schemas.openxmlformats.org/officeDocument/2006/relationships/hyperlink" Target="https://www.medicines.org.uk/emc/product/9294" TargetMode="External"/><Relationship Id="rId3" Type="http://schemas.openxmlformats.org/officeDocument/2006/relationships/customXml" Target="../customXml/item3.xml"/><Relationship Id="rId12" Type="http://schemas.openxmlformats.org/officeDocument/2006/relationships/hyperlink" Target="https://rdtc.nhs.uk/prescribing-support-document/shared-care-protocol-mmf-mpa-in-adults-non-transplant/" TargetMode="External"/><Relationship Id="rId17" Type="http://schemas.openxmlformats.org/officeDocument/2006/relationships/hyperlink" Target="https://www.gov.uk/drug-safety-update/medicines-with-teratogenic-potential-what-is-effective-contraception-and-how-often-is-pregnancy-testing-needed" TargetMode="External"/><Relationship Id="rId25" Type="http://schemas.openxmlformats.org/officeDocument/2006/relationships/hyperlink" Target="https://www.gov.uk/drug-safety-update/mycophenolate-mofetil-cellcept-and-mycophenolic-acid-risk-of-hypogammaglobulinaemia-and-risk-of-bronchiectasis" TargetMode="External"/><Relationship Id="rId33" Type="http://schemas.openxmlformats.org/officeDocument/2006/relationships/hyperlink" Target="https://assets.publishing.service.gov.uk/government/uploads/system/uploads/attachment_data/file/1073013/UKHSA_guidelines_on_VZ_post_exposure_prophylaxis.pdf" TargetMode="External"/><Relationship Id="rId38" Type="http://schemas.openxmlformats.org/officeDocument/2006/relationships/hyperlink" Target="https://www.gov.uk/drug-safety-update/mycophenolate-mofetil-mycophenolic-acid-new-pregnancy-prevention-advice-for-women-and-men" TargetMode="External"/><Relationship Id="rId46" Type="http://schemas.openxmlformats.org/officeDocument/2006/relationships/hyperlink" Target="https://www.medicines.org.uk/emc/product/1102" TargetMode="External"/><Relationship Id="rId59" Type="http://schemas.openxmlformats.org/officeDocument/2006/relationships/hyperlink" Target="https://www.gov.uk/drug-safety-update/mycophenolate-mofetil-mycophenolic-acid-updated-contraception-advice-for-male-patients" TargetMode="External"/><Relationship Id="rId67" Type="http://schemas.openxmlformats.org/officeDocument/2006/relationships/header" Target="header1.xml"/><Relationship Id="rId20" Type="http://schemas.openxmlformats.org/officeDocument/2006/relationships/hyperlink" Target="https://www.gov.uk/government/publications/influenza-the-green-book-chapter-19" TargetMode="External"/><Relationship Id="rId41" Type="http://schemas.openxmlformats.org/officeDocument/2006/relationships/hyperlink" Target="https://www.fsrh.org/standards-and-guidance/documents/fsrh-ceu-statement-contraception-for-women-using-known/" TargetMode="External"/><Relationship Id="rId54" Type="http://schemas.openxmlformats.org/officeDocument/2006/relationships/hyperlink" Target="https://academic.oup.com/rheumatology/article/56/6/865/3053478" TargetMode="External"/><Relationship Id="rId62" Type="http://schemas.openxmlformats.org/officeDocument/2006/relationships/hyperlink" Target="https://www.sps.nhs.uk/articles/rmoc-shared-care-guidance/"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gov.uk/drug-safety-update/mycophenolate-mofetil-mycophenolic-acid-updated-contraception-advice-for-male-patients" TargetMode="External"/><Relationship Id="rId28" Type="http://schemas.openxmlformats.org/officeDocument/2006/relationships/hyperlink" Target="https://www.gov.uk/government/collections/immunisation-against-infectious-disease-the-green-book" TargetMode="External"/><Relationship Id="rId36" Type="http://schemas.openxmlformats.org/officeDocument/2006/relationships/hyperlink" Target="https://www.bad.org.uk/pils/mycophenolate-mofetil/" TargetMode="External"/><Relationship Id="rId49" Type="http://schemas.openxmlformats.org/officeDocument/2006/relationships/hyperlink" Target="https://www.medicines.org.uk/emc/product/1569" TargetMode="External"/><Relationship Id="rId57" Type="http://schemas.openxmlformats.org/officeDocument/2006/relationships/hyperlink" Target="https://www.gov.uk/government/collections/immunisation-against-infectious-disease-the-green-book" TargetMode="External"/><Relationship Id="rId10" Type="http://schemas.openxmlformats.org/officeDocument/2006/relationships/footnotes" Target="footnotes.xml"/><Relationship Id="rId31" Type="http://schemas.openxmlformats.org/officeDocument/2006/relationships/hyperlink" Target="https://www.gov.uk/government/publications/varicella-zoster-immunoglobulin" TargetMode="External"/><Relationship Id="rId44" Type="http://schemas.openxmlformats.org/officeDocument/2006/relationships/hyperlink" Target="https://www.sps.nhs.uk/medicines/mycophenolate-mofetil/" TargetMode="External"/><Relationship Id="rId52" Type="http://schemas.openxmlformats.org/officeDocument/2006/relationships/hyperlink" Target="https://www.medicines.org.uk/emc/product/8508/smpc" TargetMode="External"/><Relationship Id="rId60" Type="http://schemas.openxmlformats.org/officeDocument/2006/relationships/hyperlink" Target="https://www.gov.uk/drug-safety-update/mycophenolate-mofetil-pure-red-cell-aplasia" TargetMode="External"/><Relationship Id="rId65" Type="http://schemas.openxmlformats.org/officeDocument/2006/relationships/hyperlink" Target="https://www.nice.org.uk/guidance/ng197/"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gov.uk/government/publications/contraindications-and-special-considerations-the-green-book-chapter-6" TargetMode="External"/><Relationship Id="rId39" Type="http://schemas.openxmlformats.org/officeDocument/2006/relationships/hyperlink" Target="https://assets.publishing.service.gov.uk/media/566aefec40f0b6036600002d/Cellcept_II-121_DHPC_UK__1__LETTER_PROOF__3_.pdf" TargetMode="External"/><Relationship Id="rId34" Type="http://schemas.openxmlformats.org/officeDocument/2006/relationships/hyperlink" Target="https://patient.info/medicine/mycophenolate-mofetil-cellcept-myfenax" TargetMode="External"/><Relationship Id="rId50" Type="http://schemas.openxmlformats.org/officeDocument/2006/relationships/hyperlink" Target="https://www.medicines.org.uk/emc/product/9293" TargetMode="External"/><Relationship Id="rId55" Type="http://schemas.openxmlformats.org/officeDocument/2006/relationships/hyperlink" Target="https://academic.oup.com/rheumatology/article/62/4/e48/6783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9107A-A567-4E78-9292-8FDBF25C34F5}">
  <ds:schemaRefs>
    <ds:schemaRef ds:uri="http://schemas.microsoft.com/sharepoint/events"/>
  </ds:schemaRefs>
</ds:datastoreItem>
</file>

<file path=customXml/itemProps2.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customXml/itemProps4.xml><?xml version="1.0" encoding="utf-8"?>
<ds:datastoreItem xmlns:ds="http://schemas.openxmlformats.org/officeDocument/2006/customXml" ds:itemID="{F2CBB6A8-91F8-43CB-AF1A-ECA411F237CD}">
  <ds:schemaRefs>
    <ds:schemaRef ds:uri="http://schemas.openxmlformats.org/officeDocument/2006/bibliography"/>
  </ds:schemaRefs>
</ds:datastoreItem>
</file>

<file path=customXml/itemProps5.xml><?xml version="1.0" encoding="utf-8"?>
<ds:datastoreItem xmlns:ds="http://schemas.openxmlformats.org/officeDocument/2006/customXml" ds:itemID="{C66AB882-76C8-4C3A-80F2-A88BAF809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4910</Words>
  <Characters>27989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RLBUHT</Company>
  <LinksUpToDate>false</LinksUpToDate>
  <CharactersWithSpaces>32834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nuth.rdtc@nhs.net</dc:creator>
  <cp:lastModifiedBy>STANIFORTH, Rachel (NHS NORTH OF ENGLAND COMMISSIONING SUPPORT UNIT)</cp:lastModifiedBy>
  <cp:revision>3</cp:revision>
  <cp:lastPrinted>2022-03-11T14:19:00Z</cp:lastPrinted>
  <dcterms:created xsi:type="dcterms:W3CDTF">2025-01-10T09:17:00Z</dcterms:created>
  <dcterms:modified xsi:type="dcterms:W3CDTF">2025-01-15T12:43:00Z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