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EB5B4" w14:textId="14FA8C2B" w:rsidR="00560ADF" w:rsidRDefault="000C65D2" w:rsidP="007909C3">
      <w:pPr>
        <w:pStyle w:val="BodyText"/>
      </w:pPr>
      <w:r w:rsidRPr="00F661F8">
        <w:rPr>
          <w:noProof/>
          <w:szCs w:val="21"/>
          <w:lang w:eastAsia="en-GB"/>
        </w:rPr>
        <w:drawing>
          <wp:anchor distT="0" distB="0" distL="114300" distR="114300" simplePos="0" relativeHeight="251659264" behindDoc="1" locked="0" layoutInCell="1" allowOverlap="1" wp14:anchorId="2CFE8275" wp14:editId="754724B8">
            <wp:simplePos x="0" y="0"/>
            <wp:positionH relativeFrom="column">
              <wp:posOffset>8621395</wp:posOffset>
            </wp:positionH>
            <wp:positionV relativeFrom="paragraph">
              <wp:posOffset>0</wp:posOffset>
            </wp:positionV>
            <wp:extent cx="1478915" cy="899795"/>
            <wp:effectExtent l="0" t="0" r="6985" b="0"/>
            <wp:wrapTight wrapText="bothSides">
              <wp:wrapPolygon edited="0">
                <wp:start x="0" y="0"/>
                <wp:lineTo x="0" y="21036"/>
                <wp:lineTo x="21424" y="21036"/>
                <wp:lineTo x="21424" y="0"/>
                <wp:lineTo x="0" y="0"/>
              </wp:wrapPolygon>
            </wp:wrapTight>
            <wp:docPr id="1452943872" name="Picture 1452943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915" cy="899795"/>
                    </a:xfrm>
                    <a:prstGeom prst="rect">
                      <a:avLst/>
                    </a:prstGeom>
                  </pic:spPr>
                </pic:pic>
              </a:graphicData>
            </a:graphic>
            <wp14:sizeRelH relativeFrom="margin">
              <wp14:pctWidth>0</wp14:pctWidth>
            </wp14:sizeRelH>
            <wp14:sizeRelV relativeFrom="margin">
              <wp14:pctHeight>0</wp14:pctHeight>
            </wp14:sizeRelV>
          </wp:anchor>
        </w:drawing>
      </w:r>
      <w:r w:rsidR="001C7976" w:rsidRPr="00F661F8">
        <w:rPr>
          <w:noProof/>
          <w:szCs w:val="21"/>
          <w:lang w:eastAsia="en-GB"/>
        </w:rPr>
        <w:drawing>
          <wp:anchor distT="0" distB="0" distL="114300" distR="114300" simplePos="0" relativeHeight="251661312" behindDoc="1" locked="0" layoutInCell="1" allowOverlap="1" wp14:anchorId="4B430088" wp14:editId="5306C8A4">
            <wp:simplePos x="0" y="0"/>
            <wp:positionH relativeFrom="column">
              <wp:posOffset>-635</wp:posOffset>
            </wp:positionH>
            <wp:positionV relativeFrom="paragraph">
              <wp:posOffset>71755</wp:posOffset>
            </wp:positionV>
            <wp:extent cx="2209800" cy="466725"/>
            <wp:effectExtent l="0" t="0" r="0" b="9525"/>
            <wp:wrapTight wrapText="bothSides">
              <wp:wrapPolygon edited="0">
                <wp:start x="0" y="0"/>
                <wp:lineTo x="0" y="21159"/>
                <wp:lineTo x="21414" y="21159"/>
                <wp:lineTo x="21414" y="0"/>
                <wp:lineTo x="0" y="0"/>
              </wp:wrapPolygon>
            </wp:wrapTight>
            <wp:docPr id="145314821" name="Picture 145314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6384" t="23001" r="11348" b="28000"/>
                    <a:stretch/>
                  </pic:blipFill>
                  <pic:spPr bwMode="auto">
                    <a:xfrm>
                      <a:off x="0" y="0"/>
                      <a:ext cx="2209800" cy="4667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8969E5" w14:textId="108F8FF2" w:rsidR="001C7976" w:rsidRDefault="001C7976" w:rsidP="001C7976">
      <w:pPr>
        <w:spacing w:before="195" w:after="0"/>
        <w:ind w:right="321"/>
        <w:jc w:val="right"/>
        <w:rPr>
          <w:rFonts w:ascii="Helvetica" w:hAnsi="Helvetica" w:cs="Helvetica"/>
          <w:b/>
          <w:color w:val="404040" w:themeColor="text1" w:themeTint="BF"/>
          <w:sz w:val="40"/>
          <w:szCs w:val="22"/>
        </w:rPr>
      </w:pPr>
      <w:r>
        <w:rPr>
          <w:rFonts w:ascii="Helvetica" w:hAnsi="Helvetica" w:cs="Helvetica"/>
          <w:b/>
          <w:color w:val="404040" w:themeColor="text1" w:themeTint="BF"/>
          <w:sz w:val="40"/>
          <w:szCs w:val="22"/>
        </w:rPr>
        <w:t>SUMMARY OF DECISIONS</w:t>
      </w:r>
    </w:p>
    <w:p w14:paraId="1AD8D030" w14:textId="77777777" w:rsidR="00C966D9" w:rsidRDefault="00C966D9" w:rsidP="007909C3">
      <w:pPr>
        <w:pStyle w:val="BodyText"/>
      </w:pPr>
    </w:p>
    <w:p w14:paraId="12683F88" w14:textId="77777777" w:rsidR="000C65D2" w:rsidRDefault="000C65D2" w:rsidP="007909C3">
      <w:pPr>
        <w:pStyle w:val="Body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AE0F8"/>
        <w:tblLook w:val="01E0" w:firstRow="1" w:lastRow="1" w:firstColumn="1" w:lastColumn="1" w:noHBand="0" w:noVBand="0"/>
      </w:tblPr>
      <w:tblGrid>
        <w:gridCol w:w="8501"/>
        <w:gridCol w:w="7383"/>
      </w:tblGrid>
      <w:tr w:rsidR="000C65D2" w:rsidRPr="000C65D2" w14:paraId="104D1E88" w14:textId="77777777" w:rsidTr="00070934">
        <w:trPr>
          <w:cantSplit/>
          <w:trHeight w:val="567"/>
          <w:tblHeader/>
        </w:trPr>
        <w:tc>
          <w:tcPr>
            <w:tcW w:w="2676" w:type="pct"/>
            <w:tcBorders>
              <w:top w:val="single" w:sz="4" w:space="0" w:color="auto"/>
              <w:left w:val="single" w:sz="4" w:space="0" w:color="auto"/>
              <w:bottom w:val="single" w:sz="4" w:space="0" w:color="auto"/>
              <w:right w:val="single" w:sz="4" w:space="0" w:color="auto"/>
            </w:tcBorders>
            <w:shd w:val="clear" w:color="auto" w:fill="C9ECFB"/>
            <w:vAlign w:val="center"/>
          </w:tcPr>
          <w:p w14:paraId="2806832D" w14:textId="59AA606C" w:rsidR="000C65D2" w:rsidRPr="000C65D2" w:rsidRDefault="000C65D2" w:rsidP="005C0229">
            <w:pPr>
              <w:tabs>
                <w:tab w:val="left" w:pos="720"/>
              </w:tabs>
              <w:autoSpaceDE/>
              <w:rPr>
                <w:rFonts w:ascii="Helvetica" w:eastAsia="Calibri" w:hAnsi="Helvetica" w:cs="Helvetica"/>
                <w:b/>
                <w:sz w:val="24"/>
                <w:szCs w:val="24"/>
                <w:lang w:val="en-US"/>
              </w:rPr>
            </w:pPr>
            <w:r w:rsidRPr="000C65D2">
              <w:rPr>
                <w:rFonts w:ascii="Helvetica" w:eastAsia="Calibri" w:hAnsi="Helvetica" w:cs="Helvetica"/>
                <w:b/>
                <w:sz w:val="24"/>
                <w:szCs w:val="24"/>
                <w:lang w:val="en-US"/>
              </w:rPr>
              <w:t>Recommendations made by HNY APC subgroups</w:t>
            </w:r>
          </w:p>
        </w:tc>
        <w:tc>
          <w:tcPr>
            <w:tcW w:w="2324" w:type="pct"/>
            <w:tcBorders>
              <w:top w:val="single" w:sz="4" w:space="0" w:color="auto"/>
              <w:left w:val="single" w:sz="4" w:space="0" w:color="auto"/>
              <w:bottom w:val="single" w:sz="4" w:space="0" w:color="auto"/>
              <w:right w:val="single" w:sz="4" w:space="0" w:color="auto"/>
            </w:tcBorders>
            <w:shd w:val="clear" w:color="auto" w:fill="C9ECFB"/>
            <w:vAlign w:val="center"/>
            <w:hideMark/>
          </w:tcPr>
          <w:p w14:paraId="51AA60B7" w14:textId="30A44C25" w:rsidR="000C65D2" w:rsidRPr="000C65D2" w:rsidRDefault="000C65D2" w:rsidP="00070934">
            <w:pPr>
              <w:tabs>
                <w:tab w:val="left" w:pos="720"/>
              </w:tabs>
              <w:autoSpaceDE/>
              <w:spacing w:before="0" w:after="0"/>
              <w:rPr>
                <w:rFonts w:ascii="Helvetica" w:eastAsia="Calibri" w:hAnsi="Helvetica" w:cs="Helvetica"/>
                <w:b/>
                <w:sz w:val="24"/>
                <w:szCs w:val="24"/>
                <w:lang w:val="en-US"/>
              </w:rPr>
            </w:pPr>
            <w:r w:rsidRPr="000C65D2">
              <w:rPr>
                <w:rFonts w:ascii="Helvetica" w:eastAsia="Calibri" w:hAnsi="Helvetica" w:cs="Helvetica"/>
                <w:b/>
                <w:sz w:val="24"/>
                <w:szCs w:val="24"/>
                <w:lang w:val="en-US"/>
              </w:rPr>
              <w:t>January 2025</w:t>
            </w:r>
          </w:p>
        </w:tc>
      </w:tr>
      <w:tr w:rsidR="000C65D2" w:rsidRPr="000C65D2" w14:paraId="7F66C268" w14:textId="77777777" w:rsidTr="00070934">
        <w:trPr>
          <w:cantSplit/>
          <w:trHeight w:val="567"/>
          <w:tblHeader/>
        </w:trPr>
        <w:tc>
          <w:tcPr>
            <w:tcW w:w="2676" w:type="pct"/>
            <w:tcBorders>
              <w:top w:val="single" w:sz="4" w:space="0" w:color="auto"/>
              <w:left w:val="single" w:sz="4" w:space="0" w:color="auto"/>
              <w:bottom w:val="single" w:sz="4" w:space="0" w:color="auto"/>
              <w:right w:val="single" w:sz="4" w:space="0" w:color="auto"/>
            </w:tcBorders>
            <w:shd w:val="clear" w:color="auto" w:fill="C9ECFB"/>
            <w:vAlign w:val="center"/>
            <w:hideMark/>
          </w:tcPr>
          <w:p w14:paraId="7998F6E8" w14:textId="62A2A4CA" w:rsidR="000C65D2" w:rsidRPr="000C65D2" w:rsidRDefault="000C65D2" w:rsidP="005C0229">
            <w:pPr>
              <w:tabs>
                <w:tab w:val="left" w:pos="720"/>
              </w:tabs>
              <w:autoSpaceDE/>
              <w:rPr>
                <w:rFonts w:ascii="Helvetica" w:eastAsia="Calibri" w:hAnsi="Helvetica" w:cs="Helvetica"/>
                <w:b/>
                <w:sz w:val="24"/>
                <w:szCs w:val="24"/>
                <w:lang w:val="en-US"/>
              </w:rPr>
            </w:pPr>
            <w:r w:rsidRPr="000C65D2">
              <w:rPr>
                <w:rFonts w:ascii="Helvetica" w:eastAsia="Calibri" w:hAnsi="Helvetica" w:cs="Helvetica"/>
                <w:b/>
                <w:sz w:val="24"/>
                <w:szCs w:val="24"/>
                <w:lang w:val="en-US"/>
              </w:rPr>
              <w:t>Approved by: HNY APC</w:t>
            </w:r>
          </w:p>
        </w:tc>
        <w:tc>
          <w:tcPr>
            <w:tcW w:w="2324" w:type="pct"/>
            <w:tcBorders>
              <w:top w:val="single" w:sz="4" w:space="0" w:color="auto"/>
              <w:left w:val="single" w:sz="4" w:space="0" w:color="auto"/>
              <w:bottom w:val="single" w:sz="4" w:space="0" w:color="auto"/>
              <w:right w:val="single" w:sz="4" w:space="0" w:color="auto"/>
            </w:tcBorders>
            <w:shd w:val="clear" w:color="auto" w:fill="C9ECFB"/>
            <w:vAlign w:val="center"/>
          </w:tcPr>
          <w:p w14:paraId="6BA6F736" w14:textId="43EC5735" w:rsidR="000C65D2" w:rsidRPr="000C65D2" w:rsidRDefault="000C65D2" w:rsidP="00070934">
            <w:pPr>
              <w:tabs>
                <w:tab w:val="clear" w:pos="975"/>
              </w:tabs>
              <w:spacing w:before="0" w:after="0"/>
              <w:rPr>
                <w:rFonts w:ascii="Helvetica" w:eastAsia="Calibri" w:hAnsi="Helvetica" w:cs="Helvetica"/>
                <w:b/>
                <w:sz w:val="24"/>
                <w:szCs w:val="24"/>
                <w:lang w:val="en-US"/>
              </w:rPr>
            </w:pPr>
            <w:r w:rsidRPr="000C65D2">
              <w:rPr>
                <w:rFonts w:ascii="Helvetica" w:eastAsia="Calibri" w:hAnsi="Helvetica" w:cs="Helvetica"/>
                <w:b/>
                <w:sz w:val="24"/>
                <w:szCs w:val="24"/>
                <w:lang w:val="en-US"/>
              </w:rPr>
              <w:t>8</w:t>
            </w:r>
            <w:r w:rsidRPr="000C65D2">
              <w:rPr>
                <w:rFonts w:ascii="Helvetica" w:eastAsia="Calibri" w:hAnsi="Helvetica" w:cs="Helvetica"/>
                <w:b/>
                <w:sz w:val="24"/>
                <w:szCs w:val="24"/>
                <w:vertAlign w:val="superscript"/>
                <w:lang w:val="en-US"/>
              </w:rPr>
              <w:t>th</w:t>
            </w:r>
            <w:r w:rsidRPr="000C65D2">
              <w:rPr>
                <w:rFonts w:ascii="Helvetica" w:eastAsia="Calibri" w:hAnsi="Helvetica" w:cs="Helvetica"/>
                <w:b/>
                <w:sz w:val="24"/>
                <w:szCs w:val="24"/>
                <w:lang w:val="en-US"/>
              </w:rPr>
              <w:t xml:space="preserve"> January 2025</w:t>
            </w:r>
          </w:p>
        </w:tc>
      </w:tr>
      <w:tr w:rsidR="000C65D2" w:rsidRPr="000C65D2" w14:paraId="02EC6D31" w14:textId="77777777" w:rsidTr="00070934">
        <w:trPr>
          <w:cantSplit/>
          <w:trHeight w:val="567"/>
          <w:tblHeader/>
        </w:trPr>
        <w:tc>
          <w:tcPr>
            <w:tcW w:w="2676" w:type="pct"/>
            <w:tcBorders>
              <w:top w:val="single" w:sz="4" w:space="0" w:color="auto"/>
              <w:left w:val="single" w:sz="4" w:space="0" w:color="auto"/>
              <w:right w:val="single" w:sz="4" w:space="0" w:color="auto"/>
            </w:tcBorders>
            <w:shd w:val="clear" w:color="auto" w:fill="C9ECFB"/>
          </w:tcPr>
          <w:p w14:paraId="243D1049" w14:textId="6A0CB675" w:rsidR="000C65D2" w:rsidRPr="000C65D2" w:rsidRDefault="000C65D2" w:rsidP="005C0229">
            <w:pPr>
              <w:tabs>
                <w:tab w:val="left" w:pos="720"/>
              </w:tabs>
              <w:autoSpaceDE/>
              <w:rPr>
                <w:rFonts w:ascii="Helvetica" w:eastAsia="Calibri" w:hAnsi="Helvetica" w:cs="Helvetica"/>
                <w:b/>
                <w:sz w:val="24"/>
                <w:szCs w:val="24"/>
                <w:lang w:val="en-US"/>
              </w:rPr>
            </w:pPr>
            <w:r w:rsidRPr="000C65D2">
              <w:rPr>
                <w:rFonts w:ascii="Helvetica" w:eastAsia="Calibri" w:hAnsi="Helvetica" w:cs="Helvetica"/>
                <w:b/>
                <w:sz w:val="24"/>
                <w:szCs w:val="24"/>
                <w:lang w:val="en-US"/>
              </w:rPr>
              <w:t>Reviewed by: CPC</w:t>
            </w:r>
          </w:p>
          <w:p w14:paraId="55A687C6" w14:textId="413EE863" w:rsidR="000C65D2" w:rsidRPr="000C65D2" w:rsidRDefault="000C65D2" w:rsidP="005C0229">
            <w:pPr>
              <w:tabs>
                <w:tab w:val="left" w:pos="720"/>
              </w:tabs>
              <w:autoSpaceDE/>
              <w:rPr>
                <w:rFonts w:ascii="Helvetica" w:eastAsia="Calibri" w:hAnsi="Helvetica" w:cs="Helvetica"/>
                <w:sz w:val="24"/>
                <w:szCs w:val="24"/>
                <w:lang w:val="en-US"/>
              </w:rPr>
            </w:pPr>
            <w:r w:rsidRPr="000C65D2">
              <w:rPr>
                <w:rFonts w:ascii="Helvetica" w:eastAsia="Calibri" w:hAnsi="Helvetica" w:cs="Helvetica"/>
                <w:sz w:val="24"/>
                <w:szCs w:val="24"/>
                <w:lang w:val="en-US"/>
              </w:rPr>
              <w:t xml:space="preserve">NB: HNY APC is a decision-making group. Decisions are submitted to CPC for information. </w:t>
            </w:r>
          </w:p>
        </w:tc>
        <w:tc>
          <w:tcPr>
            <w:tcW w:w="2324" w:type="pct"/>
            <w:tcBorders>
              <w:top w:val="single" w:sz="4" w:space="0" w:color="auto"/>
              <w:left w:val="single" w:sz="4" w:space="0" w:color="auto"/>
              <w:right w:val="single" w:sz="4" w:space="0" w:color="auto"/>
            </w:tcBorders>
            <w:shd w:val="clear" w:color="auto" w:fill="C9ECFB"/>
            <w:vAlign w:val="center"/>
          </w:tcPr>
          <w:p w14:paraId="38071639" w14:textId="506AFC1E" w:rsidR="000C65D2" w:rsidRPr="000C65D2" w:rsidRDefault="000C65D2" w:rsidP="00070934">
            <w:pPr>
              <w:tabs>
                <w:tab w:val="clear" w:pos="975"/>
              </w:tabs>
              <w:spacing w:before="0" w:after="0"/>
              <w:rPr>
                <w:rFonts w:ascii="Helvetica" w:eastAsia="Calibri" w:hAnsi="Helvetica" w:cs="Helvetica"/>
                <w:b/>
                <w:sz w:val="24"/>
                <w:szCs w:val="24"/>
                <w:lang w:val="en-US"/>
              </w:rPr>
            </w:pPr>
            <w:r w:rsidRPr="000C65D2">
              <w:rPr>
                <w:rFonts w:ascii="Helvetica" w:eastAsia="Calibri" w:hAnsi="Helvetica" w:cs="Helvetica"/>
                <w:b/>
                <w:iCs/>
                <w:sz w:val="24"/>
                <w:szCs w:val="24"/>
                <w:lang w:val="en-US"/>
              </w:rPr>
              <w:t>24</w:t>
            </w:r>
            <w:r w:rsidRPr="000C65D2">
              <w:rPr>
                <w:rFonts w:ascii="Helvetica" w:eastAsia="Calibri" w:hAnsi="Helvetica" w:cs="Helvetica"/>
                <w:b/>
                <w:iCs/>
                <w:sz w:val="24"/>
                <w:szCs w:val="24"/>
                <w:vertAlign w:val="superscript"/>
                <w:lang w:val="en-US"/>
              </w:rPr>
              <w:t>th</w:t>
            </w:r>
            <w:r w:rsidRPr="000C65D2">
              <w:rPr>
                <w:rFonts w:ascii="Helvetica" w:eastAsia="Calibri" w:hAnsi="Helvetica" w:cs="Helvetica"/>
                <w:b/>
                <w:iCs/>
                <w:sz w:val="24"/>
                <w:szCs w:val="24"/>
                <w:lang w:val="en-US"/>
              </w:rPr>
              <w:t xml:space="preserve"> January 2025</w:t>
            </w:r>
          </w:p>
        </w:tc>
      </w:tr>
      <w:tr w:rsidR="00C966D9" w:rsidRPr="000C65D2" w14:paraId="44B0920B" w14:textId="77777777" w:rsidTr="005777CA">
        <w:trPr>
          <w:cantSplit/>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9ECFB"/>
          </w:tcPr>
          <w:p w14:paraId="085357BB" w14:textId="77777777" w:rsidR="00EC73AA" w:rsidRDefault="00C966D9" w:rsidP="001C7976">
            <w:pPr>
              <w:tabs>
                <w:tab w:val="left" w:pos="720"/>
              </w:tabs>
              <w:autoSpaceDE/>
              <w:rPr>
                <w:rFonts w:eastAsia="Arial"/>
                <w:b/>
                <w:noProof/>
                <w:color w:val="000000" w:themeColor="text1"/>
                <w:sz w:val="24"/>
                <w:szCs w:val="24"/>
                <w:lang w:val="en-US" w:eastAsia="en-GB"/>
              </w:rPr>
            </w:pPr>
            <w:r w:rsidRPr="000C65D2">
              <w:rPr>
                <w:rFonts w:eastAsia="Arial"/>
                <w:b/>
                <w:noProof/>
                <w:color w:val="000000" w:themeColor="text1"/>
                <w:sz w:val="24"/>
                <w:szCs w:val="24"/>
                <w:lang w:val="en-US" w:eastAsia="en-GB"/>
              </w:rPr>
              <w:t>The NHS is legally obliged to fund and resource medicines and treatments recommended by NICE's technology appraisals. When NICE recommends a treatment 'as an option', the NHS must make sure it is available within 90 days (unless otherwise specified) of its date of publication. This means that, if a patient has a disease or condition and the doctor responsible for their care thinks that the technology is the right treatment, it should be available for use, in line with NICE's recommendations.</w:t>
            </w:r>
          </w:p>
          <w:p w14:paraId="5151A840" w14:textId="4132FE46" w:rsidR="000C65D2" w:rsidRPr="000C65D2" w:rsidRDefault="000C65D2" w:rsidP="000C65D2">
            <w:pPr>
              <w:widowControl/>
              <w:tabs>
                <w:tab w:val="clear" w:pos="975"/>
              </w:tabs>
              <w:autoSpaceDE/>
              <w:autoSpaceDN/>
              <w:spacing w:before="0" w:after="0"/>
              <w:rPr>
                <w:rFonts w:eastAsia="MS Mincho"/>
                <w:bCs/>
                <w:szCs w:val="28"/>
                <w:lang w:eastAsia="ja-JP"/>
              </w:rPr>
            </w:pPr>
            <w:r w:rsidRPr="000C65D2">
              <w:rPr>
                <w:rFonts w:eastAsia="MS Mincho"/>
                <w:bCs/>
                <w:sz w:val="24"/>
                <w:szCs w:val="40"/>
                <w:lang w:eastAsia="ja-JP"/>
              </w:rPr>
              <w:t xml:space="preserve">For copies of current HNY APC minutes and decisions, please visit </w:t>
            </w:r>
            <w:hyperlink r:id="rId10" w:history="1">
              <w:r w:rsidRPr="000C65D2">
                <w:rPr>
                  <w:rFonts w:eastAsia="MS Mincho"/>
                  <w:bCs/>
                  <w:color w:val="0000FF"/>
                  <w:sz w:val="24"/>
                  <w:szCs w:val="40"/>
                  <w:u w:val="single"/>
                  <w:lang w:eastAsia="ja-JP"/>
                </w:rPr>
                <w:t>https://humberandnorthyorkshire.org.uk/area-prescribing-committee-apc-minutes-from-meetings/</w:t>
              </w:r>
            </w:hyperlink>
            <w:r w:rsidRPr="000C65D2">
              <w:rPr>
                <w:rFonts w:eastAsia="MS Mincho"/>
                <w:bCs/>
                <w:sz w:val="24"/>
                <w:szCs w:val="40"/>
                <w:lang w:eastAsia="ja-JP"/>
              </w:rPr>
              <w:t>.</w:t>
            </w:r>
            <w:r w:rsidRPr="000C65D2">
              <w:rPr>
                <w:rFonts w:eastAsia="MS Mincho"/>
                <w:bCs/>
                <w:szCs w:val="28"/>
                <w:lang w:eastAsia="ja-JP"/>
              </w:rPr>
              <w:t xml:space="preserve"> </w:t>
            </w:r>
          </w:p>
        </w:tc>
      </w:tr>
    </w:tbl>
    <w:p w14:paraId="3BE1BD1C" w14:textId="77777777" w:rsidR="00C966D9" w:rsidRPr="00FD45B9" w:rsidRDefault="00C966D9" w:rsidP="007909C3">
      <w:pPr>
        <w:pStyle w:val="BodyText"/>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B4247C" w:rsidRPr="00383A54" w14:paraId="5F6A2C11" w14:textId="77777777" w:rsidTr="00383A54">
        <w:trPr>
          <w:cantSplit/>
        </w:trPr>
        <w:tc>
          <w:tcPr>
            <w:tcW w:w="5000" w:type="pct"/>
            <w:shd w:val="clear" w:color="auto" w:fill="auto"/>
          </w:tcPr>
          <w:p w14:paraId="280B9544" w14:textId="7C9E55B0" w:rsidR="00B4247C"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 xml:space="preserve">DECISIONS WITH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2E891FA4" w14:textId="77777777" w:rsidR="001F28EB" w:rsidRDefault="001F28EB" w:rsidP="00383A54">
      <w:pPr>
        <w:spacing w:before="0" w:after="0"/>
        <w:rPr>
          <w:sz w:val="20"/>
          <w:lang w:val="en-US" w:eastAsia="ja-JP"/>
        </w:rPr>
      </w:pPr>
    </w:p>
    <w:p w14:paraId="6BC62169" w14:textId="0D3111EB" w:rsidR="00383A54" w:rsidRPr="00383A54" w:rsidRDefault="00383A54" w:rsidP="00383A54">
      <w:pPr>
        <w:spacing w:before="0" w:after="0"/>
        <w:rPr>
          <w:sz w:val="10"/>
          <w:szCs w:val="10"/>
          <w:lang w:val="en-US" w:eastAsia="ja-JP"/>
        </w:rPr>
        <w:sectPr w:rsidR="00383A54" w:rsidRPr="00383A54" w:rsidSect="007909C3">
          <w:footerReference w:type="even" r:id="rId11"/>
          <w:footerReference w:type="default" r:id="rId12"/>
          <w:footerReference w:type="first" r:id="rId13"/>
          <w:pgSz w:w="16840" w:h="11910" w:orient="landscape"/>
          <w:pgMar w:top="284" w:right="520" w:bottom="993" w:left="426" w:header="720" w:footer="179" w:gutter="0"/>
          <w:cols w:space="720"/>
          <w:titlePg/>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2693"/>
        <w:gridCol w:w="2268"/>
        <w:gridCol w:w="4678"/>
        <w:gridCol w:w="1852"/>
      </w:tblGrid>
      <w:tr w:rsidR="001C7976" w:rsidRPr="000C65D2" w14:paraId="58618552" w14:textId="77777777" w:rsidTr="005C0229">
        <w:trPr>
          <w:cantSplit/>
          <w:trHeight w:val="548"/>
          <w:tblHeader/>
        </w:trPr>
        <w:tc>
          <w:tcPr>
            <w:tcW w:w="4390" w:type="dxa"/>
            <w:tcBorders>
              <w:bottom w:val="single" w:sz="4" w:space="0" w:color="auto"/>
            </w:tcBorders>
            <w:shd w:val="clear" w:color="auto" w:fill="B6DDE8"/>
          </w:tcPr>
          <w:p w14:paraId="465998DD" w14:textId="4656542C" w:rsidR="001C7976" w:rsidRPr="000C65D2" w:rsidRDefault="001C7976" w:rsidP="007909C3">
            <w:pPr>
              <w:tabs>
                <w:tab w:val="clear" w:pos="975"/>
              </w:tabs>
              <w:rPr>
                <w:rFonts w:eastAsia="Calibri"/>
                <w:b/>
                <w:sz w:val="24"/>
                <w:szCs w:val="24"/>
              </w:rPr>
            </w:pPr>
            <w:r w:rsidRPr="000C65D2">
              <w:rPr>
                <w:rFonts w:eastAsia="Calibri"/>
                <w:b/>
                <w:sz w:val="24"/>
                <w:szCs w:val="24"/>
              </w:rPr>
              <w:t xml:space="preserve">Drug and indication </w:t>
            </w:r>
          </w:p>
        </w:tc>
        <w:tc>
          <w:tcPr>
            <w:tcW w:w="2693" w:type="dxa"/>
            <w:tcBorders>
              <w:bottom w:val="single" w:sz="4" w:space="0" w:color="auto"/>
            </w:tcBorders>
            <w:shd w:val="clear" w:color="auto" w:fill="B6DDE8"/>
          </w:tcPr>
          <w:p w14:paraId="764A3AC3" w14:textId="20E2B955" w:rsidR="001C7976" w:rsidRPr="000C65D2" w:rsidRDefault="001C7976" w:rsidP="007909C3">
            <w:pPr>
              <w:tabs>
                <w:tab w:val="clear" w:pos="975"/>
              </w:tabs>
              <w:rPr>
                <w:rFonts w:eastAsia="Calibri"/>
                <w:b/>
                <w:sz w:val="24"/>
                <w:szCs w:val="24"/>
              </w:rPr>
            </w:pPr>
            <w:r w:rsidRPr="000C65D2">
              <w:rPr>
                <w:rFonts w:eastAsia="Calibri"/>
                <w:b/>
                <w:sz w:val="24"/>
                <w:szCs w:val="24"/>
              </w:rPr>
              <w:t>Status and formulary position assigned</w:t>
            </w:r>
          </w:p>
        </w:tc>
        <w:tc>
          <w:tcPr>
            <w:tcW w:w="2268" w:type="dxa"/>
            <w:tcBorders>
              <w:bottom w:val="single" w:sz="4" w:space="0" w:color="auto"/>
            </w:tcBorders>
            <w:shd w:val="clear" w:color="auto" w:fill="B6DDE8"/>
          </w:tcPr>
          <w:p w14:paraId="18BD51F0" w14:textId="3CED56E6" w:rsidR="001C7976" w:rsidRPr="000C65D2" w:rsidRDefault="001C7976" w:rsidP="007909C3">
            <w:pPr>
              <w:tabs>
                <w:tab w:val="clear" w:pos="975"/>
              </w:tabs>
              <w:rPr>
                <w:rFonts w:eastAsia="Calibri"/>
                <w:b/>
                <w:sz w:val="24"/>
                <w:szCs w:val="24"/>
              </w:rPr>
            </w:pPr>
            <w:r w:rsidRPr="000C65D2">
              <w:rPr>
                <w:rFonts w:eastAsia="Calibri"/>
                <w:b/>
                <w:sz w:val="24"/>
                <w:szCs w:val="24"/>
              </w:rPr>
              <w:t>Notes on decision</w:t>
            </w:r>
          </w:p>
        </w:tc>
        <w:tc>
          <w:tcPr>
            <w:tcW w:w="4678" w:type="dxa"/>
            <w:tcBorders>
              <w:bottom w:val="single" w:sz="4" w:space="0" w:color="auto"/>
            </w:tcBorders>
            <w:shd w:val="clear" w:color="auto" w:fill="B6DDE8"/>
          </w:tcPr>
          <w:p w14:paraId="63DF0E3F" w14:textId="3D0072C2" w:rsidR="001C7976" w:rsidRPr="000C65D2" w:rsidRDefault="001C7976" w:rsidP="00EA5257">
            <w:pPr>
              <w:tabs>
                <w:tab w:val="clear" w:pos="975"/>
              </w:tabs>
              <w:rPr>
                <w:rFonts w:eastAsia="Calibri"/>
                <w:b/>
                <w:sz w:val="24"/>
                <w:szCs w:val="24"/>
              </w:rPr>
            </w:pPr>
            <w:r w:rsidRPr="000C65D2">
              <w:rPr>
                <w:rFonts w:eastAsia="Calibri"/>
                <w:b/>
                <w:sz w:val="24"/>
                <w:szCs w:val="24"/>
              </w:rPr>
              <w:t>Cost impact and commissioning / service implications</w:t>
            </w:r>
          </w:p>
        </w:tc>
        <w:tc>
          <w:tcPr>
            <w:tcW w:w="1852" w:type="dxa"/>
            <w:tcBorders>
              <w:bottom w:val="single" w:sz="4" w:space="0" w:color="auto"/>
            </w:tcBorders>
            <w:shd w:val="clear" w:color="auto" w:fill="B6DDE8"/>
          </w:tcPr>
          <w:p w14:paraId="31FD2AD9" w14:textId="09BAE99D" w:rsidR="001C7976" w:rsidRPr="000C65D2" w:rsidRDefault="001C7976" w:rsidP="001C7976">
            <w:pPr>
              <w:tabs>
                <w:tab w:val="clear" w:pos="975"/>
              </w:tabs>
              <w:rPr>
                <w:rFonts w:eastAsia="Calibri"/>
                <w:b/>
                <w:sz w:val="24"/>
                <w:szCs w:val="24"/>
              </w:rPr>
            </w:pPr>
            <w:r w:rsidRPr="000C65D2">
              <w:rPr>
                <w:rFonts w:eastAsia="Calibri"/>
                <w:b/>
                <w:sz w:val="24"/>
                <w:szCs w:val="24"/>
              </w:rPr>
              <w:t>Recommendation from HNY APC</w:t>
            </w:r>
          </w:p>
        </w:tc>
      </w:tr>
      <w:tr w:rsidR="001C7976" w:rsidRPr="000C65D2" w14:paraId="064DF8BD" w14:textId="77777777" w:rsidTr="005C0229">
        <w:trPr>
          <w:cantSplit/>
          <w:trHeight w:val="548"/>
        </w:trPr>
        <w:tc>
          <w:tcPr>
            <w:tcW w:w="4390" w:type="dxa"/>
            <w:shd w:val="clear" w:color="auto" w:fill="auto"/>
          </w:tcPr>
          <w:p w14:paraId="69FF7307" w14:textId="77777777" w:rsidR="001C7976" w:rsidRPr="000C65D2" w:rsidRDefault="001C7976" w:rsidP="001C7976">
            <w:pPr>
              <w:tabs>
                <w:tab w:val="clear" w:pos="975"/>
              </w:tabs>
              <w:rPr>
                <w:b/>
                <w:bCs/>
                <w:sz w:val="24"/>
                <w:szCs w:val="24"/>
              </w:rPr>
            </w:pPr>
            <w:hyperlink r:id="rId14" w:history="1">
              <w:r w:rsidRPr="000C65D2">
                <w:rPr>
                  <w:rStyle w:val="Hyperlink"/>
                  <w:rFonts w:cs="Arial"/>
                  <w:b/>
                  <w:bCs/>
                  <w:sz w:val="24"/>
                  <w:szCs w:val="24"/>
                </w:rPr>
                <w:t>TA999: Vibegron for treating symptoms of overactive bladder syndrome</w:t>
              </w:r>
            </w:hyperlink>
          </w:p>
          <w:p w14:paraId="07ECBADF" w14:textId="77777777" w:rsidR="001C7976" w:rsidRPr="000C65D2" w:rsidRDefault="001C7976" w:rsidP="001C7976">
            <w:pPr>
              <w:tabs>
                <w:tab w:val="clear" w:pos="975"/>
              </w:tabs>
              <w:rPr>
                <w:b/>
                <w:bCs/>
                <w:sz w:val="24"/>
                <w:szCs w:val="24"/>
              </w:rPr>
            </w:pPr>
            <w:r w:rsidRPr="000C65D2">
              <w:rPr>
                <w:b/>
                <w:bCs/>
                <w:sz w:val="24"/>
                <w:szCs w:val="24"/>
              </w:rPr>
              <w:t>4</w:t>
            </w:r>
            <w:r w:rsidRPr="000C65D2">
              <w:rPr>
                <w:b/>
                <w:bCs/>
                <w:sz w:val="24"/>
                <w:szCs w:val="24"/>
                <w:vertAlign w:val="superscript"/>
              </w:rPr>
              <w:t>th</w:t>
            </w:r>
            <w:r w:rsidRPr="000C65D2">
              <w:rPr>
                <w:b/>
                <w:bCs/>
                <w:sz w:val="24"/>
                <w:szCs w:val="24"/>
              </w:rPr>
              <w:t xml:space="preserve"> September 2024</w:t>
            </w:r>
          </w:p>
          <w:p w14:paraId="08A7B821" w14:textId="77777777" w:rsidR="001C7976" w:rsidRPr="000C65D2" w:rsidRDefault="001C7976" w:rsidP="001C7976">
            <w:pPr>
              <w:widowControl/>
              <w:tabs>
                <w:tab w:val="clear" w:pos="975"/>
              </w:tabs>
              <w:autoSpaceDE/>
              <w:autoSpaceDN/>
              <w:spacing w:before="0" w:after="0"/>
              <w:ind w:right="57"/>
              <w:rPr>
                <w:b/>
                <w:bCs/>
                <w:sz w:val="24"/>
                <w:szCs w:val="24"/>
              </w:rPr>
            </w:pPr>
            <w:r w:rsidRPr="000C65D2">
              <w:rPr>
                <w:b/>
                <w:bCs/>
                <w:sz w:val="24"/>
                <w:szCs w:val="24"/>
              </w:rPr>
              <w:t xml:space="preserve">Commissioning: ICS, </w:t>
            </w:r>
            <w:proofErr w:type="gramStart"/>
            <w:r w:rsidRPr="000C65D2">
              <w:rPr>
                <w:b/>
                <w:bCs/>
                <w:sz w:val="24"/>
                <w:szCs w:val="24"/>
              </w:rPr>
              <w:t>30 day</w:t>
            </w:r>
            <w:proofErr w:type="gramEnd"/>
            <w:r w:rsidRPr="000C65D2">
              <w:rPr>
                <w:b/>
                <w:bCs/>
                <w:sz w:val="24"/>
                <w:szCs w:val="24"/>
              </w:rPr>
              <w:t xml:space="preserve"> TA</w:t>
            </w:r>
          </w:p>
          <w:p w14:paraId="2F474B26" w14:textId="31BA54A1" w:rsidR="001C7976" w:rsidRPr="000C65D2" w:rsidRDefault="001C7976" w:rsidP="001C7976">
            <w:pPr>
              <w:widowControl/>
              <w:tabs>
                <w:tab w:val="clear" w:pos="975"/>
              </w:tabs>
              <w:autoSpaceDE/>
              <w:autoSpaceDN/>
              <w:spacing w:before="0" w:after="0"/>
              <w:ind w:right="57"/>
              <w:rPr>
                <w:color w:val="000000"/>
                <w:sz w:val="24"/>
                <w:szCs w:val="24"/>
              </w:rPr>
            </w:pPr>
            <w:r w:rsidRPr="000C65D2">
              <w:rPr>
                <w:color w:val="000000"/>
                <w:sz w:val="24"/>
                <w:szCs w:val="24"/>
              </w:rPr>
              <w:t>Vibegron is recommended as an option for treating the symptoms of overactive bladder syndrome in adults. It is only recommended if antimuscarinic medicines are not suitable, do not work well enough or have unacceptable side effects.</w:t>
            </w:r>
          </w:p>
        </w:tc>
        <w:tc>
          <w:tcPr>
            <w:tcW w:w="2693" w:type="dxa"/>
            <w:shd w:val="clear" w:color="auto" w:fill="auto"/>
          </w:tcPr>
          <w:p w14:paraId="5D99BA86" w14:textId="77777777" w:rsidR="001C7976" w:rsidRPr="000C65D2" w:rsidRDefault="001C7976" w:rsidP="00AE33E4">
            <w:pPr>
              <w:shd w:val="clear" w:color="auto" w:fill="92D050"/>
              <w:tabs>
                <w:tab w:val="left" w:pos="720"/>
              </w:tabs>
              <w:rPr>
                <w:sz w:val="24"/>
                <w:szCs w:val="24"/>
                <w:lang w:val="en-US"/>
              </w:rPr>
            </w:pPr>
            <w:r w:rsidRPr="000C65D2">
              <w:rPr>
                <w:sz w:val="24"/>
                <w:szCs w:val="24"/>
                <w:lang w:val="en-US"/>
              </w:rPr>
              <w:t>Add to formulary as a GREEN (with guideline) drug in this indication, alongside mirabegron, with links to TA999</w:t>
            </w:r>
          </w:p>
          <w:p w14:paraId="6D95A0E3" w14:textId="77777777" w:rsidR="001C7976" w:rsidRPr="000C65D2" w:rsidRDefault="001C7976" w:rsidP="001C7976">
            <w:pPr>
              <w:tabs>
                <w:tab w:val="left" w:pos="720"/>
              </w:tabs>
              <w:rPr>
                <w:sz w:val="24"/>
                <w:szCs w:val="24"/>
                <w:lang w:val="en-US"/>
              </w:rPr>
            </w:pPr>
          </w:p>
          <w:p w14:paraId="5D1ACDDD" w14:textId="204A081F" w:rsidR="001C7976" w:rsidRPr="000C65D2" w:rsidRDefault="001C7976" w:rsidP="001C7976">
            <w:pPr>
              <w:rPr>
                <w:sz w:val="24"/>
                <w:szCs w:val="24"/>
              </w:rPr>
            </w:pPr>
            <w:r w:rsidRPr="000C65D2">
              <w:rPr>
                <w:sz w:val="24"/>
                <w:szCs w:val="24"/>
              </w:rPr>
              <w:t>Both NY&amp;Y and Humber OAB guidelines are due for review and will be added to the APC subgroup workplan.</w:t>
            </w:r>
          </w:p>
        </w:tc>
        <w:tc>
          <w:tcPr>
            <w:tcW w:w="2268" w:type="dxa"/>
            <w:shd w:val="clear" w:color="auto" w:fill="auto"/>
          </w:tcPr>
          <w:p w14:paraId="427DBBC1" w14:textId="77777777" w:rsidR="001C7976" w:rsidRPr="000C65D2" w:rsidRDefault="001C7976" w:rsidP="001C7976">
            <w:pPr>
              <w:rPr>
                <w:sz w:val="24"/>
                <w:szCs w:val="24"/>
              </w:rPr>
            </w:pPr>
            <w:r w:rsidRPr="000C65D2">
              <w:rPr>
                <w:sz w:val="24"/>
                <w:szCs w:val="24"/>
              </w:rPr>
              <w:t>IPMOC October meeting approved a decision made by NY&amp;Y APC to add to formulary as green, alongside mirabegron.</w:t>
            </w:r>
          </w:p>
          <w:p w14:paraId="6858880D" w14:textId="6C98BA0C" w:rsidR="001C7976" w:rsidRPr="000C65D2" w:rsidRDefault="001C7976" w:rsidP="001C7976">
            <w:pPr>
              <w:tabs>
                <w:tab w:val="clear" w:pos="975"/>
              </w:tabs>
              <w:ind w:left="20"/>
              <w:rPr>
                <w:i/>
                <w:sz w:val="24"/>
                <w:szCs w:val="24"/>
              </w:rPr>
            </w:pPr>
            <w:r w:rsidRPr="000C65D2">
              <w:rPr>
                <w:sz w:val="24"/>
                <w:szCs w:val="24"/>
              </w:rPr>
              <w:t>Not reviewed by Humber APC. Mirabegron is green and second choice in Humber.</w:t>
            </w:r>
          </w:p>
        </w:tc>
        <w:tc>
          <w:tcPr>
            <w:tcW w:w="4678" w:type="dxa"/>
          </w:tcPr>
          <w:p w14:paraId="23952E88" w14:textId="77777777" w:rsidR="001C7976" w:rsidRPr="000C65D2" w:rsidRDefault="001C7976" w:rsidP="001C7976">
            <w:pPr>
              <w:rPr>
                <w:sz w:val="24"/>
                <w:szCs w:val="24"/>
              </w:rPr>
            </w:pPr>
            <w:r w:rsidRPr="000C65D2">
              <w:rPr>
                <w:sz w:val="24"/>
                <w:szCs w:val="24"/>
              </w:rPr>
              <w:t xml:space="preserve">NICE expect the resource impact of implementing the recommendations in England will be around £1,000 per 100,000 population in year 1, increasing to £6,000 per 100,000 population in year 5. This increase is largely driven by population growth, not drug costs. The patent for mirabegron will not expire in the next 2 years. </w:t>
            </w:r>
          </w:p>
          <w:p w14:paraId="65D4918A" w14:textId="519B2DAE" w:rsidR="00270030" w:rsidRPr="000C65D2" w:rsidRDefault="00270030" w:rsidP="001C7976">
            <w:pPr>
              <w:rPr>
                <w:sz w:val="24"/>
                <w:szCs w:val="24"/>
              </w:rPr>
            </w:pPr>
            <w:r w:rsidRPr="000C65D2">
              <w:rPr>
                <w:sz w:val="24"/>
                <w:szCs w:val="24"/>
              </w:rPr>
              <w:t>Vibegron (£26.68 per pack of 30 tablets) is slightly cheaper than mirabegron (£29.00 per pack of 30 tablets).</w:t>
            </w:r>
          </w:p>
        </w:tc>
        <w:tc>
          <w:tcPr>
            <w:tcW w:w="1852" w:type="dxa"/>
            <w:shd w:val="clear" w:color="auto" w:fill="FFFFFF"/>
          </w:tcPr>
          <w:p w14:paraId="26E04F46" w14:textId="74A1163D" w:rsidR="001C7976" w:rsidRPr="000C65D2" w:rsidRDefault="001C7976" w:rsidP="001C7976">
            <w:pPr>
              <w:rPr>
                <w:iCs/>
                <w:sz w:val="24"/>
                <w:szCs w:val="24"/>
              </w:rPr>
            </w:pPr>
            <w:r w:rsidRPr="000C65D2">
              <w:rPr>
                <w:iCs/>
                <w:sz w:val="24"/>
                <w:szCs w:val="24"/>
              </w:rPr>
              <w:t>Approve addition to formulary</w:t>
            </w:r>
          </w:p>
        </w:tc>
      </w:tr>
    </w:tbl>
    <w:p w14:paraId="6D0E09B9" w14:textId="5322E5C6" w:rsidR="00ED412F" w:rsidRDefault="00ED412F" w:rsidP="00383A54">
      <w:pPr>
        <w:spacing w:before="0" w:after="0"/>
        <w:rPr>
          <w:sz w:val="20"/>
          <w:lang w:val="en-US" w:eastAsia="ja-JP"/>
        </w:rPr>
      </w:pPr>
    </w:p>
    <w:p w14:paraId="7CD5C527" w14:textId="0E8563D0" w:rsidR="005C0229" w:rsidRDefault="005C0229">
      <w:pPr>
        <w:tabs>
          <w:tab w:val="clear" w:pos="975"/>
        </w:tabs>
        <w:spacing w:before="0" w:after="0"/>
        <w:rPr>
          <w:sz w:val="20"/>
          <w:lang w:val="en-US" w:eastAsia="ja-JP"/>
        </w:rPr>
      </w:pPr>
      <w:r>
        <w:rPr>
          <w:sz w:val="20"/>
          <w:lang w:val="en-US" w:eastAsia="ja-JP"/>
        </w:rPr>
        <w:br w:type="page"/>
      </w:r>
    </w:p>
    <w:p w14:paraId="2E52DA50" w14:textId="77777777" w:rsidR="005C0229" w:rsidRPr="00383A54" w:rsidRDefault="005C0229" w:rsidP="00383A54">
      <w:pPr>
        <w:spacing w:before="0" w:after="0"/>
        <w:rPr>
          <w:sz w:val="20"/>
          <w:lang w:val="en-US" w:eastAsia="ja-JP"/>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383A54" w:rsidRPr="00383A54" w14:paraId="473BE708" w14:textId="77777777" w:rsidTr="00063CFB">
        <w:trPr>
          <w:cantSplit/>
        </w:trPr>
        <w:tc>
          <w:tcPr>
            <w:tcW w:w="5000" w:type="pct"/>
            <w:shd w:val="clear" w:color="auto" w:fill="auto"/>
          </w:tcPr>
          <w:p w14:paraId="6DC8B104" w14:textId="78D45245" w:rsidR="00383A54" w:rsidRPr="00383A54" w:rsidRDefault="00383A54" w:rsidP="00383A54">
            <w:pPr>
              <w:tabs>
                <w:tab w:val="clear" w:pos="975"/>
              </w:tabs>
              <w:spacing w:before="120" w:after="120"/>
              <w:jc w:val="center"/>
              <w:rPr>
                <w:sz w:val="24"/>
                <w:szCs w:val="24"/>
              </w:rPr>
            </w:pPr>
            <w:r w:rsidRPr="00383A54">
              <w:rPr>
                <w:rFonts w:eastAsia="Calibri"/>
                <w:b/>
                <w:color w:val="1F497D"/>
                <w:sz w:val="24"/>
                <w:szCs w:val="24"/>
              </w:rPr>
              <w:t>DECISIONS WITH</w:t>
            </w:r>
            <w:r w:rsidR="00C97823">
              <w:rPr>
                <w:rFonts w:eastAsia="Calibri"/>
                <w:b/>
                <w:color w:val="1F497D"/>
                <w:sz w:val="24"/>
                <w:szCs w:val="24"/>
              </w:rPr>
              <w:t>OUT</w:t>
            </w:r>
            <w:r w:rsidRPr="00383A54">
              <w:rPr>
                <w:rFonts w:eastAsia="Calibri"/>
                <w:b/>
                <w:color w:val="1F497D"/>
                <w:sz w:val="24"/>
                <w:szCs w:val="24"/>
              </w:rPr>
              <w:t xml:space="preserve"> </w:t>
            </w:r>
            <w:r w:rsidR="00231E30">
              <w:rPr>
                <w:rFonts w:eastAsia="Calibri"/>
                <w:b/>
                <w:color w:val="1F497D"/>
                <w:sz w:val="24"/>
                <w:szCs w:val="24"/>
              </w:rPr>
              <w:t>A</w:t>
            </w:r>
            <w:r w:rsidRPr="00383A54">
              <w:rPr>
                <w:rFonts w:eastAsia="Calibri"/>
                <w:b/>
                <w:color w:val="1F497D"/>
                <w:sz w:val="24"/>
                <w:szCs w:val="24"/>
              </w:rPr>
              <w:t xml:space="preserve"> FINANCIAL OR COMMISSIONING IMPACT</w:t>
            </w:r>
          </w:p>
        </w:tc>
      </w:tr>
    </w:tbl>
    <w:p w14:paraId="601AEC0E" w14:textId="77777777" w:rsidR="00383A54" w:rsidRPr="00383A54" w:rsidRDefault="00383A54" w:rsidP="00383A54">
      <w:pPr>
        <w:spacing w:before="0" w:after="0"/>
        <w:rPr>
          <w:sz w:val="20"/>
          <w:lang w:val="en-US" w:eastAsia="ja-JP"/>
        </w:rPr>
      </w:pPr>
    </w:p>
    <w:p w14:paraId="03DEC03D" w14:textId="77777777" w:rsidR="00383A54" w:rsidRPr="00383A54" w:rsidRDefault="00383A54" w:rsidP="00383A54">
      <w:pPr>
        <w:spacing w:before="0" w:after="0"/>
        <w:rPr>
          <w:sz w:val="10"/>
          <w:szCs w:val="10"/>
          <w:lang w:val="en-US" w:eastAsia="ja-JP"/>
        </w:rPr>
        <w:sectPr w:rsidR="00383A54" w:rsidRPr="00383A54" w:rsidSect="00040A7D">
          <w:footerReference w:type="even" r:id="rId15"/>
          <w:type w:val="continuous"/>
          <w:pgSz w:w="16840" w:h="11910" w:orient="landscape"/>
          <w:pgMar w:top="508" w:right="520" w:bottom="993" w:left="426" w:header="301" w:footer="17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127"/>
        <w:gridCol w:w="1984"/>
        <w:gridCol w:w="5646"/>
        <w:gridCol w:w="2160"/>
      </w:tblGrid>
      <w:tr w:rsidR="001C7976" w:rsidRPr="000C65D2" w14:paraId="0360D02E" w14:textId="77777777" w:rsidTr="001C7976">
        <w:trPr>
          <w:cantSplit/>
          <w:trHeight w:val="548"/>
          <w:tblHeader/>
        </w:trPr>
        <w:tc>
          <w:tcPr>
            <w:tcW w:w="3964" w:type="dxa"/>
            <w:tcBorders>
              <w:bottom w:val="single" w:sz="4" w:space="0" w:color="auto"/>
            </w:tcBorders>
            <w:shd w:val="clear" w:color="auto" w:fill="B6DDE8"/>
          </w:tcPr>
          <w:p w14:paraId="4FE4577D" w14:textId="77777777" w:rsidR="001C7976" w:rsidRPr="000C65D2" w:rsidRDefault="001C7976" w:rsidP="001C7976">
            <w:pPr>
              <w:tabs>
                <w:tab w:val="clear" w:pos="975"/>
              </w:tabs>
              <w:rPr>
                <w:rFonts w:eastAsia="Calibri"/>
                <w:b/>
                <w:sz w:val="24"/>
                <w:szCs w:val="24"/>
              </w:rPr>
            </w:pPr>
            <w:r w:rsidRPr="000C65D2">
              <w:rPr>
                <w:rFonts w:eastAsia="Calibri"/>
                <w:b/>
                <w:sz w:val="24"/>
                <w:szCs w:val="24"/>
              </w:rPr>
              <w:t xml:space="preserve">Drug and indication </w:t>
            </w:r>
          </w:p>
        </w:tc>
        <w:tc>
          <w:tcPr>
            <w:tcW w:w="2127" w:type="dxa"/>
            <w:tcBorders>
              <w:bottom w:val="single" w:sz="4" w:space="0" w:color="auto"/>
            </w:tcBorders>
            <w:shd w:val="clear" w:color="auto" w:fill="B6DDE8"/>
          </w:tcPr>
          <w:p w14:paraId="05FD2BD5" w14:textId="77777777" w:rsidR="001C7976" w:rsidRPr="000C65D2" w:rsidRDefault="001C7976" w:rsidP="001C7976">
            <w:pPr>
              <w:tabs>
                <w:tab w:val="clear" w:pos="975"/>
              </w:tabs>
              <w:rPr>
                <w:rFonts w:eastAsia="Calibri"/>
                <w:b/>
                <w:sz w:val="24"/>
                <w:szCs w:val="24"/>
              </w:rPr>
            </w:pPr>
            <w:r w:rsidRPr="000C65D2">
              <w:rPr>
                <w:rFonts w:eastAsia="Calibri"/>
                <w:b/>
                <w:sz w:val="24"/>
                <w:szCs w:val="24"/>
              </w:rPr>
              <w:t>Status and formulary position assigned</w:t>
            </w:r>
          </w:p>
        </w:tc>
        <w:tc>
          <w:tcPr>
            <w:tcW w:w="1984" w:type="dxa"/>
            <w:tcBorders>
              <w:bottom w:val="single" w:sz="4" w:space="0" w:color="auto"/>
            </w:tcBorders>
            <w:shd w:val="clear" w:color="auto" w:fill="B6DDE8"/>
          </w:tcPr>
          <w:p w14:paraId="5C87408D" w14:textId="77777777" w:rsidR="001C7976" w:rsidRPr="000C65D2" w:rsidRDefault="001C7976" w:rsidP="001C7976">
            <w:pPr>
              <w:tabs>
                <w:tab w:val="clear" w:pos="975"/>
              </w:tabs>
              <w:rPr>
                <w:rFonts w:eastAsia="Calibri"/>
                <w:b/>
                <w:sz w:val="24"/>
                <w:szCs w:val="24"/>
              </w:rPr>
            </w:pPr>
            <w:r w:rsidRPr="000C65D2">
              <w:rPr>
                <w:rFonts w:eastAsia="Calibri"/>
                <w:b/>
                <w:sz w:val="24"/>
                <w:szCs w:val="24"/>
              </w:rPr>
              <w:t>Notes on decision</w:t>
            </w:r>
          </w:p>
        </w:tc>
        <w:tc>
          <w:tcPr>
            <w:tcW w:w="5646" w:type="dxa"/>
            <w:tcBorders>
              <w:bottom w:val="single" w:sz="4" w:space="0" w:color="auto"/>
            </w:tcBorders>
            <w:shd w:val="clear" w:color="auto" w:fill="B6DDE8"/>
          </w:tcPr>
          <w:p w14:paraId="4BC44793" w14:textId="77777777" w:rsidR="001C7976" w:rsidRPr="000C65D2" w:rsidRDefault="001C7976" w:rsidP="001C7976">
            <w:pPr>
              <w:tabs>
                <w:tab w:val="clear" w:pos="975"/>
              </w:tabs>
              <w:rPr>
                <w:rFonts w:eastAsia="Calibri"/>
                <w:b/>
                <w:sz w:val="24"/>
                <w:szCs w:val="24"/>
              </w:rPr>
            </w:pPr>
            <w:r w:rsidRPr="000C65D2">
              <w:rPr>
                <w:rFonts w:eastAsia="Calibri"/>
                <w:b/>
                <w:sz w:val="24"/>
                <w:szCs w:val="24"/>
              </w:rPr>
              <w:t>Cost impact and commissioning / service implications</w:t>
            </w:r>
          </w:p>
        </w:tc>
        <w:tc>
          <w:tcPr>
            <w:tcW w:w="2160" w:type="dxa"/>
            <w:tcBorders>
              <w:bottom w:val="single" w:sz="4" w:space="0" w:color="auto"/>
            </w:tcBorders>
            <w:shd w:val="clear" w:color="auto" w:fill="B6DDE8"/>
          </w:tcPr>
          <w:p w14:paraId="43FAB0E3" w14:textId="77777777" w:rsidR="001C7976" w:rsidRPr="000C65D2" w:rsidRDefault="001C7976" w:rsidP="001C7976">
            <w:pPr>
              <w:tabs>
                <w:tab w:val="clear" w:pos="975"/>
              </w:tabs>
              <w:rPr>
                <w:rFonts w:eastAsia="Calibri"/>
                <w:b/>
                <w:sz w:val="24"/>
                <w:szCs w:val="24"/>
              </w:rPr>
            </w:pPr>
            <w:r w:rsidRPr="000C65D2">
              <w:rPr>
                <w:rFonts w:eastAsia="Calibri"/>
                <w:b/>
                <w:sz w:val="24"/>
                <w:szCs w:val="24"/>
              </w:rPr>
              <w:t>Recommendation from HNY APC</w:t>
            </w:r>
          </w:p>
        </w:tc>
      </w:tr>
      <w:tr w:rsidR="001C7976" w:rsidRPr="000C65D2" w14:paraId="683B8F96" w14:textId="77777777" w:rsidTr="001C7976">
        <w:trPr>
          <w:cantSplit/>
          <w:trHeight w:val="548"/>
        </w:trPr>
        <w:tc>
          <w:tcPr>
            <w:tcW w:w="3964" w:type="dxa"/>
            <w:shd w:val="clear" w:color="auto" w:fill="auto"/>
          </w:tcPr>
          <w:p w14:paraId="2EBA8A51" w14:textId="77777777" w:rsidR="001C7976" w:rsidRPr="000C65D2" w:rsidRDefault="001C7976" w:rsidP="001C7976">
            <w:pPr>
              <w:tabs>
                <w:tab w:val="left" w:pos="720"/>
              </w:tabs>
              <w:rPr>
                <w:b/>
                <w:bCs/>
                <w:sz w:val="24"/>
                <w:szCs w:val="24"/>
                <w:lang w:val="en-US"/>
              </w:rPr>
            </w:pPr>
            <w:hyperlink r:id="rId16" w:history="1">
              <w:r w:rsidRPr="000C65D2">
                <w:rPr>
                  <w:rStyle w:val="Hyperlink"/>
                  <w:b/>
                  <w:bCs/>
                  <w:sz w:val="24"/>
                  <w:szCs w:val="24"/>
                  <w:lang w:val="en-US"/>
                </w:rPr>
                <w:t>TA1004: Faricimab for treating visual impairment caused by macular oedema after retinal vein occlusion</w:t>
              </w:r>
            </w:hyperlink>
          </w:p>
          <w:p w14:paraId="45591BD1" w14:textId="77777777" w:rsidR="001C7976" w:rsidRPr="000C65D2" w:rsidRDefault="001C7976" w:rsidP="001C7976">
            <w:pPr>
              <w:tabs>
                <w:tab w:val="left" w:pos="720"/>
              </w:tabs>
              <w:rPr>
                <w:b/>
                <w:bCs/>
                <w:sz w:val="24"/>
                <w:szCs w:val="24"/>
                <w:lang w:val="en-US"/>
              </w:rPr>
            </w:pPr>
            <w:r w:rsidRPr="000C65D2">
              <w:rPr>
                <w:b/>
                <w:bCs/>
                <w:sz w:val="24"/>
                <w:szCs w:val="24"/>
                <w:lang w:val="en-US"/>
              </w:rPr>
              <w:t>11</w:t>
            </w:r>
            <w:r w:rsidRPr="000C65D2">
              <w:rPr>
                <w:b/>
                <w:bCs/>
                <w:sz w:val="24"/>
                <w:szCs w:val="24"/>
                <w:vertAlign w:val="superscript"/>
                <w:lang w:val="en-US"/>
              </w:rPr>
              <w:t>th</w:t>
            </w:r>
            <w:r w:rsidRPr="000C65D2">
              <w:rPr>
                <w:b/>
                <w:bCs/>
                <w:sz w:val="24"/>
                <w:szCs w:val="24"/>
                <w:lang w:val="en-US"/>
              </w:rPr>
              <w:t xml:space="preserve"> September 2024</w:t>
            </w:r>
          </w:p>
          <w:p w14:paraId="068D0B54" w14:textId="77777777" w:rsidR="001C7976" w:rsidRPr="000C65D2" w:rsidRDefault="001C7976" w:rsidP="001C7976">
            <w:pPr>
              <w:tabs>
                <w:tab w:val="left" w:pos="720"/>
              </w:tabs>
              <w:rPr>
                <w:b/>
                <w:bCs/>
                <w:sz w:val="24"/>
                <w:szCs w:val="24"/>
                <w:lang w:val="en-US"/>
              </w:rPr>
            </w:pPr>
            <w:r w:rsidRPr="000C65D2">
              <w:rPr>
                <w:b/>
                <w:bCs/>
                <w:sz w:val="24"/>
                <w:szCs w:val="24"/>
                <w:lang w:val="en-US"/>
              </w:rPr>
              <w:t>Commissioning: ICS, tariff-excluded, 30-day TA</w:t>
            </w:r>
          </w:p>
          <w:p w14:paraId="3BD3269A" w14:textId="6BF8464B" w:rsidR="001C7976" w:rsidRPr="000C65D2" w:rsidRDefault="001C7976" w:rsidP="001C7976">
            <w:pPr>
              <w:widowControl/>
              <w:tabs>
                <w:tab w:val="clear" w:pos="975"/>
              </w:tabs>
              <w:autoSpaceDE/>
              <w:autoSpaceDN/>
              <w:spacing w:before="0" w:after="0"/>
              <w:ind w:right="57"/>
              <w:rPr>
                <w:color w:val="000000"/>
                <w:sz w:val="24"/>
                <w:szCs w:val="24"/>
              </w:rPr>
            </w:pPr>
            <w:r w:rsidRPr="000C65D2">
              <w:rPr>
                <w:sz w:val="24"/>
                <w:szCs w:val="24"/>
                <w:lang w:val="en-US"/>
              </w:rPr>
              <w:t xml:space="preserve">Faricimab is recommended, within its marketing </w:t>
            </w:r>
            <w:proofErr w:type="spellStart"/>
            <w:r w:rsidRPr="000C65D2">
              <w:rPr>
                <w:sz w:val="24"/>
                <w:szCs w:val="24"/>
                <w:lang w:val="en-US"/>
              </w:rPr>
              <w:t>authorisation</w:t>
            </w:r>
            <w:proofErr w:type="spellEnd"/>
            <w:r w:rsidRPr="000C65D2">
              <w:rPr>
                <w:sz w:val="24"/>
                <w:szCs w:val="24"/>
                <w:lang w:val="en-US"/>
              </w:rPr>
              <w:t>, as an option for treating visual impairment caused by macular oedema after central or branch retinal vein occlusion in adults. It is only recommended if the company provides it according to the commercial arrangement.</w:t>
            </w:r>
          </w:p>
        </w:tc>
        <w:tc>
          <w:tcPr>
            <w:tcW w:w="2127" w:type="dxa"/>
            <w:shd w:val="clear" w:color="auto" w:fill="auto"/>
          </w:tcPr>
          <w:p w14:paraId="2EAD8E9A" w14:textId="77777777" w:rsidR="001C7976" w:rsidRPr="000C65D2" w:rsidRDefault="001C7976" w:rsidP="00AE33E4">
            <w:pPr>
              <w:shd w:val="clear" w:color="auto" w:fill="FF0000"/>
              <w:tabs>
                <w:tab w:val="left" w:pos="720"/>
              </w:tabs>
              <w:rPr>
                <w:sz w:val="24"/>
                <w:szCs w:val="24"/>
                <w:lang w:val="en-US"/>
              </w:rPr>
            </w:pPr>
            <w:r w:rsidRPr="000C65D2">
              <w:rPr>
                <w:sz w:val="24"/>
                <w:szCs w:val="24"/>
                <w:lang w:val="en-US"/>
              </w:rPr>
              <w:t>On formulary in Humber and NY&amp;Y as a RED drug per NICE TAs 799 (DMO) and 800 (wet AMD).</w:t>
            </w:r>
          </w:p>
          <w:p w14:paraId="53447E63" w14:textId="77777777" w:rsidR="001C7976" w:rsidRPr="000C65D2" w:rsidRDefault="001C7976" w:rsidP="001C7976">
            <w:pPr>
              <w:tabs>
                <w:tab w:val="left" w:pos="720"/>
              </w:tabs>
              <w:rPr>
                <w:sz w:val="24"/>
                <w:szCs w:val="24"/>
                <w:lang w:val="en-US"/>
              </w:rPr>
            </w:pPr>
          </w:p>
          <w:p w14:paraId="7A130EE1" w14:textId="05B19102" w:rsidR="001C7976" w:rsidRPr="000C65D2" w:rsidRDefault="001C7976" w:rsidP="001C7976">
            <w:pPr>
              <w:rPr>
                <w:sz w:val="24"/>
                <w:szCs w:val="24"/>
              </w:rPr>
            </w:pPr>
            <w:r w:rsidRPr="000C65D2">
              <w:rPr>
                <w:sz w:val="24"/>
                <w:szCs w:val="24"/>
                <w:lang w:val="en-US"/>
              </w:rPr>
              <w:t xml:space="preserve">Retain RED status and update formulary with links to TA1004. </w:t>
            </w:r>
          </w:p>
        </w:tc>
        <w:tc>
          <w:tcPr>
            <w:tcW w:w="1984" w:type="dxa"/>
            <w:shd w:val="clear" w:color="auto" w:fill="auto"/>
          </w:tcPr>
          <w:p w14:paraId="453258A6" w14:textId="5BF02A68" w:rsidR="001C7976" w:rsidRPr="000C65D2" w:rsidRDefault="001C7976" w:rsidP="001C7976">
            <w:pPr>
              <w:tabs>
                <w:tab w:val="clear" w:pos="975"/>
              </w:tabs>
              <w:ind w:left="20"/>
              <w:rPr>
                <w:iCs/>
                <w:sz w:val="24"/>
                <w:szCs w:val="24"/>
              </w:rPr>
            </w:pPr>
          </w:p>
        </w:tc>
        <w:tc>
          <w:tcPr>
            <w:tcW w:w="5646" w:type="dxa"/>
          </w:tcPr>
          <w:p w14:paraId="00E6E1E9" w14:textId="77777777" w:rsidR="001C7976" w:rsidRPr="000C65D2" w:rsidRDefault="001C7976" w:rsidP="001C7976">
            <w:pPr>
              <w:tabs>
                <w:tab w:val="left" w:pos="720"/>
              </w:tabs>
              <w:rPr>
                <w:sz w:val="24"/>
                <w:szCs w:val="24"/>
                <w:lang w:val="en-US"/>
              </w:rPr>
            </w:pPr>
            <w:r w:rsidRPr="000C65D2">
              <w:rPr>
                <w:sz w:val="24"/>
                <w:szCs w:val="24"/>
                <w:lang w:val="en-US"/>
              </w:rPr>
              <w:t xml:space="preserve">Review ophthalmology pathways to determine place in therapy. Visual impairment caused by macular oedema after retinal vein occlusion is usually treated with anti-VEGF treatments aflibercept and ranibizumab. Faricimab is another treatment option that works in a similar way to aflibercept and ranibizumab and would be offered to the same population. </w:t>
            </w:r>
          </w:p>
          <w:p w14:paraId="34755B45" w14:textId="77777777" w:rsidR="001C7976" w:rsidRPr="000C65D2" w:rsidRDefault="001C7976" w:rsidP="001C7976">
            <w:pPr>
              <w:tabs>
                <w:tab w:val="left" w:pos="720"/>
              </w:tabs>
              <w:rPr>
                <w:sz w:val="24"/>
                <w:szCs w:val="24"/>
                <w:lang w:val="en-US"/>
              </w:rPr>
            </w:pPr>
            <w:r w:rsidRPr="000C65D2">
              <w:rPr>
                <w:sz w:val="24"/>
                <w:szCs w:val="24"/>
                <w:lang w:val="en-US"/>
              </w:rPr>
              <w:t xml:space="preserve">A cost comparison by NICE suggests faricimab has similar costs and overall health benefits to aflibercept. In addition, </w:t>
            </w:r>
            <w:proofErr w:type="gramStart"/>
            <w:r w:rsidRPr="000C65D2">
              <w:rPr>
                <w:sz w:val="24"/>
                <w:szCs w:val="24"/>
                <w:lang w:val="en-US"/>
              </w:rPr>
              <w:t>a majority of</w:t>
            </w:r>
            <w:proofErr w:type="gramEnd"/>
            <w:r w:rsidRPr="000C65D2">
              <w:rPr>
                <w:sz w:val="24"/>
                <w:szCs w:val="24"/>
                <w:lang w:val="en-US"/>
              </w:rPr>
              <w:t xml:space="preserve"> people currently have aflibercept for this condition, particularly people starting treatment. So faricimab is recommended as an additional treatment option. </w:t>
            </w:r>
          </w:p>
          <w:p w14:paraId="153B45AE" w14:textId="77777777" w:rsidR="001C7976" w:rsidRPr="000C65D2" w:rsidRDefault="001C7976" w:rsidP="001C7976">
            <w:pPr>
              <w:tabs>
                <w:tab w:val="left" w:pos="720"/>
              </w:tabs>
              <w:rPr>
                <w:sz w:val="24"/>
                <w:szCs w:val="24"/>
                <w:lang w:val="en-US"/>
              </w:rPr>
            </w:pPr>
            <w:r w:rsidRPr="000C65D2">
              <w:rPr>
                <w:sz w:val="24"/>
                <w:szCs w:val="24"/>
                <w:lang w:val="en-US"/>
              </w:rPr>
              <w:t xml:space="preserve">The list price of faricimab is £857 for 1 vial of 120 mg per 1 ml solution for injection (excl VAT). The company has a commercial arrangement which makes faricimab available to the NHS with a discount. The size of the discount is commercial in confidence. </w:t>
            </w:r>
          </w:p>
          <w:p w14:paraId="377FA3FC" w14:textId="1DECDA80" w:rsidR="001C7976" w:rsidRPr="000C65D2" w:rsidRDefault="001C7976" w:rsidP="001C7976">
            <w:pPr>
              <w:rPr>
                <w:i/>
                <w:sz w:val="24"/>
                <w:szCs w:val="24"/>
              </w:rPr>
            </w:pPr>
            <w:r w:rsidRPr="000C65D2">
              <w:rPr>
                <w:sz w:val="24"/>
                <w:szCs w:val="24"/>
                <w:lang w:val="en-US"/>
              </w:rPr>
              <w:t>The availability of biosimilars could lead to significant financial implications. Ranibizumab is already available as a</w:t>
            </w:r>
            <w:r w:rsidRPr="000C65D2">
              <w:rPr>
                <w:sz w:val="24"/>
                <w:szCs w:val="24"/>
              </w:rPr>
              <w:t xml:space="preserve"> </w:t>
            </w:r>
            <w:r w:rsidRPr="000C65D2">
              <w:rPr>
                <w:sz w:val="24"/>
                <w:szCs w:val="24"/>
                <w:lang w:val="en-US"/>
              </w:rPr>
              <w:t>biosimilar. A biosimilar of aflibercept is expected in 2025.</w:t>
            </w:r>
          </w:p>
        </w:tc>
        <w:tc>
          <w:tcPr>
            <w:tcW w:w="2160" w:type="dxa"/>
            <w:shd w:val="clear" w:color="auto" w:fill="FFFFFF"/>
          </w:tcPr>
          <w:p w14:paraId="36C2BF8F" w14:textId="77777777" w:rsidR="001C7976" w:rsidRPr="000C65D2" w:rsidRDefault="001C7976" w:rsidP="001C7976">
            <w:pPr>
              <w:rPr>
                <w:iCs/>
                <w:sz w:val="24"/>
                <w:szCs w:val="24"/>
              </w:rPr>
            </w:pPr>
            <w:r w:rsidRPr="000C65D2">
              <w:rPr>
                <w:iCs/>
                <w:sz w:val="24"/>
                <w:szCs w:val="24"/>
              </w:rPr>
              <w:t>Approve addition to formulary</w:t>
            </w:r>
          </w:p>
        </w:tc>
      </w:tr>
    </w:tbl>
    <w:p w14:paraId="6A3D49F8" w14:textId="2E27E77E" w:rsidR="00686FE4" w:rsidRDefault="00686FE4" w:rsidP="00432265">
      <w:pPr>
        <w:pStyle w:val="BodyText"/>
        <w:tabs>
          <w:tab w:val="clear" w:pos="975"/>
        </w:tabs>
        <w:spacing w:before="68" w:after="0"/>
        <w:ind w:left="1"/>
        <w:jc w:val="center"/>
        <w:rPr>
          <w:rFonts w:ascii="Helvetica" w:hAnsi="Helvetica" w:cs="Helvetica"/>
          <w:color w:val="4C4D4F"/>
        </w:rPr>
      </w:pPr>
    </w:p>
    <w:p w14:paraId="4BE899CD" w14:textId="77777777" w:rsidR="001C7976" w:rsidRDefault="001C7976" w:rsidP="00432265">
      <w:pPr>
        <w:pStyle w:val="BodyText"/>
        <w:tabs>
          <w:tab w:val="clear" w:pos="975"/>
        </w:tabs>
        <w:spacing w:before="68" w:after="0"/>
        <w:ind w:left="1"/>
        <w:jc w:val="center"/>
        <w:rPr>
          <w:rFonts w:ascii="Helvetica" w:hAnsi="Helvetica" w:cs="Helvetica"/>
          <w:color w:val="4C4D4F"/>
        </w:rPr>
      </w:pPr>
    </w:p>
    <w:tbl>
      <w:tblPr>
        <w:tblpPr w:leftFromText="180" w:rightFromText="180" w:vertAnchor="text" w:horzAnchor="margin" w:tblpX="-22" w:tblpY="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4"/>
      </w:tblGrid>
      <w:tr w:rsidR="008606FE" w:rsidRPr="00383A54" w14:paraId="36DCCF9F" w14:textId="77777777" w:rsidTr="00D05BAD">
        <w:trPr>
          <w:cantSplit/>
        </w:trPr>
        <w:tc>
          <w:tcPr>
            <w:tcW w:w="5000" w:type="pct"/>
            <w:shd w:val="clear" w:color="auto" w:fill="auto"/>
          </w:tcPr>
          <w:p w14:paraId="2384C095" w14:textId="4BFC6E8E" w:rsidR="008606FE" w:rsidRPr="00383A54" w:rsidRDefault="008606FE" w:rsidP="00D05BAD">
            <w:pPr>
              <w:tabs>
                <w:tab w:val="clear" w:pos="975"/>
              </w:tabs>
              <w:spacing w:before="120" w:after="120"/>
              <w:jc w:val="center"/>
              <w:rPr>
                <w:sz w:val="24"/>
                <w:szCs w:val="24"/>
              </w:rPr>
            </w:pPr>
            <w:r w:rsidRPr="00383A54">
              <w:rPr>
                <w:rFonts w:eastAsia="Calibri"/>
                <w:b/>
                <w:color w:val="1F497D"/>
                <w:sz w:val="24"/>
                <w:szCs w:val="24"/>
              </w:rPr>
              <w:t xml:space="preserve">DECISIONS </w:t>
            </w:r>
            <w:r>
              <w:rPr>
                <w:rFonts w:eastAsia="Calibri"/>
                <w:b/>
                <w:color w:val="1F497D"/>
                <w:sz w:val="24"/>
                <w:szCs w:val="24"/>
              </w:rPr>
              <w:t>FOR INFORMATION ONLY</w:t>
            </w:r>
          </w:p>
        </w:tc>
      </w:tr>
    </w:tbl>
    <w:p w14:paraId="4C5B1B60" w14:textId="6698272F" w:rsidR="008606FE" w:rsidRDefault="008606FE" w:rsidP="00432265">
      <w:pPr>
        <w:pStyle w:val="BodyText"/>
        <w:tabs>
          <w:tab w:val="clear" w:pos="975"/>
        </w:tabs>
        <w:spacing w:before="68" w:after="0"/>
        <w:ind w:left="1"/>
        <w:jc w:val="center"/>
        <w:rPr>
          <w:rFonts w:ascii="Helvetica" w:hAnsi="Helvetica" w:cs="Helvetica"/>
          <w:color w:val="4C4D4F"/>
        </w:rPr>
      </w:pPr>
    </w:p>
    <w:tbl>
      <w:tblPr>
        <w:tblW w:w="15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3402"/>
        <w:gridCol w:w="2126"/>
        <w:gridCol w:w="2693"/>
        <w:gridCol w:w="5528"/>
        <w:gridCol w:w="44"/>
      </w:tblGrid>
      <w:tr w:rsidR="00436283" w:rsidRPr="000C65D2" w14:paraId="0DE7E7FD" w14:textId="77777777" w:rsidTr="001C7976">
        <w:trPr>
          <w:gridAfter w:val="1"/>
          <w:wAfter w:w="44" w:type="dxa"/>
          <w:cantSplit/>
          <w:trHeight w:val="548"/>
          <w:tblHeader/>
        </w:trPr>
        <w:tc>
          <w:tcPr>
            <w:tcW w:w="2122" w:type="dxa"/>
            <w:tcBorders>
              <w:bottom w:val="single" w:sz="4" w:space="0" w:color="auto"/>
            </w:tcBorders>
            <w:shd w:val="clear" w:color="auto" w:fill="B6DDE8"/>
          </w:tcPr>
          <w:p w14:paraId="6AC9A8D3" w14:textId="77777777" w:rsidR="00436283" w:rsidRPr="000C65D2" w:rsidRDefault="00436283" w:rsidP="00D05BAD">
            <w:pPr>
              <w:tabs>
                <w:tab w:val="clear" w:pos="975"/>
              </w:tabs>
              <w:rPr>
                <w:rFonts w:eastAsia="Calibri"/>
                <w:b/>
                <w:sz w:val="24"/>
                <w:szCs w:val="24"/>
              </w:rPr>
            </w:pPr>
            <w:r w:rsidRPr="000C65D2">
              <w:rPr>
                <w:rFonts w:eastAsia="Calibri"/>
                <w:b/>
                <w:sz w:val="24"/>
                <w:szCs w:val="24"/>
              </w:rPr>
              <w:t xml:space="preserve">Drug and indication </w:t>
            </w:r>
          </w:p>
        </w:tc>
        <w:tc>
          <w:tcPr>
            <w:tcW w:w="3402" w:type="dxa"/>
            <w:tcBorders>
              <w:bottom w:val="single" w:sz="4" w:space="0" w:color="auto"/>
            </w:tcBorders>
            <w:shd w:val="clear" w:color="auto" w:fill="B6DDE8"/>
          </w:tcPr>
          <w:p w14:paraId="555E9971" w14:textId="77777777" w:rsidR="00436283" w:rsidRPr="000C65D2" w:rsidRDefault="00436283" w:rsidP="00D05BAD">
            <w:pPr>
              <w:tabs>
                <w:tab w:val="clear" w:pos="975"/>
              </w:tabs>
              <w:rPr>
                <w:rFonts w:eastAsia="Calibri"/>
                <w:b/>
                <w:sz w:val="24"/>
                <w:szCs w:val="24"/>
              </w:rPr>
            </w:pPr>
            <w:r w:rsidRPr="000C65D2">
              <w:rPr>
                <w:rFonts w:eastAsia="Calibri"/>
                <w:b/>
                <w:sz w:val="24"/>
                <w:szCs w:val="24"/>
              </w:rPr>
              <w:t>Rationale / criteria</w:t>
            </w:r>
          </w:p>
        </w:tc>
        <w:tc>
          <w:tcPr>
            <w:tcW w:w="2126" w:type="dxa"/>
            <w:tcBorders>
              <w:bottom w:val="single" w:sz="4" w:space="0" w:color="auto"/>
            </w:tcBorders>
            <w:shd w:val="clear" w:color="auto" w:fill="B6DDE8"/>
          </w:tcPr>
          <w:p w14:paraId="29316862" w14:textId="77777777" w:rsidR="00436283" w:rsidRPr="000C65D2" w:rsidRDefault="00436283" w:rsidP="00D05BAD">
            <w:pPr>
              <w:tabs>
                <w:tab w:val="clear" w:pos="975"/>
              </w:tabs>
              <w:rPr>
                <w:rFonts w:eastAsia="Calibri"/>
                <w:b/>
                <w:sz w:val="24"/>
                <w:szCs w:val="24"/>
              </w:rPr>
            </w:pPr>
            <w:r w:rsidRPr="000C65D2">
              <w:rPr>
                <w:rFonts w:eastAsia="Calibri"/>
                <w:b/>
                <w:sz w:val="24"/>
                <w:szCs w:val="24"/>
              </w:rPr>
              <w:t>Status and formulary position assigned</w:t>
            </w:r>
          </w:p>
        </w:tc>
        <w:tc>
          <w:tcPr>
            <w:tcW w:w="2693" w:type="dxa"/>
            <w:tcBorders>
              <w:bottom w:val="single" w:sz="4" w:space="0" w:color="auto"/>
            </w:tcBorders>
            <w:shd w:val="clear" w:color="auto" w:fill="B6DDE8"/>
          </w:tcPr>
          <w:p w14:paraId="677E3364" w14:textId="77777777" w:rsidR="00436283" w:rsidRPr="000C65D2" w:rsidRDefault="00436283" w:rsidP="00D05BAD">
            <w:pPr>
              <w:tabs>
                <w:tab w:val="clear" w:pos="975"/>
              </w:tabs>
              <w:rPr>
                <w:rFonts w:eastAsia="Calibri"/>
                <w:b/>
                <w:sz w:val="24"/>
                <w:szCs w:val="24"/>
              </w:rPr>
            </w:pPr>
            <w:r w:rsidRPr="000C65D2">
              <w:rPr>
                <w:rFonts w:eastAsia="Calibri"/>
                <w:b/>
                <w:sz w:val="24"/>
                <w:szCs w:val="24"/>
              </w:rPr>
              <w:t>Notes on decision</w:t>
            </w:r>
          </w:p>
        </w:tc>
        <w:tc>
          <w:tcPr>
            <w:tcW w:w="5528" w:type="dxa"/>
            <w:tcBorders>
              <w:bottom w:val="single" w:sz="4" w:space="0" w:color="auto"/>
            </w:tcBorders>
            <w:shd w:val="clear" w:color="auto" w:fill="B6DDE8"/>
          </w:tcPr>
          <w:p w14:paraId="6F868194" w14:textId="77777777" w:rsidR="00436283" w:rsidRPr="000C65D2" w:rsidRDefault="00436283" w:rsidP="00D05BAD">
            <w:pPr>
              <w:tabs>
                <w:tab w:val="clear" w:pos="975"/>
              </w:tabs>
              <w:rPr>
                <w:rFonts w:eastAsia="Calibri"/>
                <w:b/>
                <w:sz w:val="24"/>
                <w:szCs w:val="24"/>
              </w:rPr>
            </w:pPr>
            <w:r w:rsidRPr="000C65D2">
              <w:rPr>
                <w:rFonts w:eastAsia="Calibri"/>
                <w:b/>
                <w:sz w:val="24"/>
                <w:szCs w:val="24"/>
              </w:rPr>
              <w:t>Cost impact</w:t>
            </w:r>
          </w:p>
        </w:tc>
      </w:tr>
      <w:tr w:rsidR="00436283" w:rsidRPr="000C65D2" w14:paraId="3EC8A034" w14:textId="77777777" w:rsidTr="001C7976">
        <w:trPr>
          <w:gridAfter w:val="1"/>
          <w:wAfter w:w="44" w:type="dxa"/>
          <w:cantSplit/>
          <w:trHeight w:val="548"/>
        </w:trPr>
        <w:tc>
          <w:tcPr>
            <w:tcW w:w="2122" w:type="dxa"/>
            <w:shd w:val="clear" w:color="auto" w:fill="auto"/>
          </w:tcPr>
          <w:p w14:paraId="6EF85FA2" w14:textId="6595F8AD" w:rsidR="00436283" w:rsidRPr="000C65D2" w:rsidRDefault="009C1AA0" w:rsidP="00436283">
            <w:pPr>
              <w:rPr>
                <w:bCs/>
                <w:color w:val="000000"/>
                <w:sz w:val="24"/>
                <w:szCs w:val="24"/>
              </w:rPr>
            </w:pPr>
            <w:r w:rsidRPr="000C65D2">
              <w:rPr>
                <w:bCs/>
                <w:color w:val="000000"/>
                <w:sz w:val="24"/>
                <w:szCs w:val="24"/>
              </w:rPr>
              <w:t>HNY APC minutes – November 2024</w:t>
            </w:r>
          </w:p>
        </w:tc>
        <w:tc>
          <w:tcPr>
            <w:tcW w:w="3402" w:type="dxa"/>
          </w:tcPr>
          <w:p w14:paraId="4979C615" w14:textId="41866081" w:rsidR="00436283" w:rsidRPr="000C65D2" w:rsidRDefault="00436283" w:rsidP="00436283">
            <w:pPr>
              <w:rPr>
                <w:sz w:val="24"/>
                <w:szCs w:val="24"/>
              </w:rPr>
            </w:pPr>
          </w:p>
        </w:tc>
        <w:tc>
          <w:tcPr>
            <w:tcW w:w="2126" w:type="dxa"/>
            <w:shd w:val="clear" w:color="auto" w:fill="auto"/>
          </w:tcPr>
          <w:p w14:paraId="5FB0F3C3" w14:textId="0270EED0" w:rsidR="00436283" w:rsidRPr="000C65D2" w:rsidRDefault="00436283" w:rsidP="00436283">
            <w:pPr>
              <w:rPr>
                <w:iCs/>
                <w:sz w:val="24"/>
                <w:szCs w:val="24"/>
              </w:rPr>
            </w:pPr>
          </w:p>
        </w:tc>
        <w:tc>
          <w:tcPr>
            <w:tcW w:w="2693" w:type="dxa"/>
            <w:shd w:val="clear" w:color="auto" w:fill="auto"/>
          </w:tcPr>
          <w:p w14:paraId="22845B68" w14:textId="2A613CF6" w:rsidR="00436283" w:rsidRPr="000C65D2" w:rsidRDefault="009C1AA0" w:rsidP="00436283">
            <w:pPr>
              <w:rPr>
                <w:sz w:val="24"/>
                <w:szCs w:val="24"/>
              </w:rPr>
            </w:pPr>
            <w:r w:rsidRPr="000C65D2">
              <w:rPr>
                <w:sz w:val="24"/>
                <w:szCs w:val="24"/>
              </w:rPr>
              <w:t>Approved</w:t>
            </w:r>
          </w:p>
        </w:tc>
        <w:tc>
          <w:tcPr>
            <w:tcW w:w="5528" w:type="dxa"/>
          </w:tcPr>
          <w:p w14:paraId="2732C5F1" w14:textId="2BC6BDED" w:rsidR="00436283" w:rsidRPr="000C65D2" w:rsidRDefault="00436283" w:rsidP="00436283">
            <w:pPr>
              <w:rPr>
                <w:sz w:val="24"/>
                <w:szCs w:val="24"/>
              </w:rPr>
            </w:pPr>
          </w:p>
        </w:tc>
      </w:tr>
      <w:tr w:rsidR="009C1AA0" w:rsidRPr="000C65D2" w14:paraId="78777BDC" w14:textId="77777777" w:rsidTr="001C7976">
        <w:trPr>
          <w:gridAfter w:val="1"/>
          <w:wAfter w:w="44" w:type="dxa"/>
          <w:cantSplit/>
          <w:trHeight w:val="548"/>
        </w:trPr>
        <w:tc>
          <w:tcPr>
            <w:tcW w:w="2122" w:type="dxa"/>
            <w:shd w:val="clear" w:color="auto" w:fill="auto"/>
          </w:tcPr>
          <w:p w14:paraId="0898B4A9" w14:textId="63BEFCA7" w:rsidR="009C1AA0" w:rsidRPr="000C65D2" w:rsidRDefault="009C1AA0" w:rsidP="009C1AA0">
            <w:pPr>
              <w:rPr>
                <w:bCs/>
                <w:color w:val="000000"/>
                <w:sz w:val="24"/>
                <w:szCs w:val="24"/>
              </w:rPr>
            </w:pPr>
            <w:r w:rsidRPr="000C65D2">
              <w:rPr>
                <w:bCs/>
                <w:color w:val="000000"/>
                <w:sz w:val="24"/>
                <w:szCs w:val="24"/>
              </w:rPr>
              <w:t>HNY APC minutes – December 2024</w:t>
            </w:r>
          </w:p>
        </w:tc>
        <w:tc>
          <w:tcPr>
            <w:tcW w:w="3402" w:type="dxa"/>
          </w:tcPr>
          <w:p w14:paraId="65575D15" w14:textId="77777777" w:rsidR="009C1AA0" w:rsidRPr="000C65D2" w:rsidRDefault="009C1AA0" w:rsidP="009C1AA0">
            <w:pPr>
              <w:rPr>
                <w:sz w:val="24"/>
                <w:szCs w:val="24"/>
              </w:rPr>
            </w:pPr>
          </w:p>
        </w:tc>
        <w:tc>
          <w:tcPr>
            <w:tcW w:w="2126" w:type="dxa"/>
            <w:shd w:val="clear" w:color="auto" w:fill="auto"/>
          </w:tcPr>
          <w:p w14:paraId="639AD67A" w14:textId="77777777" w:rsidR="009C1AA0" w:rsidRPr="000C65D2" w:rsidRDefault="009C1AA0" w:rsidP="009C1AA0">
            <w:pPr>
              <w:rPr>
                <w:iCs/>
                <w:sz w:val="24"/>
                <w:szCs w:val="24"/>
              </w:rPr>
            </w:pPr>
          </w:p>
        </w:tc>
        <w:tc>
          <w:tcPr>
            <w:tcW w:w="2693" w:type="dxa"/>
            <w:shd w:val="clear" w:color="auto" w:fill="auto"/>
          </w:tcPr>
          <w:p w14:paraId="4622FD15" w14:textId="02C0CF99" w:rsidR="009C1AA0" w:rsidRPr="000C65D2" w:rsidRDefault="009C1AA0" w:rsidP="009C1AA0">
            <w:pPr>
              <w:rPr>
                <w:sz w:val="24"/>
                <w:szCs w:val="24"/>
              </w:rPr>
            </w:pPr>
            <w:r w:rsidRPr="000C65D2">
              <w:rPr>
                <w:sz w:val="24"/>
                <w:szCs w:val="24"/>
              </w:rPr>
              <w:t>Approved</w:t>
            </w:r>
          </w:p>
        </w:tc>
        <w:tc>
          <w:tcPr>
            <w:tcW w:w="5528" w:type="dxa"/>
          </w:tcPr>
          <w:p w14:paraId="4753E4A5" w14:textId="77777777" w:rsidR="009C1AA0" w:rsidRPr="000C65D2" w:rsidRDefault="009C1AA0" w:rsidP="009C1AA0">
            <w:pPr>
              <w:rPr>
                <w:sz w:val="24"/>
                <w:szCs w:val="24"/>
              </w:rPr>
            </w:pPr>
          </w:p>
        </w:tc>
      </w:tr>
      <w:tr w:rsidR="006D4B89" w:rsidRPr="000C65D2" w14:paraId="2A03913F" w14:textId="77777777" w:rsidTr="00932EE9">
        <w:trPr>
          <w:gridAfter w:val="1"/>
          <w:wAfter w:w="44" w:type="dxa"/>
          <w:cantSplit/>
          <w:trHeight w:val="548"/>
        </w:trPr>
        <w:tc>
          <w:tcPr>
            <w:tcW w:w="15871" w:type="dxa"/>
            <w:gridSpan w:val="5"/>
            <w:shd w:val="clear" w:color="auto" w:fill="auto"/>
          </w:tcPr>
          <w:p w14:paraId="392BE134" w14:textId="77777777" w:rsidR="006D4B89" w:rsidRPr="000C65D2" w:rsidRDefault="006D4B89" w:rsidP="006D4B89">
            <w:pPr>
              <w:tabs>
                <w:tab w:val="left" w:pos="720"/>
              </w:tabs>
              <w:rPr>
                <w:b/>
                <w:bCs/>
                <w:sz w:val="24"/>
                <w:szCs w:val="24"/>
                <w:lang w:val="en-US"/>
              </w:rPr>
            </w:pPr>
            <w:r w:rsidRPr="000C65D2">
              <w:rPr>
                <w:b/>
                <w:bCs/>
                <w:sz w:val="24"/>
                <w:szCs w:val="24"/>
                <w:lang w:val="en-US"/>
              </w:rPr>
              <w:lastRenderedPageBreak/>
              <w:t xml:space="preserve">NHSE-commissioned NICE TAs </w:t>
            </w:r>
          </w:p>
          <w:p w14:paraId="263862E5" w14:textId="444540B0" w:rsidR="006D4B89" w:rsidRPr="000C65D2" w:rsidRDefault="006D4B89" w:rsidP="006D4B89">
            <w:pPr>
              <w:rPr>
                <w:sz w:val="24"/>
                <w:szCs w:val="24"/>
                <w:lang w:val="en-US"/>
              </w:rPr>
            </w:pPr>
            <w:r w:rsidRPr="000C65D2">
              <w:rPr>
                <w:sz w:val="24"/>
                <w:szCs w:val="24"/>
                <w:lang w:val="en-US"/>
              </w:rPr>
              <w:t>The following NHSE-commissioned medicines received positive NICE appraisals. They will be assessed by provider trusts once all necessary information is available, and if added to the HNY formulary they will have a status of RED.</w:t>
            </w:r>
          </w:p>
          <w:p w14:paraId="2B54604E" w14:textId="77777777" w:rsidR="006D4B89" w:rsidRPr="000C65D2" w:rsidRDefault="006D4B89" w:rsidP="006D4B89">
            <w:pPr>
              <w:numPr>
                <w:ilvl w:val="0"/>
                <w:numId w:val="45"/>
              </w:numPr>
              <w:tabs>
                <w:tab w:val="left" w:pos="720"/>
              </w:tabs>
              <w:contextualSpacing/>
              <w:rPr>
                <w:sz w:val="24"/>
                <w:szCs w:val="24"/>
                <w:lang w:val="en-US"/>
              </w:rPr>
            </w:pPr>
            <w:r w:rsidRPr="000C65D2">
              <w:rPr>
                <w:sz w:val="24"/>
                <w:szCs w:val="24"/>
                <w:lang w:val="en-US"/>
              </w:rPr>
              <w:t xml:space="preserve">TA1000: Iptacopan for treating paroxysmal nocturnal </w:t>
            </w:r>
            <w:proofErr w:type="spellStart"/>
            <w:r w:rsidRPr="000C65D2">
              <w:rPr>
                <w:sz w:val="24"/>
                <w:szCs w:val="24"/>
                <w:lang w:val="en-US"/>
              </w:rPr>
              <w:t>haemoglobinuria</w:t>
            </w:r>
            <w:proofErr w:type="spellEnd"/>
          </w:p>
          <w:p w14:paraId="5EFF4888" w14:textId="77777777" w:rsidR="006D4B89" w:rsidRPr="000C65D2" w:rsidRDefault="006D4B89" w:rsidP="006D4B89">
            <w:pPr>
              <w:numPr>
                <w:ilvl w:val="0"/>
                <w:numId w:val="45"/>
              </w:numPr>
              <w:tabs>
                <w:tab w:val="left" w:pos="720"/>
              </w:tabs>
              <w:contextualSpacing/>
              <w:rPr>
                <w:sz w:val="24"/>
                <w:szCs w:val="24"/>
                <w:lang w:val="en-US"/>
              </w:rPr>
            </w:pPr>
            <w:r w:rsidRPr="000C65D2">
              <w:rPr>
                <w:sz w:val="24"/>
                <w:szCs w:val="24"/>
                <w:lang w:val="en-US"/>
              </w:rPr>
              <w:t>TA1001: Zanubrutinib for treating marginal zone lymphoma after anti-CD20-based treatment</w:t>
            </w:r>
          </w:p>
          <w:p w14:paraId="028E6C17" w14:textId="77777777" w:rsidR="006D4B89" w:rsidRPr="000C65D2" w:rsidRDefault="006D4B89" w:rsidP="006D4B89">
            <w:pPr>
              <w:numPr>
                <w:ilvl w:val="0"/>
                <w:numId w:val="45"/>
              </w:numPr>
              <w:tabs>
                <w:tab w:val="left" w:pos="720"/>
              </w:tabs>
              <w:contextualSpacing/>
              <w:rPr>
                <w:sz w:val="24"/>
                <w:szCs w:val="24"/>
                <w:lang w:val="en-US"/>
              </w:rPr>
            </w:pPr>
            <w:r w:rsidRPr="000C65D2">
              <w:rPr>
                <w:sz w:val="24"/>
                <w:szCs w:val="24"/>
                <w:lang w:val="en-US"/>
              </w:rPr>
              <w:t xml:space="preserve">TA1002: Evinacumab for treating homozygous familial </w:t>
            </w:r>
            <w:proofErr w:type="spellStart"/>
            <w:r w:rsidRPr="000C65D2">
              <w:rPr>
                <w:sz w:val="24"/>
                <w:szCs w:val="24"/>
                <w:lang w:val="en-US"/>
              </w:rPr>
              <w:t>hypercholesterolaemia</w:t>
            </w:r>
            <w:proofErr w:type="spellEnd"/>
            <w:r w:rsidRPr="000C65D2">
              <w:rPr>
                <w:sz w:val="24"/>
                <w:szCs w:val="24"/>
                <w:lang w:val="en-US"/>
              </w:rPr>
              <w:t xml:space="preserve"> in people 12 years and over</w:t>
            </w:r>
          </w:p>
          <w:p w14:paraId="2CD56A4D" w14:textId="77777777" w:rsidR="006D4B89" w:rsidRPr="000C65D2" w:rsidRDefault="006D4B89" w:rsidP="006D4B89">
            <w:pPr>
              <w:numPr>
                <w:ilvl w:val="0"/>
                <w:numId w:val="45"/>
              </w:numPr>
              <w:tabs>
                <w:tab w:val="left" w:pos="720"/>
              </w:tabs>
              <w:contextualSpacing/>
              <w:rPr>
                <w:sz w:val="24"/>
                <w:szCs w:val="24"/>
                <w:lang w:val="en-US"/>
              </w:rPr>
            </w:pPr>
            <w:r w:rsidRPr="000C65D2">
              <w:rPr>
                <w:sz w:val="24"/>
                <w:szCs w:val="24"/>
                <w:lang w:val="en-US"/>
              </w:rPr>
              <w:t xml:space="preserve">TA1003: </w:t>
            </w:r>
            <w:proofErr w:type="spellStart"/>
            <w:r w:rsidRPr="000C65D2">
              <w:rPr>
                <w:sz w:val="24"/>
                <w:szCs w:val="24"/>
                <w:lang w:val="en-US"/>
              </w:rPr>
              <w:t>Exagamglogene</w:t>
            </w:r>
            <w:proofErr w:type="spellEnd"/>
            <w:r w:rsidRPr="000C65D2">
              <w:rPr>
                <w:sz w:val="24"/>
                <w:szCs w:val="24"/>
                <w:lang w:val="en-US"/>
              </w:rPr>
              <w:t xml:space="preserve"> </w:t>
            </w:r>
            <w:proofErr w:type="spellStart"/>
            <w:r w:rsidRPr="000C65D2">
              <w:rPr>
                <w:sz w:val="24"/>
                <w:szCs w:val="24"/>
                <w:lang w:val="en-US"/>
              </w:rPr>
              <w:t>autotemcel</w:t>
            </w:r>
            <w:proofErr w:type="spellEnd"/>
            <w:r w:rsidRPr="000C65D2">
              <w:rPr>
                <w:sz w:val="24"/>
                <w:szCs w:val="24"/>
                <w:lang w:val="en-US"/>
              </w:rPr>
              <w:t xml:space="preserve"> for treating transfusion-dependent beta-</w:t>
            </w:r>
            <w:proofErr w:type="spellStart"/>
            <w:r w:rsidRPr="000C65D2">
              <w:rPr>
                <w:sz w:val="24"/>
                <w:szCs w:val="24"/>
                <w:lang w:val="en-US"/>
              </w:rPr>
              <w:t>thalassaemia</w:t>
            </w:r>
            <w:proofErr w:type="spellEnd"/>
            <w:r w:rsidRPr="000C65D2">
              <w:rPr>
                <w:sz w:val="24"/>
                <w:szCs w:val="24"/>
                <w:lang w:val="en-US"/>
              </w:rPr>
              <w:t xml:space="preserve"> in people 12 years and over</w:t>
            </w:r>
          </w:p>
          <w:p w14:paraId="125BCB71" w14:textId="77777777" w:rsidR="006D4B89" w:rsidRPr="000C65D2" w:rsidRDefault="006D4B89" w:rsidP="006D4B89">
            <w:pPr>
              <w:numPr>
                <w:ilvl w:val="0"/>
                <w:numId w:val="45"/>
              </w:numPr>
              <w:tabs>
                <w:tab w:val="left" w:pos="720"/>
              </w:tabs>
              <w:contextualSpacing/>
              <w:rPr>
                <w:sz w:val="24"/>
                <w:szCs w:val="24"/>
                <w:lang w:val="en-US"/>
              </w:rPr>
            </w:pPr>
            <w:r w:rsidRPr="000C65D2">
              <w:rPr>
                <w:sz w:val="24"/>
                <w:szCs w:val="24"/>
                <w:lang w:val="en-US"/>
              </w:rPr>
              <w:t xml:space="preserve">TA1005: </w:t>
            </w:r>
            <w:proofErr w:type="spellStart"/>
            <w:r w:rsidRPr="000C65D2">
              <w:rPr>
                <w:sz w:val="24"/>
                <w:szCs w:val="24"/>
                <w:lang w:val="en-US"/>
              </w:rPr>
              <w:t>Futibatinib</w:t>
            </w:r>
            <w:proofErr w:type="spellEnd"/>
            <w:r w:rsidRPr="000C65D2">
              <w:rPr>
                <w:sz w:val="24"/>
                <w:szCs w:val="24"/>
                <w:lang w:val="en-US"/>
              </w:rPr>
              <w:t xml:space="preserve"> for previously treated advanced cholangiocarcinoma with FGFR2 fusion or rearrangement</w:t>
            </w:r>
          </w:p>
          <w:p w14:paraId="64CE92CE" w14:textId="77777777" w:rsidR="006D4B89" w:rsidRPr="000C65D2" w:rsidRDefault="006D4B89" w:rsidP="006D4B89">
            <w:pPr>
              <w:numPr>
                <w:ilvl w:val="0"/>
                <w:numId w:val="45"/>
              </w:numPr>
              <w:tabs>
                <w:tab w:val="left" w:pos="720"/>
              </w:tabs>
              <w:contextualSpacing/>
              <w:rPr>
                <w:sz w:val="24"/>
                <w:szCs w:val="24"/>
              </w:rPr>
            </w:pPr>
            <w:r w:rsidRPr="000C65D2">
              <w:rPr>
                <w:sz w:val="24"/>
                <w:szCs w:val="24"/>
                <w:lang w:val="en-US"/>
              </w:rPr>
              <w:t>TA1007: Rucaparib for maintenance treatment of relapsed platinum-sensitive ovarian, fallopian tube or peritoneal cancer</w:t>
            </w:r>
          </w:p>
          <w:p w14:paraId="2AA8D517" w14:textId="44EA1FB1" w:rsidR="006D4B89" w:rsidRPr="000C65D2" w:rsidRDefault="006D4B89" w:rsidP="006D4B89">
            <w:pPr>
              <w:numPr>
                <w:ilvl w:val="0"/>
                <w:numId w:val="45"/>
              </w:numPr>
              <w:tabs>
                <w:tab w:val="left" w:pos="720"/>
              </w:tabs>
              <w:contextualSpacing/>
              <w:rPr>
                <w:sz w:val="24"/>
                <w:szCs w:val="24"/>
              </w:rPr>
            </w:pPr>
            <w:r w:rsidRPr="000C65D2">
              <w:rPr>
                <w:sz w:val="24"/>
                <w:szCs w:val="24"/>
                <w:lang w:val="en-US"/>
              </w:rPr>
              <w:t>TA1008: Trifluridine–tipiracil with bevacizumab for treating metastatic colorectal cancer after 2 systemic treatments</w:t>
            </w:r>
          </w:p>
        </w:tc>
      </w:tr>
      <w:tr w:rsidR="009C1AA0" w:rsidRPr="000C65D2" w14:paraId="6520CA2D" w14:textId="77777777" w:rsidTr="001C7976">
        <w:trPr>
          <w:cantSplit/>
        </w:trPr>
        <w:tc>
          <w:tcPr>
            <w:tcW w:w="15915" w:type="dxa"/>
            <w:gridSpan w:val="6"/>
            <w:shd w:val="clear" w:color="auto" w:fill="auto"/>
          </w:tcPr>
          <w:p w14:paraId="0487B469" w14:textId="77777777" w:rsidR="009C1AA0" w:rsidRPr="000C65D2" w:rsidRDefault="009C1AA0" w:rsidP="009C1AA0">
            <w:pPr>
              <w:jc w:val="center"/>
              <w:rPr>
                <w:iCs/>
                <w:sz w:val="24"/>
                <w:szCs w:val="24"/>
              </w:rPr>
            </w:pPr>
            <w:r w:rsidRPr="000C65D2">
              <w:rPr>
                <w:rFonts w:eastAsia="Calibri"/>
                <w:sz w:val="24"/>
                <w:szCs w:val="24"/>
              </w:rPr>
              <w:t>All links to MHRA drug safety updates added to formulary as published. Significant alerts where further action is required are highlighted.</w:t>
            </w:r>
          </w:p>
        </w:tc>
      </w:tr>
    </w:tbl>
    <w:p w14:paraId="762420D8" w14:textId="77777777" w:rsidR="008606FE" w:rsidRDefault="008606FE" w:rsidP="00432265">
      <w:pPr>
        <w:pStyle w:val="BodyText"/>
        <w:tabs>
          <w:tab w:val="clear" w:pos="975"/>
        </w:tabs>
        <w:spacing w:before="68" w:after="0"/>
        <w:ind w:left="1"/>
        <w:jc w:val="center"/>
        <w:rPr>
          <w:rFonts w:ascii="Helvetica" w:hAnsi="Helvetica" w:cs="Helvetica"/>
          <w:color w:val="4C4D4F"/>
        </w:rPr>
      </w:pPr>
    </w:p>
    <w:p w14:paraId="6F2B6514" w14:textId="77777777" w:rsidR="005C0229" w:rsidRPr="000C65D2" w:rsidRDefault="005C0229" w:rsidP="000C65D2">
      <w:pPr>
        <w:pStyle w:val="BodyText"/>
        <w:tabs>
          <w:tab w:val="clear" w:pos="975"/>
        </w:tabs>
        <w:spacing w:before="68" w:after="0"/>
        <w:rPr>
          <w:rFonts w:ascii="Helvetica" w:hAnsi="Helvetica" w:cs="Helvetica"/>
          <w:color w:val="4C4D4F"/>
          <w:sz w:val="24"/>
          <w:szCs w:val="24"/>
        </w:rPr>
      </w:pPr>
    </w:p>
    <w:p w14:paraId="6BF63F97" w14:textId="77777777" w:rsidR="001C7976" w:rsidRPr="000C65D2" w:rsidRDefault="001C7976" w:rsidP="001C7976">
      <w:pPr>
        <w:pStyle w:val="BodyText"/>
        <w:spacing w:before="68"/>
        <w:ind w:left="1"/>
        <w:jc w:val="center"/>
        <w:rPr>
          <w:color w:val="4C4D4F"/>
          <w:sz w:val="24"/>
          <w:szCs w:val="24"/>
        </w:rPr>
      </w:pPr>
      <w:r w:rsidRPr="000C65D2">
        <w:rPr>
          <w:color w:val="4C4D4F"/>
          <w:sz w:val="24"/>
          <w:szCs w:val="24"/>
        </w:rPr>
        <w:t>HNY APC Professional Secretariat Provided by:</w:t>
      </w:r>
    </w:p>
    <w:p w14:paraId="60F27020" w14:textId="77777777" w:rsidR="001C7976" w:rsidRPr="000C65D2" w:rsidRDefault="001C7976" w:rsidP="001C7976">
      <w:pPr>
        <w:pStyle w:val="BodyText"/>
        <w:spacing w:before="68"/>
        <w:ind w:left="1"/>
        <w:jc w:val="center"/>
        <w:rPr>
          <w:sz w:val="24"/>
          <w:szCs w:val="24"/>
        </w:rPr>
      </w:pPr>
      <w:r w:rsidRPr="000C65D2">
        <w:rPr>
          <w:color w:val="4C4D4F"/>
          <w:sz w:val="24"/>
          <w:szCs w:val="24"/>
        </w:rPr>
        <w:t>Regional Drug and Therapeutics Centre</w:t>
      </w:r>
    </w:p>
    <w:p w14:paraId="4FC46799" w14:textId="77777777" w:rsidR="001C7976" w:rsidRPr="000C65D2" w:rsidRDefault="001C7976" w:rsidP="001C7976">
      <w:pPr>
        <w:pStyle w:val="BodyText"/>
        <w:spacing w:before="4"/>
        <w:ind w:left="1"/>
        <w:jc w:val="center"/>
        <w:rPr>
          <w:sz w:val="24"/>
          <w:szCs w:val="24"/>
        </w:rPr>
      </w:pPr>
      <w:r w:rsidRPr="000C65D2">
        <w:rPr>
          <w:color w:val="4C4D4F"/>
          <w:sz w:val="24"/>
          <w:szCs w:val="24"/>
        </w:rPr>
        <w:t>16/17 Framlington Place, Newcastle upon Tyne, NE2 4AB</w:t>
      </w:r>
    </w:p>
    <w:p w14:paraId="3CC7289B" w14:textId="77777777" w:rsidR="001C7976" w:rsidRPr="000C65D2" w:rsidRDefault="001C7976" w:rsidP="001C7976">
      <w:pPr>
        <w:tabs>
          <w:tab w:val="left" w:pos="1770"/>
          <w:tab w:val="left" w:pos="3611"/>
          <w:tab w:val="left" w:pos="6712"/>
        </w:tabs>
        <w:spacing w:before="3"/>
        <w:jc w:val="center"/>
        <w:rPr>
          <w:sz w:val="24"/>
          <w:szCs w:val="24"/>
        </w:rPr>
      </w:pPr>
      <w:bookmarkStart w:id="0" w:name="_Hlk183004187"/>
      <w:r w:rsidRPr="000C65D2">
        <w:rPr>
          <w:color w:val="4C4D4F"/>
          <w:spacing w:val="-5"/>
          <w:sz w:val="24"/>
          <w:szCs w:val="24"/>
        </w:rPr>
        <w:t xml:space="preserve">Tel: </w:t>
      </w:r>
      <w:r w:rsidRPr="000C65D2">
        <w:rPr>
          <w:b/>
          <w:color w:val="4C4D4F"/>
          <w:sz w:val="24"/>
          <w:szCs w:val="24"/>
        </w:rPr>
        <w:t>0191</w:t>
      </w:r>
      <w:r w:rsidRPr="000C65D2">
        <w:rPr>
          <w:b/>
          <w:color w:val="4C4D4F"/>
          <w:spacing w:val="15"/>
          <w:sz w:val="24"/>
          <w:szCs w:val="24"/>
        </w:rPr>
        <w:t xml:space="preserve"> </w:t>
      </w:r>
      <w:r w:rsidRPr="000C65D2">
        <w:rPr>
          <w:b/>
          <w:color w:val="4C4D4F"/>
          <w:sz w:val="24"/>
          <w:szCs w:val="24"/>
        </w:rPr>
        <w:t>213</w:t>
      </w:r>
      <w:r w:rsidRPr="000C65D2">
        <w:rPr>
          <w:b/>
          <w:color w:val="4C4D4F"/>
          <w:spacing w:val="5"/>
          <w:sz w:val="24"/>
          <w:szCs w:val="24"/>
        </w:rPr>
        <w:t xml:space="preserve"> </w:t>
      </w:r>
      <w:r w:rsidRPr="000C65D2">
        <w:rPr>
          <w:b/>
          <w:color w:val="4C4D4F"/>
          <w:sz w:val="24"/>
          <w:szCs w:val="24"/>
        </w:rPr>
        <w:t>7855</w:t>
      </w:r>
      <w:r w:rsidRPr="000C65D2">
        <w:rPr>
          <w:b/>
          <w:color w:val="4C4D4F"/>
          <w:sz w:val="24"/>
          <w:szCs w:val="24"/>
        </w:rPr>
        <w:tab/>
      </w:r>
      <w:r w:rsidRPr="000C65D2">
        <w:rPr>
          <w:color w:val="4C4D4F"/>
          <w:sz w:val="24"/>
          <w:szCs w:val="24"/>
        </w:rPr>
        <w:t xml:space="preserve">email:  </w:t>
      </w:r>
      <w:hyperlink r:id="rId17" w:history="1">
        <w:r w:rsidRPr="000C65D2">
          <w:rPr>
            <w:rStyle w:val="Hyperlink"/>
            <w:rFonts w:cs="Arial"/>
            <w:sz w:val="24"/>
            <w:szCs w:val="24"/>
          </w:rPr>
          <w:t>nuth.nyrdtc.rxsupp@nhs.net</w:t>
        </w:r>
      </w:hyperlink>
      <w:r w:rsidRPr="000C65D2">
        <w:rPr>
          <w:sz w:val="24"/>
          <w:szCs w:val="24"/>
        </w:rPr>
        <w:t xml:space="preserve"> </w:t>
      </w:r>
      <w:r w:rsidRPr="000C65D2">
        <w:rPr>
          <w:color w:val="4C4D4F"/>
          <w:spacing w:val="19"/>
          <w:sz w:val="24"/>
          <w:szCs w:val="24"/>
        </w:rPr>
        <w:t xml:space="preserve">  </w:t>
      </w:r>
      <w:r w:rsidRPr="000C65D2">
        <w:rPr>
          <w:color w:val="4C4D4F"/>
          <w:sz w:val="24"/>
          <w:szCs w:val="24"/>
        </w:rPr>
        <w:t>visit:</w:t>
      </w:r>
      <w:r w:rsidRPr="000C65D2">
        <w:rPr>
          <w:color w:val="4C4D4F"/>
          <w:spacing w:val="4"/>
          <w:sz w:val="24"/>
          <w:szCs w:val="24"/>
        </w:rPr>
        <w:t xml:space="preserve"> </w:t>
      </w:r>
      <w:hyperlink r:id="rId18" w:history="1">
        <w:r w:rsidRPr="000C65D2">
          <w:rPr>
            <w:rStyle w:val="Hyperlink"/>
            <w:rFonts w:cs="Arial"/>
            <w:sz w:val="24"/>
            <w:szCs w:val="24"/>
          </w:rPr>
          <w:t>https://humberandnorthyorkshire.org.uk/area-prescribing-committee-apc/</w:t>
        </w:r>
      </w:hyperlink>
      <w:r w:rsidRPr="000C65D2">
        <w:rPr>
          <w:sz w:val="24"/>
          <w:szCs w:val="24"/>
        </w:rPr>
        <w:t xml:space="preserve"> </w:t>
      </w:r>
    </w:p>
    <w:bookmarkEnd w:id="0"/>
    <w:p w14:paraId="3F6D9BD9" w14:textId="77777777" w:rsidR="001C7976" w:rsidRPr="000C65D2" w:rsidRDefault="001C7976" w:rsidP="001C7976">
      <w:pPr>
        <w:ind w:left="12"/>
        <w:jc w:val="center"/>
        <w:rPr>
          <w:sz w:val="24"/>
          <w:szCs w:val="24"/>
        </w:rPr>
      </w:pPr>
      <w:r w:rsidRPr="000C65D2">
        <w:rPr>
          <w:noProof/>
          <w:position w:val="-15"/>
          <w:sz w:val="24"/>
          <w:szCs w:val="24"/>
          <w:lang w:eastAsia="en-GB"/>
        </w:rPr>
        <w:drawing>
          <wp:inline distT="0" distB="0" distL="0" distR="0" wp14:anchorId="146C8D26" wp14:editId="236FB79C">
            <wp:extent cx="295147" cy="295147"/>
            <wp:effectExtent l="0" t="0" r="0" b="0"/>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9" cstate="print"/>
                    <a:stretch>
                      <a:fillRect/>
                    </a:stretch>
                  </pic:blipFill>
                  <pic:spPr>
                    <a:xfrm>
                      <a:off x="0" y="0"/>
                      <a:ext cx="295147" cy="295147"/>
                    </a:xfrm>
                    <a:prstGeom prst="rect">
                      <a:avLst/>
                    </a:prstGeom>
                  </pic:spPr>
                </pic:pic>
              </a:graphicData>
            </a:graphic>
          </wp:inline>
        </w:drawing>
      </w:r>
      <w:r w:rsidRPr="000C65D2">
        <w:rPr>
          <w:rFonts w:ascii="Times New Roman"/>
          <w:sz w:val="24"/>
          <w:szCs w:val="24"/>
        </w:rPr>
        <w:t xml:space="preserve">  </w:t>
      </w:r>
      <w:r w:rsidRPr="000C65D2">
        <w:rPr>
          <w:rFonts w:ascii="Times New Roman"/>
          <w:spacing w:val="-10"/>
          <w:sz w:val="24"/>
          <w:szCs w:val="24"/>
        </w:rPr>
        <w:t xml:space="preserve"> </w:t>
      </w:r>
      <w:hyperlink r:id="rId20">
        <w:r w:rsidRPr="000C65D2">
          <w:rPr>
            <w:color w:val="456DA9"/>
            <w:sz w:val="24"/>
            <w:szCs w:val="24"/>
          </w:rPr>
          <w:t>@RDTC_Rx</w:t>
        </w:r>
      </w:hyperlink>
    </w:p>
    <w:p w14:paraId="6B00AFFE" w14:textId="77777777" w:rsidR="001C7976" w:rsidRPr="000C65D2" w:rsidRDefault="001C7976" w:rsidP="001C7976">
      <w:pPr>
        <w:spacing w:before="56" w:line="266" w:lineRule="auto"/>
        <w:ind w:left="613" w:right="610"/>
        <w:jc w:val="center"/>
        <w:rPr>
          <w:sz w:val="24"/>
          <w:szCs w:val="24"/>
        </w:rPr>
      </w:pPr>
      <w:r w:rsidRPr="000C65D2">
        <w:rPr>
          <w:color w:val="4C4D4F"/>
          <w:sz w:val="24"/>
          <w:szCs w:val="24"/>
        </w:rPr>
        <w:t>THIS DOCUMENT IS INTENDED FOR USE BY NHS HEALTHCARE PROFESSIONALS AND CANNOT BE USED FOR COMMERCIAL OR MARKETING PURPOSES. PATIENT INFORMATION ON MANY TOPICS CAN BE ACCESSED VIA NHS CHOICES</w:t>
      </w:r>
    </w:p>
    <w:p w14:paraId="0C19F98F" w14:textId="2FE1250D" w:rsidR="00560ADF" w:rsidRDefault="00560ADF" w:rsidP="00432265">
      <w:pPr>
        <w:pStyle w:val="BodyText"/>
        <w:tabs>
          <w:tab w:val="clear" w:pos="975"/>
        </w:tabs>
        <w:spacing w:before="68" w:after="0"/>
        <w:ind w:left="1"/>
        <w:jc w:val="center"/>
      </w:pPr>
    </w:p>
    <w:sectPr w:rsidR="00560ADF" w:rsidSect="00BB4FF3">
      <w:type w:val="continuous"/>
      <w:pgSz w:w="16840" w:h="11910" w:orient="landscape"/>
      <w:pgMar w:top="567" w:right="520" w:bottom="993" w:left="426" w:header="720" w:footer="1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65566" w14:textId="77777777" w:rsidR="00286647" w:rsidRDefault="00286647" w:rsidP="007909C3">
      <w:r>
        <w:separator/>
      </w:r>
    </w:p>
  </w:endnote>
  <w:endnote w:type="continuationSeparator" w:id="0">
    <w:p w14:paraId="66954E71" w14:textId="77777777" w:rsidR="00286647" w:rsidRDefault="00286647" w:rsidP="00790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Oblique">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E42F" w14:textId="68DDE0B8" w:rsidR="00B47BFE" w:rsidRDefault="00B47BFE" w:rsidP="007909C3">
    <w:pPr>
      <w:pStyle w:val="Footer"/>
    </w:pPr>
    <w:r>
      <w:rPr>
        <w:noProof/>
        <w:sz w:val="13"/>
        <w:lang w:eastAsia="en-GB"/>
      </w:rPr>
      <w:drawing>
        <wp:inline distT="0" distB="0" distL="0" distR="0" wp14:anchorId="3CDC6C78" wp14:editId="6F3A1421">
          <wp:extent cx="539497" cy="222504"/>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rsidR="003A0939">
      <w:tab/>
    </w:r>
    <w:proofErr w:type="gramStart"/>
    <w:r w:rsidR="003A0939">
      <w:tab/>
    </w:r>
    <w:r w:rsidRPr="00B47BFE">
      <w:t xml:space="preserve">  </w:t>
    </w:r>
    <w:r w:rsidR="00CC2256">
      <w:t>December</w:t>
    </w:r>
    <w:proofErr w:type="gramEnd"/>
    <w:r w:rsidRPr="00B47BFE">
      <w:t xml:space="preserve">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F0FD0" w14:textId="453F46DD" w:rsidR="00B47BFE" w:rsidRDefault="00B47BFE" w:rsidP="007909C3">
    <w:pPr>
      <w:pStyle w:val="Footer"/>
    </w:pPr>
    <w:r>
      <w:rPr>
        <w:noProof/>
        <w:sz w:val="13"/>
        <w:lang w:eastAsia="en-GB"/>
      </w:rPr>
      <w:drawing>
        <wp:inline distT="0" distB="0" distL="0" distR="0" wp14:anchorId="4067C498" wp14:editId="67EDCD6A">
          <wp:extent cx="539497" cy="222504"/>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Produced by the Regional Drug and Therapeutics Centre</w:t>
    </w:r>
    <w:r w:rsidR="009A721C">
      <w:tab/>
    </w:r>
    <w:r w:rsidR="009A721C">
      <w:tab/>
    </w:r>
    <w:r w:rsidR="009A721C">
      <w:tab/>
    </w:r>
    <w:r w:rsidR="009A721C">
      <w:tab/>
    </w:r>
    <w:r w:rsidR="009A721C">
      <w:tab/>
    </w:r>
    <w:r w:rsidR="009A721C">
      <w:tab/>
    </w:r>
    <w:r w:rsidR="009A721C">
      <w:tab/>
    </w:r>
    <w:r w:rsidR="009A721C">
      <w:tab/>
    </w:r>
    <w:r w:rsidR="009A721C">
      <w:tab/>
    </w:r>
    <w:r w:rsidR="00040A7D">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9C280" w14:textId="7FB488D9" w:rsidR="00C97823" w:rsidRDefault="00FC005D" w:rsidP="007909C3">
    <w:pPr>
      <w:pStyle w:val="Footer"/>
    </w:pPr>
    <w:r>
      <w:rPr>
        <w:noProof/>
        <w:sz w:val="13"/>
        <w:lang w:eastAsia="en-GB"/>
      </w:rPr>
      <w:drawing>
        <wp:inline distT="0" distB="0" distL="0" distR="0" wp14:anchorId="65C7F0BF" wp14:editId="426BAA20">
          <wp:extent cx="539497" cy="222504"/>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ab/>
      <w:t xml:space="preserve">               </w:t>
    </w:r>
    <w:r w:rsidRPr="00B47BFE">
      <w:t xml:space="preserve">Produced by the Regional Drug and Therapeutics Centre                                                                                             </w:t>
    </w:r>
    <w:r>
      <w:t xml:space="preserve">                                            </w:t>
    </w:r>
    <w:r w:rsidRPr="00B47BFE">
      <w:t xml:space="preserve">  </w:t>
    </w:r>
    <w:r w:rsidR="003A0939">
      <w:tab/>
    </w:r>
    <w:r w:rsidR="003A0939">
      <w:tab/>
    </w:r>
    <w:r w:rsidR="00040A7D">
      <w:t>January 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18DE6" w14:textId="2EE8E88A" w:rsidR="00383A54" w:rsidRDefault="00383A54" w:rsidP="007909C3">
    <w:pPr>
      <w:pStyle w:val="Footer"/>
    </w:pPr>
    <w:r>
      <w:rPr>
        <w:noProof/>
        <w:sz w:val="13"/>
        <w:lang w:eastAsia="en-GB"/>
      </w:rPr>
      <w:drawing>
        <wp:inline distT="0" distB="0" distL="0" distR="0" wp14:anchorId="0D21034A" wp14:editId="4687F224">
          <wp:extent cx="539497" cy="222504"/>
          <wp:effectExtent l="0" t="0" r="0" b="63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HS text 85pc-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9497" cy="222504"/>
                  </a:xfrm>
                  <a:prstGeom prst="rect">
                    <a:avLst/>
                  </a:prstGeom>
                </pic:spPr>
              </pic:pic>
            </a:graphicData>
          </a:graphic>
        </wp:inline>
      </w:drawing>
    </w:r>
    <w:r>
      <w:t xml:space="preserve">          </w:t>
    </w:r>
    <w:r w:rsidRPr="00B47BFE">
      <w:t xml:space="preserve">Produced by the Regional Drug and Therapeutics Centre                                                                                             </w:t>
    </w:r>
    <w:r>
      <w:t xml:space="preserve">                                                </w:t>
    </w:r>
    <w:r w:rsidRPr="00B47BFE">
      <w:t xml:space="preserve"> </w:t>
    </w:r>
    <w:r>
      <w:tab/>
    </w:r>
    <w:r>
      <w:tab/>
    </w:r>
    <w:r w:rsidR="001849DB">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5F20F" w14:textId="77777777" w:rsidR="00286647" w:rsidRDefault="00286647" w:rsidP="007909C3">
      <w:r>
        <w:separator/>
      </w:r>
    </w:p>
  </w:footnote>
  <w:footnote w:type="continuationSeparator" w:id="0">
    <w:p w14:paraId="37B291DE" w14:textId="77777777" w:rsidR="00286647" w:rsidRDefault="00286647" w:rsidP="00790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CBF"/>
    <w:multiLevelType w:val="hybridMultilevel"/>
    <w:tmpl w:val="8FC4D0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F985E9F"/>
    <w:multiLevelType w:val="hybridMultilevel"/>
    <w:tmpl w:val="926E2D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194D70"/>
    <w:multiLevelType w:val="hybridMultilevel"/>
    <w:tmpl w:val="FE26B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042594"/>
    <w:multiLevelType w:val="hybridMultilevel"/>
    <w:tmpl w:val="6CA2E71E"/>
    <w:lvl w:ilvl="0" w:tplc="1E16A0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875114"/>
    <w:multiLevelType w:val="hybridMultilevel"/>
    <w:tmpl w:val="5866B0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7C767B9"/>
    <w:multiLevelType w:val="hybridMultilevel"/>
    <w:tmpl w:val="C79A1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6557B"/>
    <w:multiLevelType w:val="hybridMultilevel"/>
    <w:tmpl w:val="115C46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F31435F"/>
    <w:multiLevelType w:val="hybridMultilevel"/>
    <w:tmpl w:val="C1CC3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D56930"/>
    <w:multiLevelType w:val="hybridMultilevel"/>
    <w:tmpl w:val="1792AE5E"/>
    <w:lvl w:ilvl="0" w:tplc="CA0CD1C2">
      <w:start w:val="1"/>
      <w:numFmt w:val="bullet"/>
      <w:pStyle w:val="ListParagraph"/>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00B0FC3"/>
    <w:multiLevelType w:val="multilevel"/>
    <w:tmpl w:val="C27A7EA0"/>
    <w:lvl w:ilvl="0">
      <w:start w:val="1"/>
      <w:numFmt w:val="bullet"/>
      <w:lvlText w:val=""/>
      <w:lvlJc w:val="left"/>
      <w:pPr>
        <w:tabs>
          <w:tab w:val="num" w:pos="360"/>
        </w:tabs>
        <w:ind w:left="360" w:hanging="360"/>
      </w:pPr>
      <w:rPr>
        <w:rFonts w:ascii="Symbol" w:hAnsi="Symbol" w:hint="default"/>
        <w:sz w:val="20"/>
      </w:rPr>
    </w:lvl>
    <w:lvl w:ilvl="1" w:tentative="1">
      <w:numFmt w:val="bullet"/>
      <w:lvlText w:val="o"/>
      <w:lvlJc w:val="left"/>
      <w:pPr>
        <w:tabs>
          <w:tab w:val="num" w:pos="1080"/>
        </w:tabs>
        <w:ind w:left="1080" w:hanging="360"/>
      </w:pPr>
      <w:rPr>
        <w:rFonts w:ascii="Courier New" w:hAnsi="Courier New" w:hint="default"/>
        <w:sz w:val="20"/>
      </w:rPr>
    </w:lvl>
    <w:lvl w:ilvl="2" w:tentative="1">
      <w:numFmt w:val="bullet"/>
      <w:lvlText w:val=""/>
      <w:lvlJc w:val="left"/>
      <w:pPr>
        <w:tabs>
          <w:tab w:val="num" w:pos="1800"/>
        </w:tabs>
        <w:ind w:left="1800" w:hanging="360"/>
      </w:pPr>
      <w:rPr>
        <w:rFonts w:ascii="Wingdings" w:hAnsi="Wingdings" w:hint="default"/>
        <w:sz w:val="20"/>
      </w:rPr>
    </w:lvl>
    <w:lvl w:ilvl="3" w:tentative="1">
      <w:numFmt w:val="bullet"/>
      <w:lvlText w:val=""/>
      <w:lvlJc w:val="left"/>
      <w:pPr>
        <w:tabs>
          <w:tab w:val="num" w:pos="2520"/>
        </w:tabs>
        <w:ind w:left="2520" w:hanging="360"/>
      </w:pPr>
      <w:rPr>
        <w:rFonts w:ascii="Wingdings" w:hAnsi="Wingdings" w:hint="default"/>
        <w:sz w:val="20"/>
      </w:rPr>
    </w:lvl>
    <w:lvl w:ilvl="4" w:tentative="1">
      <w:numFmt w:val="bullet"/>
      <w:lvlText w:val=""/>
      <w:lvlJc w:val="left"/>
      <w:pPr>
        <w:tabs>
          <w:tab w:val="num" w:pos="3240"/>
        </w:tabs>
        <w:ind w:left="3240" w:hanging="360"/>
      </w:pPr>
      <w:rPr>
        <w:rFonts w:ascii="Wingdings" w:hAnsi="Wingdings" w:hint="default"/>
        <w:sz w:val="20"/>
      </w:rPr>
    </w:lvl>
    <w:lvl w:ilvl="5" w:tentative="1">
      <w:numFmt w:val="bullet"/>
      <w:lvlText w:val=""/>
      <w:lvlJc w:val="left"/>
      <w:pPr>
        <w:tabs>
          <w:tab w:val="num" w:pos="3960"/>
        </w:tabs>
        <w:ind w:left="3960" w:hanging="360"/>
      </w:pPr>
      <w:rPr>
        <w:rFonts w:ascii="Wingdings" w:hAnsi="Wingdings" w:hint="default"/>
        <w:sz w:val="20"/>
      </w:rPr>
    </w:lvl>
    <w:lvl w:ilvl="6" w:tentative="1">
      <w:numFmt w:val="bullet"/>
      <w:lvlText w:val=""/>
      <w:lvlJc w:val="left"/>
      <w:pPr>
        <w:tabs>
          <w:tab w:val="num" w:pos="4680"/>
        </w:tabs>
        <w:ind w:left="4680" w:hanging="360"/>
      </w:pPr>
      <w:rPr>
        <w:rFonts w:ascii="Wingdings" w:hAnsi="Wingdings" w:hint="default"/>
        <w:sz w:val="20"/>
      </w:rPr>
    </w:lvl>
    <w:lvl w:ilvl="7" w:tentative="1">
      <w:numFmt w:val="bullet"/>
      <w:lvlText w:val=""/>
      <w:lvlJc w:val="left"/>
      <w:pPr>
        <w:tabs>
          <w:tab w:val="num" w:pos="5400"/>
        </w:tabs>
        <w:ind w:left="5400" w:hanging="360"/>
      </w:pPr>
      <w:rPr>
        <w:rFonts w:ascii="Wingdings" w:hAnsi="Wingdings" w:hint="default"/>
        <w:sz w:val="20"/>
      </w:rPr>
    </w:lvl>
    <w:lvl w:ilvl="8" w:tentative="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21057B79"/>
    <w:multiLevelType w:val="hybridMultilevel"/>
    <w:tmpl w:val="BA608C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B707A8"/>
    <w:multiLevelType w:val="hybridMultilevel"/>
    <w:tmpl w:val="E3F4BB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DE67A9"/>
    <w:multiLevelType w:val="hybridMultilevel"/>
    <w:tmpl w:val="152EE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351A25"/>
    <w:multiLevelType w:val="hybridMultilevel"/>
    <w:tmpl w:val="76EA7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BD54C9E"/>
    <w:multiLevelType w:val="hybridMultilevel"/>
    <w:tmpl w:val="23F4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83A75"/>
    <w:multiLevelType w:val="hybridMultilevel"/>
    <w:tmpl w:val="CD02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9F3481"/>
    <w:multiLevelType w:val="hybridMultilevel"/>
    <w:tmpl w:val="EADEEE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5A22EF"/>
    <w:multiLevelType w:val="hybridMultilevel"/>
    <w:tmpl w:val="E77626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27B5AB9"/>
    <w:multiLevelType w:val="hybridMultilevel"/>
    <w:tmpl w:val="74869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906920"/>
    <w:multiLevelType w:val="hybridMultilevel"/>
    <w:tmpl w:val="8744E0C4"/>
    <w:lvl w:ilvl="0" w:tplc="83E68560">
      <w:numFmt w:val="bullet"/>
      <w:lvlText w:val="•"/>
      <w:lvlJc w:val="left"/>
      <w:pPr>
        <w:ind w:left="524" w:hanging="400"/>
      </w:pPr>
      <w:rPr>
        <w:rFonts w:ascii="Helvetica" w:eastAsia="Helvetica" w:hAnsi="Helvetica" w:cs="Helvetica" w:hint="default"/>
        <w:b/>
        <w:bCs/>
        <w:color w:val="4C4D4F"/>
        <w:w w:val="100"/>
        <w:sz w:val="18"/>
        <w:szCs w:val="18"/>
        <w:lang w:val="en-GB" w:eastAsia="en-US" w:bidi="ar-SA"/>
      </w:rPr>
    </w:lvl>
    <w:lvl w:ilvl="1" w:tplc="1D06E420">
      <w:numFmt w:val="bullet"/>
      <w:lvlText w:val="•"/>
      <w:lvlJc w:val="left"/>
      <w:pPr>
        <w:ind w:left="1562" w:hanging="400"/>
      </w:pPr>
      <w:rPr>
        <w:rFonts w:hint="default"/>
        <w:lang w:val="en-GB" w:eastAsia="en-US" w:bidi="ar-SA"/>
      </w:rPr>
    </w:lvl>
    <w:lvl w:ilvl="2" w:tplc="55E49446">
      <w:numFmt w:val="bullet"/>
      <w:lvlText w:val="•"/>
      <w:lvlJc w:val="left"/>
      <w:pPr>
        <w:ind w:left="2605" w:hanging="400"/>
      </w:pPr>
      <w:rPr>
        <w:rFonts w:hint="default"/>
        <w:lang w:val="en-GB" w:eastAsia="en-US" w:bidi="ar-SA"/>
      </w:rPr>
    </w:lvl>
    <w:lvl w:ilvl="3" w:tplc="ABDE0898">
      <w:numFmt w:val="bullet"/>
      <w:lvlText w:val="•"/>
      <w:lvlJc w:val="left"/>
      <w:pPr>
        <w:ind w:left="3647" w:hanging="400"/>
      </w:pPr>
      <w:rPr>
        <w:rFonts w:hint="default"/>
        <w:lang w:val="en-GB" w:eastAsia="en-US" w:bidi="ar-SA"/>
      </w:rPr>
    </w:lvl>
    <w:lvl w:ilvl="4" w:tplc="FC76DDF4">
      <w:numFmt w:val="bullet"/>
      <w:lvlText w:val="•"/>
      <w:lvlJc w:val="left"/>
      <w:pPr>
        <w:ind w:left="4690" w:hanging="400"/>
      </w:pPr>
      <w:rPr>
        <w:rFonts w:hint="default"/>
        <w:lang w:val="en-GB" w:eastAsia="en-US" w:bidi="ar-SA"/>
      </w:rPr>
    </w:lvl>
    <w:lvl w:ilvl="5" w:tplc="670C94EE">
      <w:numFmt w:val="bullet"/>
      <w:lvlText w:val="•"/>
      <w:lvlJc w:val="left"/>
      <w:pPr>
        <w:ind w:left="5732" w:hanging="400"/>
      </w:pPr>
      <w:rPr>
        <w:rFonts w:hint="default"/>
        <w:lang w:val="en-GB" w:eastAsia="en-US" w:bidi="ar-SA"/>
      </w:rPr>
    </w:lvl>
    <w:lvl w:ilvl="6" w:tplc="DC60DB94">
      <w:numFmt w:val="bullet"/>
      <w:lvlText w:val="•"/>
      <w:lvlJc w:val="left"/>
      <w:pPr>
        <w:ind w:left="6775" w:hanging="400"/>
      </w:pPr>
      <w:rPr>
        <w:rFonts w:hint="default"/>
        <w:lang w:val="en-GB" w:eastAsia="en-US" w:bidi="ar-SA"/>
      </w:rPr>
    </w:lvl>
    <w:lvl w:ilvl="7" w:tplc="54FE16EA">
      <w:numFmt w:val="bullet"/>
      <w:lvlText w:val="•"/>
      <w:lvlJc w:val="left"/>
      <w:pPr>
        <w:ind w:left="7817" w:hanging="400"/>
      </w:pPr>
      <w:rPr>
        <w:rFonts w:hint="default"/>
        <w:lang w:val="en-GB" w:eastAsia="en-US" w:bidi="ar-SA"/>
      </w:rPr>
    </w:lvl>
    <w:lvl w:ilvl="8" w:tplc="4FDC312E">
      <w:numFmt w:val="bullet"/>
      <w:lvlText w:val="•"/>
      <w:lvlJc w:val="left"/>
      <w:pPr>
        <w:ind w:left="8860" w:hanging="400"/>
      </w:pPr>
      <w:rPr>
        <w:rFonts w:hint="default"/>
        <w:lang w:val="en-GB" w:eastAsia="en-US" w:bidi="ar-SA"/>
      </w:rPr>
    </w:lvl>
  </w:abstractNum>
  <w:abstractNum w:abstractNumId="20" w15:restartNumberingAfterBreak="0">
    <w:nsid w:val="38932EDF"/>
    <w:multiLevelType w:val="hybridMultilevel"/>
    <w:tmpl w:val="9E3843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D39055A"/>
    <w:multiLevelType w:val="hybridMultilevel"/>
    <w:tmpl w:val="8B584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652D60"/>
    <w:multiLevelType w:val="hybridMultilevel"/>
    <w:tmpl w:val="04B0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800CB4"/>
    <w:multiLevelType w:val="hybridMultilevel"/>
    <w:tmpl w:val="012427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9AD2401"/>
    <w:multiLevelType w:val="hybridMultilevel"/>
    <w:tmpl w:val="19C881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DAF7CED"/>
    <w:multiLevelType w:val="hybridMultilevel"/>
    <w:tmpl w:val="C33686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10F055C"/>
    <w:multiLevelType w:val="hybridMultilevel"/>
    <w:tmpl w:val="9B92ABBA"/>
    <w:lvl w:ilvl="0" w:tplc="9A8433AE">
      <w:numFmt w:val="bullet"/>
      <w:lvlText w:val="•"/>
      <w:lvlJc w:val="left"/>
      <w:pPr>
        <w:ind w:left="524" w:hanging="400"/>
      </w:pPr>
      <w:rPr>
        <w:rFonts w:ascii="Helvetica" w:eastAsia="Helvetica" w:hAnsi="Helvetica" w:cs="Helvetica" w:hint="default"/>
        <w:color w:val="4C4D4F"/>
        <w:w w:val="100"/>
        <w:sz w:val="18"/>
        <w:szCs w:val="18"/>
        <w:lang w:val="en-GB" w:eastAsia="en-US" w:bidi="ar-SA"/>
      </w:rPr>
    </w:lvl>
    <w:lvl w:ilvl="1" w:tplc="018A444E">
      <w:numFmt w:val="bullet"/>
      <w:lvlText w:val="◦"/>
      <w:lvlJc w:val="left"/>
      <w:pPr>
        <w:ind w:left="980" w:hanging="461"/>
      </w:pPr>
      <w:rPr>
        <w:rFonts w:ascii="Times New Roman" w:eastAsia="Times New Roman" w:hAnsi="Times New Roman" w:cs="Times New Roman" w:hint="default"/>
        <w:color w:val="4C4D4F"/>
        <w:w w:val="100"/>
        <w:sz w:val="18"/>
        <w:szCs w:val="18"/>
        <w:lang w:val="en-GB" w:eastAsia="en-US" w:bidi="ar-SA"/>
      </w:rPr>
    </w:lvl>
    <w:lvl w:ilvl="2" w:tplc="BAD4DF0C">
      <w:numFmt w:val="bullet"/>
      <w:lvlText w:val="•"/>
      <w:lvlJc w:val="left"/>
      <w:pPr>
        <w:ind w:left="2087" w:hanging="461"/>
      </w:pPr>
      <w:rPr>
        <w:rFonts w:hint="default"/>
        <w:lang w:val="en-GB" w:eastAsia="en-US" w:bidi="ar-SA"/>
      </w:rPr>
    </w:lvl>
    <w:lvl w:ilvl="3" w:tplc="4F5865D4">
      <w:numFmt w:val="bullet"/>
      <w:lvlText w:val="•"/>
      <w:lvlJc w:val="left"/>
      <w:pPr>
        <w:ind w:left="3194" w:hanging="461"/>
      </w:pPr>
      <w:rPr>
        <w:rFonts w:hint="default"/>
        <w:lang w:val="en-GB" w:eastAsia="en-US" w:bidi="ar-SA"/>
      </w:rPr>
    </w:lvl>
    <w:lvl w:ilvl="4" w:tplc="D444CEF6">
      <w:numFmt w:val="bullet"/>
      <w:lvlText w:val="•"/>
      <w:lvlJc w:val="left"/>
      <w:pPr>
        <w:ind w:left="4301" w:hanging="461"/>
      </w:pPr>
      <w:rPr>
        <w:rFonts w:hint="default"/>
        <w:lang w:val="en-GB" w:eastAsia="en-US" w:bidi="ar-SA"/>
      </w:rPr>
    </w:lvl>
    <w:lvl w:ilvl="5" w:tplc="63D099EC">
      <w:numFmt w:val="bullet"/>
      <w:lvlText w:val="•"/>
      <w:lvlJc w:val="left"/>
      <w:pPr>
        <w:ind w:left="5409" w:hanging="461"/>
      </w:pPr>
      <w:rPr>
        <w:rFonts w:hint="default"/>
        <w:lang w:val="en-GB" w:eastAsia="en-US" w:bidi="ar-SA"/>
      </w:rPr>
    </w:lvl>
    <w:lvl w:ilvl="6" w:tplc="706C4FEA">
      <w:numFmt w:val="bullet"/>
      <w:lvlText w:val="•"/>
      <w:lvlJc w:val="left"/>
      <w:pPr>
        <w:ind w:left="6516" w:hanging="461"/>
      </w:pPr>
      <w:rPr>
        <w:rFonts w:hint="default"/>
        <w:lang w:val="en-GB" w:eastAsia="en-US" w:bidi="ar-SA"/>
      </w:rPr>
    </w:lvl>
    <w:lvl w:ilvl="7" w:tplc="2A0ECC5C">
      <w:numFmt w:val="bullet"/>
      <w:lvlText w:val="•"/>
      <w:lvlJc w:val="left"/>
      <w:pPr>
        <w:ind w:left="7623" w:hanging="461"/>
      </w:pPr>
      <w:rPr>
        <w:rFonts w:hint="default"/>
        <w:lang w:val="en-GB" w:eastAsia="en-US" w:bidi="ar-SA"/>
      </w:rPr>
    </w:lvl>
    <w:lvl w:ilvl="8" w:tplc="7960F2B4">
      <w:numFmt w:val="bullet"/>
      <w:lvlText w:val="•"/>
      <w:lvlJc w:val="left"/>
      <w:pPr>
        <w:ind w:left="8730" w:hanging="461"/>
      </w:pPr>
      <w:rPr>
        <w:rFonts w:hint="default"/>
        <w:lang w:val="en-GB" w:eastAsia="en-US" w:bidi="ar-SA"/>
      </w:rPr>
    </w:lvl>
  </w:abstractNum>
  <w:abstractNum w:abstractNumId="27" w15:restartNumberingAfterBreak="0">
    <w:nsid w:val="55AC7E33"/>
    <w:multiLevelType w:val="hybridMultilevel"/>
    <w:tmpl w:val="6D888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83D593A"/>
    <w:multiLevelType w:val="hybridMultilevel"/>
    <w:tmpl w:val="A96C09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9FC56AB"/>
    <w:multiLevelType w:val="hybridMultilevel"/>
    <w:tmpl w:val="611CFC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C3515E8"/>
    <w:multiLevelType w:val="hybridMultilevel"/>
    <w:tmpl w:val="3B86E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A02A67"/>
    <w:multiLevelType w:val="hybridMultilevel"/>
    <w:tmpl w:val="B7D28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1E10DE"/>
    <w:multiLevelType w:val="hybridMultilevel"/>
    <w:tmpl w:val="AC6E8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EA161A"/>
    <w:multiLevelType w:val="hybridMultilevel"/>
    <w:tmpl w:val="0A7802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4283112"/>
    <w:multiLevelType w:val="hybridMultilevel"/>
    <w:tmpl w:val="85AC7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E860C0"/>
    <w:multiLevelType w:val="hybridMultilevel"/>
    <w:tmpl w:val="F73E9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DB45461"/>
    <w:multiLevelType w:val="hybridMultilevel"/>
    <w:tmpl w:val="ABD22A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0357995"/>
    <w:multiLevelType w:val="hybridMultilevel"/>
    <w:tmpl w:val="73226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5170D9"/>
    <w:multiLevelType w:val="hybridMultilevel"/>
    <w:tmpl w:val="107E3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D70070"/>
    <w:multiLevelType w:val="hybridMultilevel"/>
    <w:tmpl w:val="0CD823F4"/>
    <w:lvl w:ilvl="0" w:tplc="1E16A090">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F869D3"/>
    <w:multiLevelType w:val="hybridMultilevel"/>
    <w:tmpl w:val="C0F29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AF56B8"/>
    <w:multiLevelType w:val="hybridMultilevel"/>
    <w:tmpl w:val="3F96D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D82A71"/>
    <w:multiLevelType w:val="hybridMultilevel"/>
    <w:tmpl w:val="E358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D54505F"/>
    <w:multiLevelType w:val="hybridMultilevel"/>
    <w:tmpl w:val="04BC13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E7F1889"/>
    <w:multiLevelType w:val="hybridMultilevel"/>
    <w:tmpl w:val="D9A06FCA"/>
    <w:lvl w:ilvl="0" w:tplc="0A6AF910">
      <w:start w:val="1"/>
      <w:numFmt w:val="decimal"/>
      <w:lvlText w:val="%1."/>
      <w:lvlJc w:val="left"/>
      <w:pPr>
        <w:ind w:left="420" w:hanging="300"/>
      </w:pPr>
      <w:rPr>
        <w:rFonts w:ascii="Helvetica" w:eastAsia="Helvetica" w:hAnsi="Helvetica" w:cs="Helvetica" w:hint="default"/>
        <w:color w:val="231F20"/>
        <w:spacing w:val="-8"/>
        <w:w w:val="100"/>
        <w:sz w:val="16"/>
        <w:szCs w:val="16"/>
        <w:lang w:val="en-GB" w:eastAsia="en-US" w:bidi="ar-SA"/>
      </w:rPr>
    </w:lvl>
    <w:lvl w:ilvl="1" w:tplc="652237F8">
      <w:numFmt w:val="bullet"/>
      <w:lvlText w:val="•"/>
      <w:lvlJc w:val="left"/>
      <w:pPr>
        <w:ind w:left="1472" w:hanging="300"/>
      </w:pPr>
      <w:rPr>
        <w:rFonts w:hint="default"/>
        <w:lang w:val="en-GB" w:eastAsia="en-US" w:bidi="ar-SA"/>
      </w:rPr>
    </w:lvl>
    <w:lvl w:ilvl="2" w:tplc="9D569750">
      <w:numFmt w:val="bullet"/>
      <w:lvlText w:val="•"/>
      <w:lvlJc w:val="left"/>
      <w:pPr>
        <w:ind w:left="2525" w:hanging="300"/>
      </w:pPr>
      <w:rPr>
        <w:rFonts w:hint="default"/>
        <w:lang w:val="en-GB" w:eastAsia="en-US" w:bidi="ar-SA"/>
      </w:rPr>
    </w:lvl>
    <w:lvl w:ilvl="3" w:tplc="87625336">
      <w:numFmt w:val="bullet"/>
      <w:lvlText w:val="•"/>
      <w:lvlJc w:val="left"/>
      <w:pPr>
        <w:ind w:left="3577" w:hanging="300"/>
      </w:pPr>
      <w:rPr>
        <w:rFonts w:hint="default"/>
        <w:lang w:val="en-GB" w:eastAsia="en-US" w:bidi="ar-SA"/>
      </w:rPr>
    </w:lvl>
    <w:lvl w:ilvl="4" w:tplc="996C6A82">
      <w:numFmt w:val="bullet"/>
      <w:lvlText w:val="•"/>
      <w:lvlJc w:val="left"/>
      <w:pPr>
        <w:ind w:left="4630" w:hanging="300"/>
      </w:pPr>
      <w:rPr>
        <w:rFonts w:hint="default"/>
        <w:lang w:val="en-GB" w:eastAsia="en-US" w:bidi="ar-SA"/>
      </w:rPr>
    </w:lvl>
    <w:lvl w:ilvl="5" w:tplc="6BFAD874">
      <w:numFmt w:val="bullet"/>
      <w:lvlText w:val="•"/>
      <w:lvlJc w:val="left"/>
      <w:pPr>
        <w:ind w:left="5682" w:hanging="300"/>
      </w:pPr>
      <w:rPr>
        <w:rFonts w:hint="default"/>
        <w:lang w:val="en-GB" w:eastAsia="en-US" w:bidi="ar-SA"/>
      </w:rPr>
    </w:lvl>
    <w:lvl w:ilvl="6" w:tplc="9C2E0926">
      <w:numFmt w:val="bullet"/>
      <w:lvlText w:val="•"/>
      <w:lvlJc w:val="left"/>
      <w:pPr>
        <w:ind w:left="6735" w:hanging="300"/>
      </w:pPr>
      <w:rPr>
        <w:rFonts w:hint="default"/>
        <w:lang w:val="en-GB" w:eastAsia="en-US" w:bidi="ar-SA"/>
      </w:rPr>
    </w:lvl>
    <w:lvl w:ilvl="7" w:tplc="77206462">
      <w:numFmt w:val="bullet"/>
      <w:lvlText w:val="•"/>
      <w:lvlJc w:val="left"/>
      <w:pPr>
        <w:ind w:left="7787" w:hanging="300"/>
      </w:pPr>
      <w:rPr>
        <w:rFonts w:hint="default"/>
        <w:lang w:val="en-GB" w:eastAsia="en-US" w:bidi="ar-SA"/>
      </w:rPr>
    </w:lvl>
    <w:lvl w:ilvl="8" w:tplc="A45A850C">
      <w:numFmt w:val="bullet"/>
      <w:lvlText w:val="•"/>
      <w:lvlJc w:val="left"/>
      <w:pPr>
        <w:ind w:left="8840" w:hanging="300"/>
      </w:pPr>
      <w:rPr>
        <w:rFonts w:hint="default"/>
        <w:lang w:val="en-GB" w:eastAsia="en-US" w:bidi="ar-SA"/>
      </w:rPr>
    </w:lvl>
  </w:abstractNum>
  <w:num w:numId="1" w16cid:durableId="1218276648">
    <w:abstractNumId w:val="44"/>
  </w:num>
  <w:num w:numId="2" w16cid:durableId="1109424914">
    <w:abstractNumId w:val="26"/>
  </w:num>
  <w:num w:numId="3" w16cid:durableId="595023879">
    <w:abstractNumId w:val="19"/>
  </w:num>
  <w:num w:numId="4" w16cid:durableId="124087497">
    <w:abstractNumId w:val="14"/>
  </w:num>
  <w:num w:numId="5" w16cid:durableId="914127018">
    <w:abstractNumId w:val="5"/>
  </w:num>
  <w:num w:numId="6" w16cid:durableId="1287618281">
    <w:abstractNumId w:val="41"/>
  </w:num>
  <w:num w:numId="7" w16cid:durableId="390009698">
    <w:abstractNumId w:val="37"/>
  </w:num>
  <w:num w:numId="8" w16cid:durableId="1157722454">
    <w:abstractNumId w:val="38"/>
  </w:num>
  <w:num w:numId="9" w16cid:durableId="25984793">
    <w:abstractNumId w:val="40"/>
  </w:num>
  <w:num w:numId="10" w16cid:durableId="771364033">
    <w:abstractNumId w:val="3"/>
  </w:num>
  <w:num w:numId="11" w16cid:durableId="1908227811">
    <w:abstractNumId w:val="21"/>
  </w:num>
  <w:num w:numId="12" w16cid:durableId="602147766">
    <w:abstractNumId w:val="39"/>
  </w:num>
  <w:num w:numId="13" w16cid:durableId="1036390419">
    <w:abstractNumId w:val="34"/>
  </w:num>
  <w:num w:numId="14" w16cid:durableId="444925904">
    <w:abstractNumId w:val="2"/>
  </w:num>
  <w:num w:numId="15" w16cid:durableId="1703355786">
    <w:abstractNumId w:val="18"/>
  </w:num>
  <w:num w:numId="16" w16cid:durableId="195311047">
    <w:abstractNumId w:val="15"/>
  </w:num>
  <w:num w:numId="17" w16cid:durableId="935022829">
    <w:abstractNumId w:val="42"/>
  </w:num>
  <w:num w:numId="18" w16cid:durableId="913125461">
    <w:abstractNumId w:val="8"/>
  </w:num>
  <w:num w:numId="19" w16cid:durableId="2106072137">
    <w:abstractNumId w:val="13"/>
  </w:num>
  <w:num w:numId="20" w16cid:durableId="699745356">
    <w:abstractNumId w:val="35"/>
  </w:num>
  <w:num w:numId="21" w16cid:durableId="1515459692">
    <w:abstractNumId w:val="36"/>
  </w:num>
  <w:num w:numId="22" w16cid:durableId="143006363">
    <w:abstractNumId w:val="12"/>
  </w:num>
  <w:num w:numId="23" w16cid:durableId="808085581">
    <w:abstractNumId w:val="10"/>
  </w:num>
  <w:num w:numId="24" w16cid:durableId="248585447">
    <w:abstractNumId w:val="4"/>
  </w:num>
  <w:num w:numId="25" w16cid:durableId="440882360">
    <w:abstractNumId w:val="30"/>
  </w:num>
  <w:num w:numId="26" w16cid:durableId="8141005">
    <w:abstractNumId w:val="9"/>
  </w:num>
  <w:num w:numId="27" w16cid:durableId="1872379938">
    <w:abstractNumId w:val="16"/>
  </w:num>
  <w:num w:numId="28" w16cid:durableId="227035408">
    <w:abstractNumId w:val="7"/>
  </w:num>
  <w:num w:numId="29" w16cid:durableId="907764528">
    <w:abstractNumId w:val="17"/>
  </w:num>
  <w:num w:numId="30" w16cid:durableId="1472208441">
    <w:abstractNumId w:val="1"/>
  </w:num>
  <w:num w:numId="31" w16cid:durableId="1556505847">
    <w:abstractNumId w:val="28"/>
  </w:num>
  <w:num w:numId="32" w16cid:durableId="897785425">
    <w:abstractNumId w:val="29"/>
  </w:num>
  <w:num w:numId="33" w16cid:durableId="508714467">
    <w:abstractNumId w:val="43"/>
  </w:num>
  <w:num w:numId="34" w16cid:durableId="246572895">
    <w:abstractNumId w:val="23"/>
  </w:num>
  <w:num w:numId="35" w16cid:durableId="621427748">
    <w:abstractNumId w:val="6"/>
  </w:num>
  <w:num w:numId="36" w16cid:durableId="457333553">
    <w:abstractNumId w:val="33"/>
  </w:num>
  <w:num w:numId="37" w16cid:durableId="1778254379">
    <w:abstractNumId w:val="0"/>
  </w:num>
  <w:num w:numId="38" w16cid:durableId="966277049">
    <w:abstractNumId w:val="11"/>
  </w:num>
  <w:num w:numId="39" w16cid:durableId="595483652">
    <w:abstractNumId w:val="25"/>
  </w:num>
  <w:num w:numId="40" w16cid:durableId="301888896">
    <w:abstractNumId w:val="20"/>
  </w:num>
  <w:num w:numId="41" w16cid:durableId="226111666">
    <w:abstractNumId w:val="27"/>
  </w:num>
  <w:num w:numId="42" w16cid:durableId="1415130065">
    <w:abstractNumId w:val="22"/>
  </w:num>
  <w:num w:numId="43" w16cid:durableId="1065374138">
    <w:abstractNumId w:val="24"/>
  </w:num>
  <w:num w:numId="44" w16cid:durableId="582105981">
    <w:abstractNumId w:val="32"/>
  </w:num>
  <w:num w:numId="45" w16cid:durableId="112781546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ADF"/>
    <w:rsid w:val="0003501F"/>
    <w:rsid w:val="00040A7D"/>
    <w:rsid w:val="000445EA"/>
    <w:rsid w:val="0004548D"/>
    <w:rsid w:val="00051DB8"/>
    <w:rsid w:val="00052D53"/>
    <w:rsid w:val="00053A7D"/>
    <w:rsid w:val="000676AA"/>
    <w:rsid w:val="00070934"/>
    <w:rsid w:val="0007607C"/>
    <w:rsid w:val="000919D1"/>
    <w:rsid w:val="0009221F"/>
    <w:rsid w:val="000A1DB8"/>
    <w:rsid w:val="000A1EB8"/>
    <w:rsid w:val="000A4068"/>
    <w:rsid w:val="000C4518"/>
    <w:rsid w:val="000C65D2"/>
    <w:rsid w:val="00151934"/>
    <w:rsid w:val="001573FC"/>
    <w:rsid w:val="00163CC8"/>
    <w:rsid w:val="00164BE9"/>
    <w:rsid w:val="001849DB"/>
    <w:rsid w:val="001B586B"/>
    <w:rsid w:val="001C291E"/>
    <w:rsid w:val="001C7976"/>
    <w:rsid w:val="001D1284"/>
    <w:rsid w:val="001F0421"/>
    <w:rsid w:val="001F28EB"/>
    <w:rsid w:val="00212556"/>
    <w:rsid w:val="002243E0"/>
    <w:rsid w:val="00231E30"/>
    <w:rsid w:val="00270030"/>
    <w:rsid w:val="0028057F"/>
    <w:rsid w:val="0028306A"/>
    <w:rsid w:val="00284386"/>
    <w:rsid w:val="00286647"/>
    <w:rsid w:val="00287462"/>
    <w:rsid w:val="00291455"/>
    <w:rsid w:val="00293208"/>
    <w:rsid w:val="00297D20"/>
    <w:rsid w:val="002B7031"/>
    <w:rsid w:val="002C038B"/>
    <w:rsid w:val="002D44AD"/>
    <w:rsid w:val="002D4D5B"/>
    <w:rsid w:val="002D5A93"/>
    <w:rsid w:val="002D6B55"/>
    <w:rsid w:val="00310A03"/>
    <w:rsid w:val="00311322"/>
    <w:rsid w:val="00317A38"/>
    <w:rsid w:val="00341777"/>
    <w:rsid w:val="00364888"/>
    <w:rsid w:val="003662FE"/>
    <w:rsid w:val="003675E8"/>
    <w:rsid w:val="003679C5"/>
    <w:rsid w:val="003721C9"/>
    <w:rsid w:val="00383A54"/>
    <w:rsid w:val="003A0939"/>
    <w:rsid w:val="003A0AA7"/>
    <w:rsid w:val="003A3E0B"/>
    <w:rsid w:val="003B1091"/>
    <w:rsid w:val="003B42C3"/>
    <w:rsid w:val="003F1A3A"/>
    <w:rsid w:val="00432265"/>
    <w:rsid w:val="00433C32"/>
    <w:rsid w:val="00436283"/>
    <w:rsid w:val="00447DF4"/>
    <w:rsid w:val="00472798"/>
    <w:rsid w:val="004A08AE"/>
    <w:rsid w:val="004A58B5"/>
    <w:rsid w:val="004B3656"/>
    <w:rsid w:val="004C6BED"/>
    <w:rsid w:val="004D2801"/>
    <w:rsid w:val="004E5F2D"/>
    <w:rsid w:val="004F4F2C"/>
    <w:rsid w:val="00521D47"/>
    <w:rsid w:val="00560ADF"/>
    <w:rsid w:val="005617A9"/>
    <w:rsid w:val="00562B5A"/>
    <w:rsid w:val="00566C50"/>
    <w:rsid w:val="005B1A2C"/>
    <w:rsid w:val="005B6E51"/>
    <w:rsid w:val="005C0229"/>
    <w:rsid w:val="005C3CE2"/>
    <w:rsid w:val="005F5C08"/>
    <w:rsid w:val="00623832"/>
    <w:rsid w:val="00630CB4"/>
    <w:rsid w:val="00646CBD"/>
    <w:rsid w:val="0067124F"/>
    <w:rsid w:val="00674875"/>
    <w:rsid w:val="00682FF4"/>
    <w:rsid w:val="0068542C"/>
    <w:rsid w:val="00686FE4"/>
    <w:rsid w:val="006B4F2B"/>
    <w:rsid w:val="006D4B89"/>
    <w:rsid w:val="006E3D7B"/>
    <w:rsid w:val="006F093A"/>
    <w:rsid w:val="00712AD4"/>
    <w:rsid w:val="00726EEF"/>
    <w:rsid w:val="00732CE6"/>
    <w:rsid w:val="00734652"/>
    <w:rsid w:val="0079078F"/>
    <w:rsid w:val="007909C3"/>
    <w:rsid w:val="007A31AE"/>
    <w:rsid w:val="007A6E02"/>
    <w:rsid w:val="007F044F"/>
    <w:rsid w:val="007F1855"/>
    <w:rsid w:val="008072D2"/>
    <w:rsid w:val="00842E14"/>
    <w:rsid w:val="008606FE"/>
    <w:rsid w:val="00862815"/>
    <w:rsid w:val="00885EE2"/>
    <w:rsid w:val="00894352"/>
    <w:rsid w:val="00897F5D"/>
    <w:rsid w:val="008C0B9E"/>
    <w:rsid w:val="008D6DE1"/>
    <w:rsid w:val="009108ED"/>
    <w:rsid w:val="00922D21"/>
    <w:rsid w:val="00931096"/>
    <w:rsid w:val="0095030D"/>
    <w:rsid w:val="00983E23"/>
    <w:rsid w:val="009846C4"/>
    <w:rsid w:val="00985184"/>
    <w:rsid w:val="009A721C"/>
    <w:rsid w:val="009C1AA0"/>
    <w:rsid w:val="009C318B"/>
    <w:rsid w:val="009E5F4F"/>
    <w:rsid w:val="009F1555"/>
    <w:rsid w:val="00A01100"/>
    <w:rsid w:val="00A12F07"/>
    <w:rsid w:val="00A1500A"/>
    <w:rsid w:val="00A17C46"/>
    <w:rsid w:val="00A3020A"/>
    <w:rsid w:val="00A550E2"/>
    <w:rsid w:val="00A9155E"/>
    <w:rsid w:val="00AA2250"/>
    <w:rsid w:val="00AA7BB9"/>
    <w:rsid w:val="00AC6922"/>
    <w:rsid w:val="00AE33E4"/>
    <w:rsid w:val="00AF1D87"/>
    <w:rsid w:val="00AF7C38"/>
    <w:rsid w:val="00AF7FFC"/>
    <w:rsid w:val="00B16D53"/>
    <w:rsid w:val="00B221D6"/>
    <w:rsid w:val="00B3576A"/>
    <w:rsid w:val="00B4247C"/>
    <w:rsid w:val="00B43BEE"/>
    <w:rsid w:val="00B47BFE"/>
    <w:rsid w:val="00B53501"/>
    <w:rsid w:val="00B6100A"/>
    <w:rsid w:val="00B624BB"/>
    <w:rsid w:val="00B65BEA"/>
    <w:rsid w:val="00B73289"/>
    <w:rsid w:val="00B83148"/>
    <w:rsid w:val="00B900B4"/>
    <w:rsid w:val="00BB4FF3"/>
    <w:rsid w:val="00BC5B4D"/>
    <w:rsid w:val="00BF1D6B"/>
    <w:rsid w:val="00C00E0A"/>
    <w:rsid w:val="00C05997"/>
    <w:rsid w:val="00C13E92"/>
    <w:rsid w:val="00C20E88"/>
    <w:rsid w:val="00C4153E"/>
    <w:rsid w:val="00C43079"/>
    <w:rsid w:val="00C84BB0"/>
    <w:rsid w:val="00C87597"/>
    <w:rsid w:val="00C966D9"/>
    <w:rsid w:val="00C97823"/>
    <w:rsid w:val="00CA13FA"/>
    <w:rsid w:val="00CA6426"/>
    <w:rsid w:val="00CC205F"/>
    <w:rsid w:val="00CC2256"/>
    <w:rsid w:val="00CC4392"/>
    <w:rsid w:val="00CD18E2"/>
    <w:rsid w:val="00CE2CD0"/>
    <w:rsid w:val="00CE2F6D"/>
    <w:rsid w:val="00D23196"/>
    <w:rsid w:val="00D41C86"/>
    <w:rsid w:val="00D56C5C"/>
    <w:rsid w:val="00D771F7"/>
    <w:rsid w:val="00D77342"/>
    <w:rsid w:val="00DB39EE"/>
    <w:rsid w:val="00DE1560"/>
    <w:rsid w:val="00DF6DD1"/>
    <w:rsid w:val="00E11EB4"/>
    <w:rsid w:val="00E364E4"/>
    <w:rsid w:val="00E36C52"/>
    <w:rsid w:val="00E55444"/>
    <w:rsid w:val="00E7173A"/>
    <w:rsid w:val="00E80933"/>
    <w:rsid w:val="00E83736"/>
    <w:rsid w:val="00E94048"/>
    <w:rsid w:val="00EA5257"/>
    <w:rsid w:val="00EB7C56"/>
    <w:rsid w:val="00EC091D"/>
    <w:rsid w:val="00EC48E4"/>
    <w:rsid w:val="00EC73AA"/>
    <w:rsid w:val="00ED412F"/>
    <w:rsid w:val="00ED4F43"/>
    <w:rsid w:val="00ED7717"/>
    <w:rsid w:val="00EF6D1B"/>
    <w:rsid w:val="00EF72CB"/>
    <w:rsid w:val="00EF74D1"/>
    <w:rsid w:val="00F07C92"/>
    <w:rsid w:val="00F1389B"/>
    <w:rsid w:val="00F13B08"/>
    <w:rsid w:val="00F52BBA"/>
    <w:rsid w:val="00F54CB1"/>
    <w:rsid w:val="00F81187"/>
    <w:rsid w:val="00FB2049"/>
    <w:rsid w:val="00FC005D"/>
    <w:rsid w:val="00FD45B9"/>
    <w:rsid w:val="00FE3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2F6AC6"/>
  <w15:docId w15:val="{B9C31A46-EF9D-4C3D-AE5E-36A4A3B83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976"/>
    <w:pPr>
      <w:tabs>
        <w:tab w:val="left" w:pos="975"/>
      </w:tabs>
      <w:spacing w:before="60" w:after="60"/>
    </w:pPr>
    <w:rPr>
      <w:rFonts w:ascii="Arial" w:eastAsia="Helvetica" w:hAnsi="Arial" w:cs="Arial"/>
      <w:sz w:val="18"/>
      <w:szCs w:val="18"/>
      <w:lang w:val="en-GB"/>
    </w:rPr>
  </w:style>
  <w:style w:type="paragraph" w:styleId="Heading1">
    <w:name w:val="heading 1"/>
    <w:basedOn w:val="Normal"/>
    <w:uiPriority w:val="9"/>
    <w:qFormat/>
    <w:rsid w:val="00ED4F43"/>
    <w:pPr>
      <w:spacing w:before="61"/>
      <w:ind w:left="120"/>
      <w:outlineLvl w:val="0"/>
    </w:pPr>
    <w:rPr>
      <w:rFonts w:ascii="Helvetica-BoldOblique" w:eastAsia="Helvetica-BoldOblique" w:hAnsi="Helvetica-BoldOblique" w:cs="Helvetica-BoldOblique"/>
      <w:b/>
      <w:bCs/>
      <w:i/>
      <w:color w:val="41B6E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1"/>
      <w:ind w:left="124"/>
    </w:pPr>
    <w:rPr>
      <w:rFonts w:ascii="Helvetica-BoldOblique" w:eastAsia="Helvetica-BoldOblique" w:hAnsi="Helvetica-BoldOblique" w:cs="Helvetica-BoldOblique"/>
      <w:b/>
      <w:bCs/>
      <w:i/>
    </w:rPr>
  </w:style>
  <w:style w:type="paragraph" w:styleId="ListParagraph">
    <w:name w:val="List Paragraph"/>
    <w:basedOn w:val="Normal"/>
    <w:uiPriority w:val="34"/>
    <w:qFormat/>
    <w:rsid w:val="003A0939"/>
    <w:pPr>
      <w:numPr>
        <w:numId w:val="18"/>
      </w:numPr>
      <w:ind w:left="357" w:hanging="357"/>
      <w:contextualSpacing/>
    </w:pPr>
  </w:style>
  <w:style w:type="paragraph" w:customStyle="1" w:styleId="TableParagraph">
    <w:name w:val="Table Paragraph"/>
    <w:basedOn w:val="Normal"/>
    <w:uiPriority w:val="1"/>
    <w:qFormat/>
    <w:pPr>
      <w:spacing w:line="172" w:lineRule="exact"/>
    </w:pPr>
    <w:rPr>
      <w:rFonts w:ascii="Calibri" w:eastAsia="Calibri" w:hAnsi="Calibri" w:cs="Calibri"/>
    </w:rPr>
  </w:style>
  <w:style w:type="paragraph" w:styleId="BalloonText">
    <w:name w:val="Balloon Text"/>
    <w:basedOn w:val="Normal"/>
    <w:link w:val="BalloonTextChar"/>
    <w:uiPriority w:val="99"/>
    <w:semiHidden/>
    <w:unhideWhenUsed/>
    <w:rsid w:val="00CC4392"/>
    <w:rPr>
      <w:rFonts w:ascii="Segoe UI" w:hAnsi="Segoe UI" w:cs="Segoe UI"/>
    </w:rPr>
  </w:style>
  <w:style w:type="character" w:customStyle="1" w:styleId="BalloonTextChar">
    <w:name w:val="Balloon Text Char"/>
    <w:basedOn w:val="DefaultParagraphFont"/>
    <w:link w:val="BalloonText"/>
    <w:uiPriority w:val="99"/>
    <w:semiHidden/>
    <w:rsid w:val="00CC4392"/>
    <w:rPr>
      <w:rFonts w:ascii="Segoe UI" w:eastAsia="Helvetica" w:hAnsi="Segoe UI" w:cs="Segoe UI"/>
      <w:sz w:val="18"/>
      <w:szCs w:val="18"/>
      <w:lang w:val="en-GB"/>
    </w:rPr>
  </w:style>
  <w:style w:type="paragraph" w:styleId="Header">
    <w:name w:val="header"/>
    <w:basedOn w:val="Normal"/>
    <w:link w:val="HeaderChar"/>
    <w:uiPriority w:val="99"/>
    <w:unhideWhenUsed/>
    <w:rsid w:val="00922D21"/>
    <w:pPr>
      <w:tabs>
        <w:tab w:val="center" w:pos="4513"/>
        <w:tab w:val="right" w:pos="9026"/>
      </w:tabs>
    </w:pPr>
  </w:style>
  <w:style w:type="character" w:customStyle="1" w:styleId="HeaderChar">
    <w:name w:val="Header Char"/>
    <w:basedOn w:val="DefaultParagraphFont"/>
    <w:link w:val="Header"/>
    <w:uiPriority w:val="99"/>
    <w:rsid w:val="00922D21"/>
    <w:rPr>
      <w:rFonts w:ascii="Helvetica" w:eastAsia="Helvetica" w:hAnsi="Helvetica" w:cs="Helvetica"/>
      <w:lang w:val="en-GB"/>
    </w:rPr>
  </w:style>
  <w:style w:type="paragraph" w:styleId="Footer">
    <w:name w:val="footer"/>
    <w:basedOn w:val="Normal"/>
    <w:link w:val="FooterChar"/>
    <w:uiPriority w:val="99"/>
    <w:unhideWhenUsed/>
    <w:rsid w:val="00922D21"/>
    <w:pPr>
      <w:tabs>
        <w:tab w:val="center" w:pos="4513"/>
        <w:tab w:val="right" w:pos="9026"/>
      </w:tabs>
    </w:pPr>
  </w:style>
  <w:style w:type="character" w:customStyle="1" w:styleId="FooterChar">
    <w:name w:val="Footer Char"/>
    <w:basedOn w:val="DefaultParagraphFont"/>
    <w:link w:val="Footer"/>
    <w:uiPriority w:val="99"/>
    <w:rsid w:val="00922D21"/>
    <w:rPr>
      <w:rFonts w:ascii="Helvetica" w:eastAsia="Helvetica" w:hAnsi="Helvetica" w:cs="Helvetica"/>
      <w:lang w:val="en-GB"/>
    </w:rPr>
  </w:style>
  <w:style w:type="table" w:styleId="TableGrid">
    <w:name w:val="Table Grid"/>
    <w:basedOn w:val="TableNormal"/>
    <w:uiPriority w:val="39"/>
    <w:rsid w:val="00922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4247C"/>
    <w:rPr>
      <w:rFonts w:cs="Times New Roman"/>
      <w:color w:val="0000FF"/>
      <w:u w:val="single"/>
    </w:rPr>
  </w:style>
  <w:style w:type="character" w:styleId="FollowedHyperlink">
    <w:name w:val="FollowedHyperlink"/>
    <w:basedOn w:val="DefaultParagraphFont"/>
    <w:uiPriority w:val="99"/>
    <w:semiHidden/>
    <w:unhideWhenUsed/>
    <w:rsid w:val="009108ED"/>
    <w:rPr>
      <w:color w:val="800080" w:themeColor="followedHyperlink"/>
      <w:u w:val="single"/>
    </w:rPr>
  </w:style>
  <w:style w:type="character" w:styleId="CommentReference">
    <w:name w:val="annotation reference"/>
    <w:basedOn w:val="DefaultParagraphFont"/>
    <w:uiPriority w:val="99"/>
    <w:semiHidden/>
    <w:unhideWhenUsed/>
    <w:rsid w:val="00C97823"/>
    <w:rPr>
      <w:sz w:val="16"/>
      <w:szCs w:val="16"/>
    </w:rPr>
  </w:style>
  <w:style w:type="paragraph" w:styleId="CommentText">
    <w:name w:val="annotation text"/>
    <w:basedOn w:val="Normal"/>
    <w:link w:val="CommentTextChar"/>
    <w:uiPriority w:val="99"/>
    <w:unhideWhenUsed/>
    <w:rsid w:val="00C97823"/>
    <w:rPr>
      <w:sz w:val="20"/>
      <w:szCs w:val="20"/>
    </w:rPr>
  </w:style>
  <w:style w:type="character" w:customStyle="1" w:styleId="CommentTextChar">
    <w:name w:val="Comment Text Char"/>
    <w:basedOn w:val="DefaultParagraphFont"/>
    <w:link w:val="CommentText"/>
    <w:uiPriority w:val="99"/>
    <w:rsid w:val="00C97823"/>
    <w:rPr>
      <w:rFonts w:ascii="Arial" w:eastAsia="Helvetica"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C97823"/>
    <w:rPr>
      <w:b/>
      <w:bCs/>
    </w:rPr>
  </w:style>
  <w:style w:type="character" w:customStyle="1" w:styleId="CommentSubjectChar">
    <w:name w:val="Comment Subject Char"/>
    <w:basedOn w:val="CommentTextChar"/>
    <w:link w:val="CommentSubject"/>
    <w:uiPriority w:val="99"/>
    <w:semiHidden/>
    <w:rsid w:val="00C97823"/>
    <w:rPr>
      <w:rFonts w:ascii="Arial" w:eastAsia="Helvetica"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humberandnorthyorkshire.org.uk/area-prescribing-committee-ap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nuth.nyrdtc.rxsupp@nhs.net" TargetMode="External"/><Relationship Id="rId2" Type="http://schemas.openxmlformats.org/officeDocument/2006/relationships/numbering" Target="numbering.xml"/><Relationship Id="rId16" Type="http://schemas.openxmlformats.org/officeDocument/2006/relationships/hyperlink" Target="https://www.nice.org.uk/guidance/ta1004" TargetMode="External"/><Relationship Id="rId20" Type="http://schemas.openxmlformats.org/officeDocument/2006/relationships/hyperlink" Target="https://twitter.com/RDTC_R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https://humberandnorthyorkshire.org.uk/area-prescribing-committee-apc-minutes-from-meetings/"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ice.org.uk/guidance/ta999"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EF921-D629-4A0E-8206-58C28A5B3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Prescribing Bulletin</vt:lpstr>
    </vt:vector>
  </TitlesOfParts>
  <Company>Newcastle upon Tyne Hospitals NHS Foundation Trust</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Prescribing Bulletin</dc:title>
  <dc:creator>Regional Drug and Therapeutics Centre</dc:creator>
  <cp:lastModifiedBy>KANE, Nancy (THE NEWCASTLE UPON TYNE HOSPITALS NHS FOUNDATION TRUST)</cp:lastModifiedBy>
  <cp:revision>8</cp:revision>
  <dcterms:created xsi:type="dcterms:W3CDTF">2025-01-27T16:42:00Z</dcterms:created>
  <dcterms:modified xsi:type="dcterms:W3CDTF">2025-03-21T12:43:00Z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2020-10-05T00:00:00Z</vt:filetime>
  </property>
  <property fmtid="{D5CDD505-2E9C-101B-9397-08002B2CF9AE}" pid="3" name="Creator">
    <vt:lpwstr>Adobe InDesign 15.1 (Macintosh)</vt:lpwstr>
  </property>
  <property fmtid="{D5CDD505-2E9C-101B-9397-08002B2CF9AE}" pid="4" name="LastSaved">
    <vt:filetime>2020-10-05T00:00:00Z</vt:filetime>
  </property>
</Properties>
</file>