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B5B4" w14:textId="4A0FDFA0" w:rsidR="00560ADF" w:rsidRDefault="009076D2" w:rsidP="007909C3">
      <w:pPr>
        <w:pStyle w:val="BodyText"/>
      </w:pPr>
      <w:r w:rsidRPr="00331EC9">
        <w:rPr>
          <w:noProof/>
          <w:sz w:val="24"/>
          <w:szCs w:val="24"/>
          <w:lang w:eastAsia="en-GB"/>
        </w:rPr>
        <w:drawing>
          <wp:anchor distT="0" distB="0" distL="114300" distR="114300" simplePos="0" relativeHeight="251659264" behindDoc="1" locked="0" layoutInCell="1" allowOverlap="1" wp14:anchorId="2CFE8275" wp14:editId="29428E78">
            <wp:simplePos x="0" y="0"/>
            <wp:positionH relativeFrom="column">
              <wp:posOffset>8629015</wp:posOffset>
            </wp:positionH>
            <wp:positionV relativeFrom="paragraph">
              <wp:posOffset>0</wp:posOffset>
            </wp:positionV>
            <wp:extent cx="1478915" cy="899795"/>
            <wp:effectExtent l="0" t="0" r="6985" b="0"/>
            <wp:wrapTight wrapText="bothSides">
              <wp:wrapPolygon edited="0">
                <wp:start x="0" y="0"/>
                <wp:lineTo x="0" y="21036"/>
                <wp:lineTo x="21424" y="21036"/>
                <wp:lineTo x="21424"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915" cy="899795"/>
                    </a:xfrm>
                    <a:prstGeom prst="rect">
                      <a:avLst/>
                    </a:prstGeom>
                  </pic:spPr>
                </pic:pic>
              </a:graphicData>
            </a:graphic>
            <wp14:sizeRelH relativeFrom="margin">
              <wp14:pctWidth>0</wp14:pctWidth>
            </wp14:sizeRelH>
            <wp14:sizeRelV relativeFrom="margin">
              <wp14:pctHeight>0</wp14:pctHeight>
            </wp14:sizeRelV>
          </wp:anchor>
        </w:drawing>
      </w:r>
      <w:r w:rsidR="001C7976" w:rsidRPr="00F661F8">
        <w:rPr>
          <w:noProof/>
          <w:szCs w:val="21"/>
          <w:lang w:eastAsia="en-GB"/>
        </w:rPr>
        <w:drawing>
          <wp:anchor distT="0" distB="0" distL="114300" distR="114300" simplePos="0" relativeHeight="251661312" behindDoc="1" locked="0" layoutInCell="1" allowOverlap="1" wp14:anchorId="4B430088" wp14:editId="6A487894">
            <wp:simplePos x="0" y="0"/>
            <wp:positionH relativeFrom="column">
              <wp:posOffset>85090</wp:posOffset>
            </wp:positionH>
            <wp:positionV relativeFrom="paragraph">
              <wp:posOffset>0</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8969E5" w14:textId="4389D3DF" w:rsidR="001C7976" w:rsidRDefault="001C7976" w:rsidP="001C7976">
      <w:pPr>
        <w:spacing w:before="195" w:after="0"/>
        <w:ind w:right="321"/>
        <w:jc w:val="right"/>
        <w:rPr>
          <w:rFonts w:ascii="Helvetica" w:hAnsi="Helvetica" w:cs="Helvetica"/>
          <w:b/>
          <w:color w:val="404040" w:themeColor="text1" w:themeTint="BF"/>
          <w:sz w:val="40"/>
          <w:szCs w:val="22"/>
        </w:rPr>
      </w:pPr>
      <w:r>
        <w:rPr>
          <w:rFonts w:ascii="Helvetica" w:hAnsi="Helvetica" w:cs="Helvetica"/>
          <w:b/>
          <w:color w:val="404040" w:themeColor="text1" w:themeTint="BF"/>
          <w:sz w:val="40"/>
          <w:szCs w:val="22"/>
        </w:rPr>
        <w:t>SUMMARY OF DECISIONS</w:t>
      </w:r>
    </w:p>
    <w:p w14:paraId="3CA45660" w14:textId="77777777" w:rsidR="009076D2" w:rsidRDefault="009076D2" w:rsidP="007909C3">
      <w:pPr>
        <w:pStyle w:val="BodyText"/>
      </w:pPr>
    </w:p>
    <w:p w14:paraId="711DB6A8" w14:textId="77777777" w:rsidR="009076D2" w:rsidRDefault="009076D2" w:rsidP="007909C3">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9ECFB"/>
        <w:tblLook w:val="01E0" w:firstRow="1" w:lastRow="1" w:firstColumn="1" w:lastColumn="1" w:noHBand="0" w:noVBand="0"/>
      </w:tblPr>
      <w:tblGrid>
        <w:gridCol w:w="9918"/>
        <w:gridCol w:w="5966"/>
      </w:tblGrid>
      <w:tr w:rsidR="009076D2" w:rsidRPr="00331EC9" w14:paraId="104D1E88" w14:textId="77777777" w:rsidTr="009076D2">
        <w:trPr>
          <w:cantSplit/>
          <w:trHeight w:val="567"/>
          <w:tblHeader/>
        </w:trPr>
        <w:tc>
          <w:tcPr>
            <w:tcW w:w="3122" w:type="pct"/>
            <w:tcBorders>
              <w:top w:val="single" w:sz="4" w:space="0" w:color="auto"/>
              <w:left w:val="single" w:sz="4" w:space="0" w:color="auto"/>
              <w:bottom w:val="single" w:sz="4" w:space="0" w:color="auto"/>
              <w:right w:val="single" w:sz="4" w:space="0" w:color="auto"/>
            </w:tcBorders>
            <w:shd w:val="clear" w:color="auto" w:fill="C9ECFB"/>
            <w:vAlign w:val="center"/>
          </w:tcPr>
          <w:p w14:paraId="2806832D" w14:textId="59AA606C" w:rsidR="009076D2" w:rsidRPr="00331EC9" w:rsidRDefault="009076D2" w:rsidP="005C0229">
            <w:pPr>
              <w:tabs>
                <w:tab w:val="left" w:pos="720"/>
              </w:tabs>
              <w:autoSpaceDE/>
              <w:rPr>
                <w:rFonts w:ascii="Helvetica" w:eastAsia="Calibri" w:hAnsi="Helvetica" w:cs="Helvetica"/>
                <w:b/>
                <w:sz w:val="24"/>
                <w:szCs w:val="24"/>
                <w:lang w:val="en-US"/>
              </w:rPr>
            </w:pPr>
            <w:r w:rsidRPr="00331EC9">
              <w:rPr>
                <w:rFonts w:ascii="Helvetica" w:eastAsia="Calibri" w:hAnsi="Helvetica" w:cs="Helvetica"/>
                <w:b/>
                <w:sz w:val="24"/>
                <w:szCs w:val="24"/>
                <w:lang w:val="en-US"/>
              </w:rPr>
              <w:t>Recommendations made by HNY APC subgroups</w:t>
            </w:r>
          </w:p>
        </w:tc>
        <w:tc>
          <w:tcPr>
            <w:tcW w:w="1878" w:type="pct"/>
            <w:tcBorders>
              <w:top w:val="single" w:sz="4" w:space="0" w:color="auto"/>
              <w:left w:val="single" w:sz="4" w:space="0" w:color="auto"/>
              <w:bottom w:val="single" w:sz="4" w:space="0" w:color="auto"/>
              <w:right w:val="single" w:sz="4" w:space="0" w:color="auto"/>
            </w:tcBorders>
            <w:shd w:val="clear" w:color="auto" w:fill="C9ECFB"/>
            <w:vAlign w:val="center"/>
            <w:hideMark/>
          </w:tcPr>
          <w:p w14:paraId="51AA60B7" w14:textId="3837D829" w:rsidR="009076D2" w:rsidRPr="00331EC9" w:rsidRDefault="009076D2" w:rsidP="009076D2">
            <w:pPr>
              <w:tabs>
                <w:tab w:val="left" w:pos="720"/>
              </w:tabs>
              <w:autoSpaceDE/>
              <w:spacing w:before="0" w:after="0"/>
              <w:rPr>
                <w:rFonts w:ascii="Helvetica" w:eastAsia="Calibri" w:hAnsi="Helvetica" w:cs="Helvetica"/>
                <w:b/>
                <w:sz w:val="24"/>
                <w:szCs w:val="24"/>
                <w:lang w:val="en-US"/>
              </w:rPr>
            </w:pPr>
            <w:r w:rsidRPr="00331EC9">
              <w:rPr>
                <w:rFonts w:ascii="Helvetica" w:eastAsia="Calibri" w:hAnsi="Helvetica" w:cs="Helvetica"/>
                <w:b/>
                <w:sz w:val="24"/>
                <w:szCs w:val="24"/>
                <w:lang w:val="en-US"/>
              </w:rPr>
              <w:t>January 2025</w:t>
            </w:r>
          </w:p>
        </w:tc>
      </w:tr>
      <w:tr w:rsidR="009076D2" w:rsidRPr="00331EC9" w14:paraId="7F66C268" w14:textId="77777777" w:rsidTr="009076D2">
        <w:trPr>
          <w:cantSplit/>
          <w:trHeight w:val="567"/>
          <w:tblHeader/>
        </w:trPr>
        <w:tc>
          <w:tcPr>
            <w:tcW w:w="3122" w:type="pct"/>
            <w:tcBorders>
              <w:top w:val="single" w:sz="4" w:space="0" w:color="auto"/>
              <w:left w:val="single" w:sz="4" w:space="0" w:color="auto"/>
              <w:bottom w:val="single" w:sz="4" w:space="0" w:color="auto"/>
              <w:right w:val="single" w:sz="4" w:space="0" w:color="auto"/>
            </w:tcBorders>
            <w:shd w:val="clear" w:color="auto" w:fill="C9ECFB"/>
            <w:vAlign w:val="center"/>
            <w:hideMark/>
          </w:tcPr>
          <w:p w14:paraId="7998F6E8" w14:textId="62A2A4CA" w:rsidR="009076D2" w:rsidRPr="00331EC9" w:rsidRDefault="009076D2" w:rsidP="005C0229">
            <w:pPr>
              <w:tabs>
                <w:tab w:val="left" w:pos="720"/>
              </w:tabs>
              <w:autoSpaceDE/>
              <w:rPr>
                <w:rFonts w:ascii="Helvetica" w:eastAsia="Calibri" w:hAnsi="Helvetica" w:cs="Helvetica"/>
                <w:b/>
                <w:sz w:val="24"/>
                <w:szCs w:val="24"/>
                <w:lang w:val="en-US"/>
              </w:rPr>
            </w:pPr>
            <w:r w:rsidRPr="00331EC9">
              <w:rPr>
                <w:rFonts w:ascii="Helvetica" w:eastAsia="Calibri" w:hAnsi="Helvetica" w:cs="Helvetica"/>
                <w:b/>
                <w:sz w:val="24"/>
                <w:szCs w:val="24"/>
                <w:lang w:val="en-US"/>
              </w:rPr>
              <w:t>Approved by: HNY APC</w:t>
            </w:r>
          </w:p>
        </w:tc>
        <w:tc>
          <w:tcPr>
            <w:tcW w:w="1878" w:type="pct"/>
            <w:tcBorders>
              <w:top w:val="single" w:sz="4" w:space="0" w:color="auto"/>
              <w:left w:val="single" w:sz="4" w:space="0" w:color="auto"/>
              <w:bottom w:val="single" w:sz="4" w:space="0" w:color="auto"/>
              <w:right w:val="single" w:sz="4" w:space="0" w:color="auto"/>
            </w:tcBorders>
            <w:shd w:val="clear" w:color="auto" w:fill="C9ECFB"/>
            <w:vAlign w:val="center"/>
          </w:tcPr>
          <w:p w14:paraId="6BA6F736" w14:textId="6FC4CB53" w:rsidR="009076D2" w:rsidRPr="00331EC9" w:rsidRDefault="009076D2" w:rsidP="009076D2">
            <w:pPr>
              <w:tabs>
                <w:tab w:val="clear" w:pos="975"/>
              </w:tabs>
              <w:spacing w:before="0" w:after="0"/>
              <w:rPr>
                <w:rFonts w:ascii="Helvetica" w:eastAsia="Calibri" w:hAnsi="Helvetica" w:cs="Helvetica"/>
                <w:b/>
                <w:sz w:val="24"/>
                <w:szCs w:val="24"/>
                <w:lang w:val="en-US"/>
              </w:rPr>
            </w:pPr>
            <w:r w:rsidRPr="00331EC9">
              <w:rPr>
                <w:rFonts w:ascii="Helvetica" w:eastAsia="Calibri" w:hAnsi="Helvetica" w:cs="Helvetica"/>
                <w:b/>
                <w:sz w:val="24"/>
                <w:szCs w:val="24"/>
                <w:lang w:val="en-US"/>
              </w:rPr>
              <w:t>5</w:t>
            </w:r>
            <w:r w:rsidRPr="00331EC9">
              <w:rPr>
                <w:rFonts w:ascii="Helvetica" w:eastAsia="Calibri" w:hAnsi="Helvetica" w:cs="Helvetica"/>
                <w:b/>
                <w:sz w:val="24"/>
                <w:szCs w:val="24"/>
                <w:vertAlign w:val="superscript"/>
                <w:lang w:val="en-US"/>
              </w:rPr>
              <w:t>th</w:t>
            </w:r>
            <w:r w:rsidRPr="00331EC9">
              <w:rPr>
                <w:rFonts w:ascii="Helvetica" w:eastAsia="Calibri" w:hAnsi="Helvetica" w:cs="Helvetica"/>
                <w:b/>
                <w:sz w:val="24"/>
                <w:szCs w:val="24"/>
                <w:lang w:val="en-US"/>
              </w:rPr>
              <w:t xml:space="preserve"> February 2025</w:t>
            </w:r>
          </w:p>
        </w:tc>
      </w:tr>
      <w:tr w:rsidR="009076D2" w:rsidRPr="00331EC9" w14:paraId="02EC6D31" w14:textId="77777777" w:rsidTr="009076D2">
        <w:trPr>
          <w:cantSplit/>
          <w:trHeight w:val="567"/>
          <w:tblHeader/>
        </w:trPr>
        <w:tc>
          <w:tcPr>
            <w:tcW w:w="3122" w:type="pct"/>
            <w:tcBorders>
              <w:top w:val="single" w:sz="4" w:space="0" w:color="auto"/>
              <w:left w:val="single" w:sz="4" w:space="0" w:color="auto"/>
              <w:right w:val="single" w:sz="4" w:space="0" w:color="auto"/>
            </w:tcBorders>
            <w:shd w:val="clear" w:color="auto" w:fill="C9ECFB"/>
          </w:tcPr>
          <w:p w14:paraId="243D1049" w14:textId="6A0CB675" w:rsidR="009076D2" w:rsidRPr="00331EC9" w:rsidRDefault="009076D2" w:rsidP="005C0229">
            <w:pPr>
              <w:tabs>
                <w:tab w:val="left" w:pos="720"/>
              </w:tabs>
              <w:autoSpaceDE/>
              <w:rPr>
                <w:rFonts w:ascii="Helvetica" w:eastAsia="Calibri" w:hAnsi="Helvetica" w:cs="Helvetica"/>
                <w:b/>
                <w:sz w:val="24"/>
                <w:szCs w:val="24"/>
                <w:lang w:val="en-US"/>
              </w:rPr>
            </w:pPr>
            <w:r w:rsidRPr="00331EC9">
              <w:rPr>
                <w:rFonts w:ascii="Helvetica" w:eastAsia="Calibri" w:hAnsi="Helvetica" w:cs="Helvetica"/>
                <w:b/>
                <w:sz w:val="24"/>
                <w:szCs w:val="24"/>
                <w:lang w:val="en-US"/>
              </w:rPr>
              <w:t>Reviewed by: CPC</w:t>
            </w:r>
          </w:p>
          <w:p w14:paraId="55A687C6" w14:textId="413EE863" w:rsidR="009076D2" w:rsidRPr="00331EC9" w:rsidRDefault="009076D2" w:rsidP="005C0229">
            <w:pPr>
              <w:tabs>
                <w:tab w:val="left" w:pos="720"/>
              </w:tabs>
              <w:autoSpaceDE/>
              <w:rPr>
                <w:rFonts w:ascii="Helvetica" w:eastAsia="Calibri" w:hAnsi="Helvetica" w:cs="Helvetica"/>
                <w:sz w:val="24"/>
                <w:szCs w:val="24"/>
                <w:lang w:val="en-US"/>
              </w:rPr>
            </w:pPr>
            <w:r w:rsidRPr="00331EC9">
              <w:rPr>
                <w:rFonts w:ascii="Helvetica" w:eastAsia="Calibri" w:hAnsi="Helvetica" w:cs="Helvetica"/>
                <w:sz w:val="24"/>
                <w:szCs w:val="24"/>
                <w:lang w:val="en-US"/>
              </w:rPr>
              <w:t xml:space="preserve">NB: HNY APC is a decision-making group. Decisions are submitted to CPC for information. </w:t>
            </w:r>
          </w:p>
        </w:tc>
        <w:tc>
          <w:tcPr>
            <w:tcW w:w="1878" w:type="pct"/>
            <w:tcBorders>
              <w:top w:val="single" w:sz="4" w:space="0" w:color="auto"/>
              <w:left w:val="single" w:sz="4" w:space="0" w:color="auto"/>
              <w:right w:val="single" w:sz="4" w:space="0" w:color="auto"/>
            </w:tcBorders>
            <w:shd w:val="clear" w:color="auto" w:fill="C9ECFB"/>
            <w:vAlign w:val="center"/>
          </w:tcPr>
          <w:p w14:paraId="38071639" w14:textId="5E87515B" w:rsidR="009076D2" w:rsidRPr="00331EC9" w:rsidRDefault="009076D2" w:rsidP="009076D2">
            <w:pPr>
              <w:tabs>
                <w:tab w:val="clear" w:pos="975"/>
              </w:tabs>
              <w:spacing w:before="0" w:after="0"/>
              <w:rPr>
                <w:rFonts w:ascii="Helvetica" w:eastAsia="Calibri" w:hAnsi="Helvetica" w:cs="Helvetica"/>
                <w:b/>
                <w:iCs/>
                <w:sz w:val="24"/>
                <w:szCs w:val="24"/>
                <w:lang w:val="en-US"/>
              </w:rPr>
            </w:pPr>
            <w:r w:rsidRPr="00331EC9">
              <w:rPr>
                <w:rFonts w:ascii="Helvetica" w:eastAsia="Calibri" w:hAnsi="Helvetica" w:cs="Helvetica"/>
                <w:bCs/>
                <w:iCs/>
                <w:sz w:val="24"/>
                <w:szCs w:val="24"/>
                <w:lang w:val="en-US"/>
              </w:rPr>
              <w:t>March 2025</w:t>
            </w:r>
          </w:p>
        </w:tc>
      </w:tr>
      <w:tr w:rsidR="00C966D9" w:rsidRPr="00331EC9" w14:paraId="44B0920B" w14:textId="77777777" w:rsidTr="00331EC9">
        <w:trPr>
          <w:cantSplit/>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9ECFB"/>
          </w:tcPr>
          <w:p w14:paraId="4E2C1470" w14:textId="77777777" w:rsidR="00C966D9" w:rsidRPr="00331EC9" w:rsidRDefault="00C966D9" w:rsidP="001C7976">
            <w:pPr>
              <w:tabs>
                <w:tab w:val="left" w:pos="720"/>
              </w:tabs>
              <w:autoSpaceDE/>
              <w:rPr>
                <w:rFonts w:eastAsia="Arial"/>
                <w:b/>
                <w:noProof/>
                <w:color w:val="000000" w:themeColor="text1"/>
                <w:sz w:val="24"/>
                <w:szCs w:val="24"/>
                <w:lang w:val="en-US" w:eastAsia="en-GB"/>
              </w:rPr>
            </w:pPr>
            <w:r w:rsidRPr="00331EC9">
              <w:rPr>
                <w:rFonts w:eastAsia="Arial"/>
                <w:b/>
                <w:noProof/>
                <w:color w:val="000000" w:themeColor="text1"/>
                <w:sz w:val="24"/>
                <w:szCs w:val="24"/>
                <w:lang w:val="en-US" w:eastAsia="en-GB"/>
              </w:rPr>
              <w:t>The NHS is legally obliged to fund and resource medicines and treatments recommended by NICE's technology appraisals. When NICE recommends a treatment 'as an option', the NHS must make sure it is available within 90 days (unless otherwise specified) of its date of publication. This means that, if a patient has a disease or condition and the doctor responsible for their care thinks that the technology is the right treatment, it should be available for use, in line with NICE's recommendations.</w:t>
            </w:r>
          </w:p>
          <w:p w14:paraId="5151A840" w14:textId="17E27591" w:rsidR="00331EC9" w:rsidRPr="00331EC9" w:rsidRDefault="00331EC9" w:rsidP="00331EC9">
            <w:pPr>
              <w:rPr>
                <w:bCs/>
                <w:sz w:val="24"/>
                <w:szCs w:val="24"/>
              </w:rPr>
            </w:pPr>
            <w:r w:rsidRPr="00331EC9">
              <w:rPr>
                <w:bCs/>
                <w:sz w:val="24"/>
                <w:szCs w:val="24"/>
              </w:rPr>
              <w:t xml:space="preserve">For copies of current HNY APC minutes and decisions, please visit </w:t>
            </w:r>
            <w:hyperlink r:id="rId10" w:history="1">
              <w:r w:rsidRPr="00331EC9">
                <w:rPr>
                  <w:rStyle w:val="Hyperlink"/>
                  <w:bCs/>
                  <w:sz w:val="24"/>
                  <w:szCs w:val="24"/>
                </w:rPr>
                <w:t>https://humberandnorthyorkshire.org.uk/area-prescribing-committee-apc-minutes-from-meetings/</w:t>
              </w:r>
            </w:hyperlink>
            <w:r w:rsidRPr="00331EC9">
              <w:rPr>
                <w:bCs/>
                <w:sz w:val="24"/>
                <w:szCs w:val="24"/>
              </w:rPr>
              <w:t xml:space="preserve">. </w:t>
            </w:r>
          </w:p>
        </w:tc>
      </w:tr>
    </w:tbl>
    <w:p w14:paraId="3BE1BD1C" w14:textId="77777777" w:rsidR="00C966D9" w:rsidRPr="00FD45B9" w:rsidRDefault="00C966D9" w:rsidP="007909C3">
      <w:pPr>
        <w:pStyle w:val="BodyText"/>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B4247C" w:rsidRPr="00383A54" w14:paraId="5F6A2C11" w14:textId="77777777" w:rsidTr="00383A54">
        <w:trPr>
          <w:cantSplit/>
        </w:trPr>
        <w:tc>
          <w:tcPr>
            <w:tcW w:w="5000" w:type="pct"/>
            <w:shd w:val="clear" w:color="auto" w:fill="auto"/>
          </w:tcPr>
          <w:p w14:paraId="280B9544" w14:textId="7C9E55B0" w:rsidR="00B4247C"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 xml:space="preserve">DECISIONS WITH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2E891FA4" w14:textId="77777777" w:rsidR="001F28EB" w:rsidRDefault="001F28EB" w:rsidP="00383A54">
      <w:pPr>
        <w:spacing w:before="0" w:after="0"/>
        <w:rPr>
          <w:sz w:val="20"/>
          <w:lang w:val="en-US" w:eastAsia="ja-JP"/>
        </w:rPr>
      </w:pPr>
    </w:p>
    <w:p w14:paraId="634FC5DA" w14:textId="77777777" w:rsidR="00714EC5" w:rsidRDefault="00714EC5" w:rsidP="00383A54">
      <w:pPr>
        <w:spacing w:before="0" w:after="0"/>
        <w:rPr>
          <w:sz w:val="10"/>
          <w:szCs w:val="10"/>
          <w:lang w:val="en-US" w:eastAsia="ja-JP"/>
        </w:rPr>
      </w:pPr>
    </w:p>
    <w:p w14:paraId="17CF4D45" w14:textId="77777777" w:rsidR="00714EC5" w:rsidRDefault="00714EC5" w:rsidP="00383A54">
      <w:pPr>
        <w:spacing w:before="0" w:after="0"/>
        <w:rPr>
          <w:sz w:val="10"/>
          <w:szCs w:val="10"/>
          <w:lang w:val="en-US" w:eastAsia="ja-JP"/>
        </w:rPr>
      </w:pPr>
    </w:p>
    <w:p w14:paraId="3EA74D97" w14:textId="77777777" w:rsidR="00714EC5" w:rsidRDefault="00714EC5" w:rsidP="00383A54">
      <w:pPr>
        <w:spacing w:before="0" w:after="0"/>
        <w:rPr>
          <w:sz w:val="10"/>
          <w:szCs w:val="10"/>
          <w:lang w:val="en-US" w:eastAsia="ja-JP"/>
        </w:rPr>
      </w:pPr>
    </w:p>
    <w:p w14:paraId="6BC62169" w14:textId="0D3111EB" w:rsidR="00714EC5" w:rsidRPr="00383A54" w:rsidRDefault="00714EC5" w:rsidP="00383A54">
      <w:pPr>
        <w:spacing w:before="0" w:after="0"/>
        <w:rPr>
          <w:sz w:val="10"/>
          <w:szCs w:val="10"/>
          <w:lang w:val="en-US" w:eastAsia="ja-JP"/>
        </w:rPr>
        <w:sectPr w:rsidR="00714EC5" w:rsidRPr="00383A54" w:rsidSect="009076D2">
          <w:footerReference w:type="even" r:id="rId11"/>
          <w:footerReference w:type="default" r:id="rId12"/>
          <w:footerReference w:type="first" r:id="rId13"/>
          <w:pgSz w:w="16840" w:h="11910" w:orient="landscape"/>
          <w:pgMar w:top="284" w:right="520" w:bottom="993" w:left="426" w:header="294" w:footer="179"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693"/>
        <w:gridCol w:w="2268"/>
        <w:gridCol w:w="4678"/>
        <w:gridCol w:w="1852"/>
      </w:tblGrid>
      <w:tr w:rsidR="001C7976" w:rsidRPr="00331EC9" w14:paraId="58618552" w14:textId="77777777" w:rsidTr="005C0229">
        <w:trPr>
          <w:cantSplit/>
          <w:trHeight w:val="548"/>
          <w:tblHeader/>
        </w:trPr>
        <w:tc>
          <w:tcPr>
            <w:tcW w:w="4390" w:type="dxa"/>
            <w:tcBorders>
              <w:bottom w:val="single" w:sz="4" w:space="0" w:color="auto"/>
            </w:tcBorders>
            <w:shd w:val="clear" w:color="auto" w:fill="B6DDE8"/>
          </w:tcPr>
          <w:p w14:paraId="465998DD" w14:textId="4656542C" w:rsidR="001C7976" w:rsidRPr="00331EC9" w:rsidRDefault="001C7976" w:rsidP="007909C3">
            <w:pPr>
              <w:tabs>
                <w:tab w:val="clear" w:pos="975"/>
              </w:tabs>
              <w:rPr>
                <w:rFonts w:eastAsia="Calibri"/>
                <w:b/>
                <w:sz w:val="24"/>
                <w:szCs w:val="24"/>
              </w:rPr>
            </w:pPr>
            <w:r w:rsidRPr="00331EC9">
              <w:rPr>
                <w:rFonts w:eastAsia="Calibri"/>
                <w:b/>
                <w:sz w:val="24"/>
                <w:szCs w:val="24"/>
              </w:rPr>
              <w:t xml:space="preserve">Drug and indication </w:t>
            </w:r>
          </w:p>
        </w:tc>
        <w:tc>
          <w:tcPr>
            <w:tcW w:w="2693" w:type="dxa"/>
            <w:tcBorders>
              <w:bottom w:val="single" w:sz="4" w:space="0" w:color="auto"/>
            </w:tcBorders>
            <w:shd w:val="clear" w:color="auto" w:fill="B6DDE8"/>
          </w:tcPr>
          <w:p w14:paraId="764A3AC3" w14:textId="20E2B955" w:rsidR="001C7976" w:rsidRPr="00331EC9" w:rsidRDefault="001C7976" w:rsidP="007909C3">
            <w:pPr>
              <w:tabs>
                <w:tab w:val="clear" w:pos="975"/>
              </w:tabs>
              <w:rPr>
                <w:rFonts w:eastAsia="Calibri"/>
                <w:b/>
                <w:sz w:val="24"/>
                <w:szCs w:val="24"/>
              </w:rPr>
            </w:pPr>
            <w:r w:rsidRPr="00331EC9">
              <w:rPr>
                <w:rFonts w:eastAsia="Calibri"/>
                <w:b/>
                <w:sz w:val="24"/>
                <w:szCs w:val="24"/>
              </w:rPr>
              <w:t>Status and formulary position assigned</w:t>
            </w:r>
          </w:p>
        </w:tc>
        <w:tc>
          <w:tcPr>
            <w:tcW w:w="2268" w:type="dxa"/>
            <w:tcBorders>
              <w:bottom w:val="single" w:sz="4" w:space="0" w:color="auto"/>
            </w:tcBorders>
            <w:shd w:val="clear" w:color="auto" w:fill="B6DDE8"/>
          </w:tcPr>
          <w:p w14:paraId="18BD51F0" w14:textId="3CED56E6" w:rsidR="001C7976" w:rsidRPr="00331EC9" w:rsidRDefault="001C7976" w:rsidP="007909C3">
            <w:pPr>
              <w:tabs>
                <w:tab w:val="clear" w:pos="975"/>
              </w:tabs>
              <w:rPr>
                <w:rFonts w:eastAsia="Calibri"/>
                <w:b/>
                <w:sz w:val="24"/>
                <w:szCs w:val="24"/>
              </w:rPr>
            </w:pPr>
            <w:r w:rsidRPr="00331EC9">
              <w:rPr>
                <w:rFonts w:eastAsia="Calibri"/>
                <w:b/>
                <w:sz w:val="24"/>
                <w:szCs w:val="24"/>
              </w:rPr>
              <w:t>Notes on decision</w:t>
            </w:r>
          </w:p>
        </w:tc>
        <w:tc>
          <w:tcPr>
            <w:tcW w:w="4678" w:type="dxa"/>
            <w:tcBorders>
              <w:bottom w:val="single" w:sz="4" w:space="0" w:color="auto"/>
            </w:tcBorders>
            <w:shd w:val="clear" w:color="auto" w:fill="B6DDE8"/>
          </w:tcPr>
          <w:p w14:paraId="63DF0E3F" w14:textId="3D0072C2" w:rsidR="001C7976" w:rsidRPr="00331EC9" w:rsidRDefault="001C7976" w:rsidP="00EA5257">
            <w:pPr>
              <w:tabs>
                <w:tab w:val="clear" w:pos="975"/>
              </w:tabs>
              <w:rPr>
                <w:rFonts w:eastAsia="Calibri"/>
                <w:b/>
                <w:sz w:val="24"/>
                <w:szCs w:val="24"/>
              </w:rPr>
            </w:pPr>
            <w:r w:rsidRPr="00331EC9">
              <w:rPr>
                <w:rFonts w:eastAsia="Calibri"/>
                <w:b/>
                <w:sz w:val="24"/>
                <w:szCs w:val="24"/>
              </w:rPr>
              <w:t>Cost impact and commissioning / service implications</w:t>
            </w:r>
          </w:p>
        </w:tc>
        <w:tc>
          <w:tcPr>
            <w:tcW w:w="1852" w:type="dxa"/>
            <w:tcBorders>
              <w:bottom w:val="single" w:sz="4" w:space="0" w:color="auto"/>
            </w:tcBorders>
            <w:shd w:val="clear" w:color="auto" w:fill="B6DDE8"/>
          </w:tcPr>
          <w:p w14:paraId="31FD2AD9" w14:textId="09BAE99D" w:rsidR="001C7976" w:rsidRPr="00331EC9" w:rsidRDefault="001C7976" w:rsidP="001C7976">
            <w:pPr>
              <w:tabs>
                <w:tab w:val="clear" w:pos="975"/>
              </w:tabs>
              <w:rPr>
                <w:rFonts w:eastAsia="Calibri"/>
                <w:b/>
                <w:sz w:val="24"/>
                <w:szCs w:val="24"/>
              </w:rPr>
            </w:pPr>
            <w:r w:rsidRPr="00331EC9">
              <w:rPr>
                <w:rFonts w:eastAsia="Calibri"/>
                <w:b/>
                <w:sz w:val="24"/>
                <w:szCs w:val="24"/>
              </w:rPr>
              <w:t>Recommendation from HNY APC</w:t>
            </w:r>
          </w:p>
        </w:tc>
      </w:tr>
      <w:tr w:rsidR="00E73516" w:rsidRPr="00331EC9" w14:paraId="064DF8BD" w14:textId="77777777" w:rsidTr="005C0229">
        <w:trPr>
          <w:cantSplit/>
          <w:trHeight w:val="548"/>
        </w:trPr>
        <w:tc>
          <w:tcPr>
            <w:tcW w:w="4390" w:type="dxa"/>
            <w:shd w:val="clear" w:color="auto" w:fill="auto"/>
          </w:tcPr>
          <w:p w14:paraId="44EDAE11" w14:textId="77777777" w:rsidR="00E73516" w:rsidRPr="00331EC9" w:rsidRDefault="00E73516" w:rsidP="00E73516">
            <w:pPr>
              <w:widowControl/>
              <w:tabs>
                <w:tab w:val="clear" w:pos="975"/>
              </w:tabs>
              <w:autoSpaceDE/>
              <w:autoSpaceDN/>
              <w:ind w:right="57"/>
              <w:rPr>
                <w:b/>
                <w:bCs/>
                <w:color w:val="000000"/>
                <w:sz w:val="24"/>
                <w:szCs w:val="24"/>
              </w:rPr>
            </w:pPr>
            <w:r w:rsidRPr="00331EC9">
              <w:rPr>
                <w:b/>
                <w:bCs/>
                <w:color w:val="000000"/>
                <w:sz w:val="24"/>
                <w:szCs w:val="24"/>
              </w:rPr>
              <w:t>Bupropion for treatment of resistant depression (unlicensed indication)</w:t>
            </w:r>
          </w:p>
          <w:p w14:paraId="2F474B26" w14:textId="6D3B9E56" w:rsidR="00E73516" w:rsidRPr="00331EC9" w:rsidRDefault="00E73516" w:rsidP="00E73516">
            <w:pPr>
              <w:widowControl/>
              <w:tabs>
                <w:tab w:val="clear" w:pos="975"/>
              </w:tabs>
              <w:autoSpaceDE/>
              <w:autoSpaceDN/>
              <w:spacing w:before="0" w:after="0"/>
              <w:ind w:right="57"/>
              <w:rPr>
                <w:color w:val="000000"/>
                <w:sz w:val="24"/>
                <w:szCs w:val="24"/>
              </w:rPr>
            </w:pPr>
            <w:r w:rsidRPr="00331EC9">
              <w:rPr>
                <w:color w:val="000000"/>
                <w:sz w:val="24"/>
                <w:szCs w:val="24"/>
              </w:rPr>
              <w:t>Bupropion is licensed in this indication in other countries, and patients entering the UK from abroad occasionally present to primary care requesting continuation of treatment. It is also an option in secondary care pathways, for patients requiring augmentation.</w:t>
            </w:r>
          </w:p>
        </w:tc>
        <w:tc>
          <w:tcPr>
            <w:tcW w:w="2693" w:type="dxa"/>
            <w:shd w:val="clear" w:color="auto" w:fill="auto"/>
          </w:tcPr>
          <w:p w14:paraId="476C4867" w14:textId="77777777" w:rsidR="00714EC5" w:rsidRPr="00331EC9" w:rsidRDefault="00E73516" w:rsidP="00714EC5">
            <w:pPr>
              <w:shd w:val="clear" w:color="auto" w:fill="FFC000"/>
              <w:tabs>
                <w:tab w:val="clear" w:pos="975"/>
              </w:tabs>
              <w:rPr>
                <w:b/>
                <w:bCs/>
                <w:iCs/>
                <w:sz w:val="24"/>
                <w:szCs w:val="24"/>
              </w:rPr>
            </w:pPr>
            <w:r w:rsidRPr="00331EC9">
              <w:rPr>
                <w:b/>
                <w:bCs/>
                <w:iCs/>
                <w:sz w:val="24"/>
                <w:szCs w:val="24"/>
              </w:rPr>
              <w:t>Amber specialist initiation</w:t>
            </w:r>
            <w:r w:rsidR="00714EC5" w:rsidRPr="00331EC9">
              <w:rPr>
                <w:b/>
                <w:bCs/>
                <w:iCs/>
                <w:sz w:val="24"/>
                <w:szCs w:val="24"/>
              </w:rPr>
              <w:t xml:space="preserve"> (Amber SI) </w:t>
            </w:r>
          </w:p>
          <w:p w14:paraId="3CDB4EEA" w14:textId="77777777" w:rsidR="00714EC5" w:rsidRPr="00331EC9" w:rsidRDefault="00714EC5" w:rsidP="00E73516">
            <w:pPr>
              <w:tabs>
                <w:tab w:val="clear" w:pos="975"/>
              </w:tabs>
              <w:rPr>
                <w:iCs/>
                <w:sz w:val="24"/>
                <w:szCs w:val="24"/>
              </w:rPr>
            </w:pPr>
            <w:r w:rsidRPr="00331EC9">
              <w:rPr>
                <w:iCs/>
                <w:sz w:val="24"/>
                <w:szCs w:val="24"/>
              </w:rPr>
              <w:t>Formerly known as Amber 2 in Humber.</w:t>
            </w:r>
          </w:p>
          <w:p w14:paraId="2336331E" w14:textId="7A0682C9" w:rsidR="00E73516" w:rsidRPr="00331EC9" w:rsidRDefault="00714EC5" w:rsidP="00E73516">
            <w:pPr>
              <w:tabs>
                <w:tab w:val="clear" w:pos="975"/>
              </w:tabs>
              <w:rPr>
                <w:iCs/>
                <w:sz w:val="24"/>
                <w:szCs w:val="24"/>
              </w:rPr>
            </w:pPr>
            <w:r w:rsidRPr="00331EC9">
              <w:rPr>
                <w:iCs/>
                <w:sz w:val="24"/>
                <w:szCs w:val="24"/>
              </w:rPr>
              <w:t>M</w:t>
            </w:r>
            <w:r w:rsidR="00E73516" w:rsidRPr="00331EC9">
              <w:rPr>
                <w:iCs/>
                <w:sz w:val="24"/>
                <w:szCs w:val="24"/>
              </w:rPr>
              <w:t xml:space="preserve">ust be started by a specialist and remain with the specialist until the patient is stable, but can then be transferred to primary care. </w:t>
            </w:r>
          </w:p>
          <w:p w14:paraId="5D1ACDDD" w14:textId="7153D2B2" w:rsidR="00E73516" w:rsidRPr="00331EC9" w:rsidRDefault="00E73516" w:rsidP="00E73516">
            <w:pPr>
              <w:rPr>
                <w:sz w:val="24"/>
                <w:szCs w:val="24"/>
              </w:rPr>
            </w:pPr>
            <w:r w:rsidRPr="00331EC9">
              <w:rPr>
                <w:iCs/>
                <w:sz w:val="24"/>
                <w:szCs w:val="24"/>
              </w:rPr>
              <w:t>Formulary entry to include clear annotation that this is an unlicensed indication.</w:t>
            </w:r>
          </w:p>
        </w:tc>
        <w:tc>
          <w:tcPr>
            <w:tcW w:w="2268" w:type="dxa"/>
            <w:shd w:val="clear" w:color="auto" w:fill="auto"/>
          </w:tcPr>
          <w:p w14:paraId="6858880D" w14:textId="37C6FDD6" w:rsidR="00E73516" w:rsidRPr="00331EC9" w:rsidRDefault="00E73516" w:rsidP="00E73516">
            <w:pPr>
              <w:tabs>
                <w:tab w:val="clear" w:pos="975"/>
              </w:tabs>
              <w:ind w:left="20"/>
              <w:rPr>
                <w:i/>
                <w:sz w:val="24"/>
                <w:szCs w:val="24"/>
              </w:rPr>
            </w:pPr>
            <w:r w:rsidRPr="00331EC9">
              <w:rPr>
                <w:rFonts w:eastAsiaTheme="minorHAnsi"/>
                <w:sz w:val="24"/>
                <w:szCs w:val="24"/>
              </w:rPr>
              <w:t>An information sheet to support primary care prescribing is in development. Additional support for primary care will be available via advice and guidance in the first instance.</w:t>
            </w:r>
          </w:p>
        </w:tc>
        <w:tc>
          <w:tcPr>
            <w:tcW w:w="4678" w:type="dxa"/>
          </w:tcPr>
          <w:p w14:paraId="6804C84A" w14:textId="77777777" w:rsidR="00E73516" w:rsidRPr="00331EC9" w:rsidRDefault="00E73516" w:rsidP="00E73516">
            <w:pPr>
              <w:rPr>
                <w:sz w:val="24"/>
                <w:szCs w:val="24"/>
              </w:rPr>
            </w:pPr>
            <w:r w:rsidRPr="00331EC9">
              <w:rPr>
                <w:sz w:val="24"/>
                <w:szCs w:val="24"/>
              </w:rPr>
              <w:t xml:space="preserve">At a dose of 150-300mg daily, the cost per person is £251-£452 per patient per year. Patient numbers are expected to be low; current annual spend is &lt;£3,000 annually. </w:t>
            </w:r>
          </w:p>
          <w:p w14:paraId="65D4918A" w14:textId="1A84BF03" w:rsidR="00E73516" w:rsidRPr="00331EC9" w:rsidRDefault="00E73516" w:rsidP="00E73516">
            <w:pPr>
              <w:rPr>
                <w:sz w:val="24"/>
                <w:szCs w:val="24"/>
              </w:rPr>
            </w:pPr>
            <w:r w:rsidRPr="00331EC9">
              <w:rPr>
                <w:sz w:val="24"/>
                <w:szCs w:val="24"/>
              </w:rPr>
              <w:t>May reduce pressure on secondary care services slightly, where primary care is able to continue prescribing for new patients entering HNY who are established and stable on treatment, and do not require review.</w:t>
            </w:r>
          </w:p>
        </w:tc>
        <w:tc>
          <w:tcPr>
            <w:tcW w:w="1852" w:type="dxa"/>
            <w:shd w:val="clear" w:color="auto" w:fill="FFFFFF"/>
          </w:tcPr>
          <w:p w14:paraId="71A0A0CA" w14:textId="77777777" w:rsidR="00E73516" w:rsidRPr="00331EC9" w:rsidRDefault="00E73516" w:rsidP="00E73516">
            <w:pPr>
              <w:rPr>
                <w:iCs/>
                <w:sz w:val="24"/>
                <w:szCs w:val="24"/>
                <w:lang w:val="en-US"/>
              </w:rPr>
            </w:pPr>
            <w:r w:rsidRPr="00331EC9">
              <w:rPr>
                <w:iCs/>
                <w:sz w:val="24"/>
                <w:szCs w:val="24"/>
                <w:lang w:val="en-US"/>
              </w:rPr>
              <w:t>Approve addition to formulary</w:t>
            </w:r>
          </w:p>
          <w:p w14:paraId="26E04F46" w14:textId="6473BED4" w:rsidR="00E73516" w:rsidRPr="00331EC9" w:rsidRDefault="00E73516" w:rsidP="00E73516">
            <w:pPr>
              <w:rPr>
                <w:iCs/>
                <w:sz w:val="24"/>
                <w:szCs w:val="24"/>
              </w:rPr>
            </w:pPr>
          </w:p>
        </w:tc>
      </w:tr>
    </w:tbl>
    <w:p w14:paraId="6D0E09B9" w14:textId="5322E5C6" w:rsidR="00ED412F" w:rsidRDefault="00ED412F" w:rsidP="00383A54">
      <w:pPr>
        <w:spacing w:before="0" w:after="0"/>
        <w:rPr>
          <w:sz w:val="20"/>
          <w:lang w:val="en-US" w:eastAsia="ja-JP"/>
        </w:rPr>
      </w:pPr>
    </w:p>
    <w:p w14:paraId="7CD5C527" w14:textId="0E8563D0" w:rsidR="005C0229" w:rsidRDefault="005C0229">
      <w:pPr>
        <w:tabs>
          <w:tab w:val="clear" w:pos="975"/>
        </w:tabs>
        <w:spacing w:before="0" w:after="0"/>
        <w:rPr>
          <w:sz w:val="20"/>
          <w:lang w:val="en-US" w:eastAsia="ja-JP"/>
        </w:rPr>
      </w:pPr>
      <w:r>
        <w:rPr>
          <w:sz w:val="20"/>
          <w:lang w:val="en-US" w:eastAsia="ja-JP"/>
        </w:rPr>
        <w:br w:type="page"/>
      </w:r>
    </w:p>
    <w:p w14:paraId="2E52DA50" w14:textId="77777777" w:rsidR="005C0229" w:rsidRPr="00383A54" w:rsidRDefault="005C0229" w:rsidP="00383A54">
      <w:pPr>
        <w:spacing w:before="0" w:after="0"/>
        <w:rPr>
          <w:sz w:val="20"/>
          <w:lang w:val="en-US" w:eastAsia="ja-JP"/>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383A54" w:rsidRPr="00383A54" w14:paraId="473BE708" w14:textId="77777777" w:rsidTr="00063CFB">
        <w:trPr>
          <w:cantSplit/>
        </w:trPr>
        <w:tc>
          <w:tcPr>
            <w:tcW w:w="5000" w:type="pct"/>
            <w:shd w:val="clear" w:color="auto" w:fill="auto"/>
          </w:tcPr>
          <w:p w14:paraId="6DC8B104" w14:textId="78D45245" w:rsidR="00383A54"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DECISIONS WITH</w:t>
            </w:r>
            <w:r w:rsidR="00C97823">
              <w:rPr>
                <w:rFonts w:eastAsia="Calibri"/>
                <w:b/>
                <w:color w:val="1F497D"/>
                <w:sz w:val="24"/>
                <w:szCs w:val="24"/>
              </w:rPr>
              <w:t>OUT</w:t>
            </w:r>
            <w:r w:rsidRPr="00383A54">
              <w:rPr>
                <w:rFonts w:eastAsia="Calibri"/>
                <w:b/>
                <w:color w:val="1F497D"/>
                <w:sz w:val="24"/>
                <w:szCs w:val="24"/>
              </w:rPr>
              <w:t xml:space="preserve">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601AEC0E" w14:textId="77777777" w:rsidR="00383A54" w:rsidRPr="00383A54" w:rsidRDefault="00383A54" w:rsidP="00383A54">
      <w:pPr>
        <w:spacing w:before="0" w:after="0"/>
        <w:rPr>
          <w:sz w:val="20"/>
          <w:lang w:val="en-US" w:eastAsia="ja-JP"/>
        </w:rPr>
      </w:pPr>
    </w:p>
    <w:p w14:paraId="03DEC03D" w14:textId="77777777" w:rsidR="00383A54" w:rsidRPr="00383A54" w:rsidRDefault="00383A54" w:rsidP="00383A54">
      <w:pPr>
        <w:spacing w:before="0" w:after="0"/>
        <w:rPr>
          <w:sz w:val="10"/>
          <w:szCs w:val="10"/>
          <w:lang w:val="en-US" w:eastAsia="ja-JP"/>
        </w:rPr>
        <w:sectPr w:rsidR="00383A54" w:rsidRPr="00383A54" w:rsidSect="00040A7D">
          <w:headerReference w:type="even" r:id="rId14"/>
          <w:headerReference w:type="default" r:id="rId15"/>
          <w:footerReference w:type="even" r:id="rId16"/>
          <w:headerReference w:type="first" r:id="rId17"/>
          <w:type w:val="continuous"/>
          <w:pgSz w:w="16840" w:h="11910" w:orient="landscape"/>
          <w:pgMar w:top="508" w:right="520" w:bottom="993" w:left="426" w:header="301" w:footer="17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127"/>
        <w:gridCol w:w="1984"/>
        <w:gridCol w:w="5646"/>
        <w:gridCol w:w="2160"/>
      </w:tblGrid>
      <w:tr w:rsidR="001C7976" w:rsidRPr="00331EC9" w14:paraId="0360D02E" w14:textId="77777777" w:rsidTr="001C7976">
        <w:trPr>
          <w:cantSplit/>
          <w:trHeight w:val="548"/>
          <w:tblHeader/>
        </w:trPr>
        <w:tc>
          <w:tcPr>
            <w:tcW w:w="3964" w:type="dxa"/>
            <w:tcBorders>
              <w:bottom w:val="single" w:sz="4" w:space="0" w:color="auto"/>
            </w:tcBorders>
            <w:shd w:val="clear" w:color="auto" w:fill="B6DDE8"/>
          </w:tcPr>
          <w:p w14:paraId="4FE4577D" w14:textId="77777777" w:rsidR="001C7976" w:rsidRPr="00331EC9" w:rsidRDefault="001C7976" w:rsidP="001C7976">
            <w:pPr>
              <w:tabs>
                <w:tab w:val="clear" w:pos="975"/>
              </w:tabs>
              <w:rPr>
                <w:rFonts w:eastAsia="Calibri"/>
                <w:b/>
                <w:sz w:val="24"/>
                <w:szCs w:val="24"/>
              </w:rPr>
            </w:pPr>
            <w:r w:rsidRPr="00331EC9">
              <w:rPr>
                <w:rFonts w:eastAsia="Calibri"/>
                <w:b/>
                <w:sz w:val="24"/>
                <w:szCs w:val="24"/>
              </w:rPr>
              <w:t xml:space="preserve">Drug and indication </w:t>
            </w:r>
          </w:p>
        </w:tc>
        <w:tc>
          <w:tcPr>
            <w:tcW w:w="2127" w:type="dxa"/>
            <w:tcBorders>
              <w:bottom w:val="single" w:sz="4" w:space="0" w:color="auto"/>
            </w:tcBorders>
            <w:shd w:val="clear" w:color="auto" w:fill="B6DDE8"/>
          </w:tcPr>
          <w:p w14:paraId="05FD2BD5" w14:textId="77777777" w:rsidR="001C7976" w:rsidRPr="00331EC9" w:rsidRDefault="001C7976" w:rsidP="001C7976">
            <w:pPr>
              <w:tabs>
                <w:tab w:val="clear" w:pos="975"/>
              </w:tabs>
              <w:rPr>
                <w:rFonts w:eastAsia="Calibri"/>
                <w:b/>
                <w:sz w:val="24"/>
                <w:szCs w:val="24"/>
              </w:rPr>
            </w:pPr>
            <w:r w:rsidRPr="00331EC9">
              <w:rPr>
                <w:rFonts w:eastAsia="Calibri"/>
                <w:b/>
                <w:sz w:val="24"/>
                <w:szCs w:val="24"/>
              </w:rPr>
              <w:t>Status and formulary position assigned</w:t>
            </w:r>
          </w:p>
        </w:tc>
        <w:tc>
          <w:tcPr>
            <w:tcW w:w="1984" w:type="dxa"/>
            <w:tcBorders>
              <w:bottom w:val="single" w:sz="4" w:space="0" w:color="auto"/>
            </w:tcBorders>
            <w:shd w:val="clear" w:color="auto" w:fill="B6DDE8"/>
          </w:tcPr>
          <w:p w14:paraId="5C87408D" w14:textId="77777777" w:rsidR="001C7976" w:rsidRPr="00331EC9" w:rsidRDefault="001C7976" w:rsidP="001C7976">
            <w:pPr>
              <w:tabs>
                <w:tab w:val="clear" w:pos="975"/>
              </w:tabs>
              <w:rPr>
                <w:rFonts w:eastAsia="Calibri"/>
                <w:b/>
                <w:sz w:val="24"/>
                <w:szCs w:val="24"/>
              </w:rPr>
            </w:pPr>
            <w:r w:rsidRPr="00331EC9">
              <w:rPr>
                <w:rFonts w:eastAsia="Calibri"/>
                <w:b/>
                <w:sz w:val="24"/>
                <w:szCs w:val="24"/>
              </w:rPr>
              <w:t>Notes on decision</w:t>
            </w:r>
          </w:p>
        </w:tc>
        <w:tc>
          <w:tcPr>
            <w:tcW w:w="5646" w:type="dxa"/>
            <w:tcBorders>
              <w:bottom w:val="single" w:sz="4" w:space="0" w:color="auto"/>
            </w:tcBorders>
            <w:shd w:val="clear" w:color="auto" w:fill="B6DDE8"/>
          </w:tcPr>
          <w:p w14:paraId="4BC44793" w14:textId="77777777" w:rsidR="001C7976" w:rsidRPr="00331EC9" w:rsidRDefault="001C7976" w:rsidP="001C7976">
            <w:pPr>
              <w:tabs>
                <w:tab w:val="clear" w:pos="975"/>
              </w:tabs>
              <w:rPr>
                <w:rFonts w:eastAsia="Calibri"/>
                <w:b/>
                <w:sz w:val="24"/>
                <w:szCs w:val="24"/>
              </w:rPr>
            </w:pPr>
            <w:r w:rsidRPr="00331EC9">
              <w:rPr>
                <w:rFonts w:eastAsia="Calibri"/>
                <w:b/>
                <w:sz w:val="24"/>
                <w:szCs w:val="24"/>
              </w:rPr>
              <w:t>Cost impact and commissioning / service implications</w:t>
            </w:r>
          </w:p>
        </w:tc>
        <w:tc>
          <w:tcPr>
            <w:tcW w:w="2160" w:type="dxa"/>
            <w:tcBorders>
              <w:bottom w:val="single" w:sz="4" w:space="0" w:color="auto"/>
            </w:tcBorders>
            <w:shd w:val="clear" w:color="auto" w:fill="B6DDE8"/>
          </w:tcPr>
          <w:p w14:paraId="43FAB0E3" w14:textId="77777777" w:rsidR="001C7976" w:rsidRPr="00331EC9" w:rsidRDefault="001C7976" w:rsidP="001C7976">
            <w:pPr>
              <w:tabs>
                <w:tab w:val="clear" w:pos="975"/>
              </w:tabs>
              <w:rPr>
                <w:rFonts w:eastAsia="Calibri"/>
                <w:b/>
                <w:sz w:val="24"/>
                <w:szCs w:val="24"/>
              </w:rPr>
            </w:pPr>
            <w:r w:rsidRPr="00331EC9">
              <w:rPr>
                <w:rFonts w:eastAsia="Calibri"/>
                <w:b/>
                <w:sz w:val="24"/>
                <w:szCs w:val="24"/>
              </w:rPr>
              <w:t>Recommendation from HNY APC</w:t>
            </w:r>
          </w:p>
        </w:tc>
      </w:tr>
      <w:tr w:rsidR="00E73516" w:rsidRPr="00331EC9" w14:paraId="683B8F96" w14:textId="77777777" w:rsidTr="001C7976">
        <w:trPr>
          <w:cantSplit/>
          <w:trHeight w:val="548"/>
        </w:trPr>
        <w:tc>
          <w:tcPr>
            <w:tcW w:w="3964" w:type="dxa"/>
            <w:shd w:val="clear" w:color="auto" w:fill="auto"/>
          </w:tcPr>
          <w:p w14:paraId="2E338DCB" w14:textId="77777777" w:rsidR="00E73516" w:rsidRPr="00331EC9" w:rsidRDefault="00E73516" w:rsidP="00E73516">
            <w:pPr>
              <w:tabs>
                <w:tab w:val="left" w:pos="720"/>
              </w:tabs>
              <w:rPr>
                <w:b/>
                <w:bCs/>
                <w:sz w:val="24"/>
                <w:szCs w:val="24"/>
                <w:lang w:val="en-US"/>
              </w:rPr>
            </w:pPr>
            <w:hyperlink r:id="rId18" w:history="1">
              <w:r w:rsidRPr="00331EC9">
                <w:rPr>
                  <w:rStyle w:val="Hyperlink"/>
                  <w:b/>
                  <w:bCs/>
                  <w:sz w:val="24"/>
                  <w:szCs w:val="24"/>
                  <w:lang w:val="en-US"/>
                </w:rPr>
                <w:t>TA1009: Latanoprost–netarsudil for previously treated primary open-angle glaucoma or ocular hypertension</w:t>
              </w:r>
            </w:hyperlink>
          </w:p>
          <w:p w14:paraId="0AD36018" w14:textId="77777777" w:rsidR="00E73516" w:rsidRPr="00331EC9" w:rsidRDefault="00E73516" w:rsidP="00E73516">
            <w:pPr>
              <w:tabs>
                <w:tab w:val="left" w:pos="720"/>
              </w:tabs>
              <w:rPr>
                <w:b/>
                <w:bCs/>
                <w:sz w:val="24"/>
                <w:szCs w:val="24"/>
                <w:lang w:val="en-US"/>
              </w:rPr>
            </w:pPr>
            <w:r w:rsidRPr="00331EC9">
              <w:rPr>
                <w:b/>
                <w:bCs/>
                <w:sz w:val="24"/>
                <w:szCs w:val="24"/>
                <w:lang w:val="en-US"/>
              </w:rPr>
              <w:t>2</w:t>
            </w:r>
            <w:r w:rsidRPr="00331EC9">
              <w:rPr>
                <w:b/>
                <w:bCs/>
                <w:sz w:val="24"/>
                <w:szCs w:val="24"/>
                <w:vertAlign w:val="superscript"/>
                <w:lang w:val="en-US"/>
              </w:rPr>
              <w:t>nd</w:t>
            </w:r>
            <w:r w:rsidRPr="00331EC9">
              <w:rPr>
                <w:b/>
                <w:bCs/>
                <w:sz w:val="24"/>
                <w:szCs w:val="24"/>
                <w:lang w:val="en-US"/>
              </w:rPr>
              <w:t xml:space="preserve"> October 2024</w:t>
            </w:r>
          </w:p>
          <w:p w14:paraId="6A1A26CC" w14:textId="77777777" w:rsidR="00E73516" w:rsidRPr="00331EC9" w:rsidRDefault="00E73516" w:rsidP="00E73516">
            <w:pPr>
              <w:tabs>
                <w:tab w:val="left" w:pos="720"/>
              </w:tabs>
              <w:rPr>
                <w:b/>
                <w:bCs/>
                <w:sz w:val="24"/>
                <w:szCs w:val="24"/>
                <w:lang w:val="en-US"/>
              </w:rPr>
            </w:pPr>
            <w:r w:rsidRPr="00331EC9">
              <w:rPr>
                <w:b/>
                <w:bCs/>
                <w:sz w:val="24"/>
                <w:szCs w:val="24"/>
                <w:lang w:val="en-US"/>
              </w:rPr>
              <w:t>Commissioning: ICS</w:t>
            </w:r>
          </w:p>
          <w:p w14:paraId="084F5527" w14:textId="77777777" w:rsidR="00E73516" w:rsidRPr="00331EC9" w:rsidRDefault="00E73516" w:rsidP="00E73516">
            <w:pPr>
              <w:tabs>
                <w:tab w:val="left" w:pos="720"/>
              </w:tabs>
              <w:rPr>
                <w:sz w:val="24"/>
                <w:szCs w:val="24"/>
                <w:lang w:val="en-US"/>
              </w:rPr>
            </w:pPr>
            <w:r w:rsidRPr="00331EC9">
              <w:rPr>
                <w:sz w:val="24"/>
                <w:szCs w:val="24"/>
                <w:lang w:val="en-US"/>
              </w:rPr>
              <w:t>Latanoprost–netarsudil is recommended as an option for reducing intraocular pressure (IOP) in adults with primary open-angle glaucoma or ocular hypertension when a prostaglandin analogue alone has not reduced IOP enough, only if:</w:t>
            </w:r>
          </w:p>
          <w:p w14:paraId="3C4174F8" w14:textId="77777777" w:rsidR="00A55F26" w:rsidRPr="00331EC9" w:rsidRDefault="00E73516" w:rsidP="00A55F26">
            <w:pPr>
              <w:pStyle w:val="ListParagraph"/>
              <w:numPr>
                <w:ilvl w:val="0"/>
                <w:numId w:val="46"/>
              </w:numPr>
              <w:tabs>
                <w:tab w:val="left" w:pos="720"/>
              </w:tabs>
              <w:rPr>
                <w:color w:val="000000"/>
                <w:sz w:val="24"/>
                <w:szCs w:val="24"/>
              </w:rPr>
            </w:pPr>
            <w:r w:rsidRPr="00331EC9">
              <w:rPr>
                <w:sz w:val="24"/>
                <w:szCs w:val="24"/>
                <w:lang w:val="en-US"/>
              </w:rPr>
              <w:t xml:space="preserve">they have then tried a fixed-dose combination </w:t>
            </w:r>
            <w:proofErr w:type="gramStart"/>
            <w:r w:rsidRPr="00331EC9">
              <w:rPr>
                <w:sz w:val="24"/>
                <w:szCs w:val="24"/>
                <w:lang w:val="en-US"/>
              </w:rPr>
              <w:t>treatment</w:t>
            </w:r>
            <w:proofErr w:type="gramEnd"/>
            <w:r w:rsidRPr="00331EC9">
              <w:rPr>
                <w:sz w:val="24"/>
                <w:szCs w:val="24"/>
                <w:lang w:val="en-US"/>
              </w:rPr>
              <w:t xml:space="preserve"> and it has not reduced IOP enough, or</w:t>
            </w:r>
          </w:p>
          <w:p w14:paraId="3BD3269A" w14:textId="11F69867" w:rsidR="00E73516" w:rsidRPr="00331EC9" w:rsidRDefault="00E73516" w:rsidP="00A55F26">
            <w:pPr>
              <w:pStyle w:val="ListParagraph"/>
              <w:numPr>
                <w:ilvl w:val="0"/>
                <w:numId w:val="46"/>
              </w:numPr>
              <w:tabs>
                <w:tab w:val="left" w:pos="720"/>
              </w:tabs>
              <w:rPr>
                <w:color w:val="000000"/>
                <w:sz w:val="24"/>
                <w:szCs w:val="24"/>
              </w:rPr>
            </w:pPr>
            <w:r w:rsidRPr="00331EC9">
              <w:rPr>
                <w:sz w:val="24"/>
                <w:szCs w:val="24"/>
                <w:lang w:val="en-US"/>
              </w:rPr>
              <w:t>a fixed-dose combination treatment containing beta-blockers is unsuitable.</w:t>
            </w:r>
          </w:p>
        </w:tc>
        <w:tc>
          <w:tcPr>
            <w:tcW w:w="2127" w:type="dxa"/>
            <w:shd w:val="clear" w:color="auto" w:fill="auto"/>
          </w:tcPr>
          <w:p w14:paraId="3608BEE9" w14:textId="7C876ECD" w:rsidR="00714EC5" w:rsidRPr="00331EC9" w:rsidRDefault="00E73516" w:rsidP="00714EC5">
            <w:pPr>
              <w:shd w:val="clear" w:color="auto" w:fill="FFC000"/>
              <w:rPr>
                <w:b/>
                <w:bCs/>
                <w:sz w:val="24"/>
                <w:szCs w:val="24"/>
              </w:rPr>
            </w:pPr>
            <w:r w:rsidRPr="00331EC9">
              <w:rPr>
                <w:b/>
                <w:bCs/>
                <w:sz w:val="24"/>
                <w:szCs w:val="24"/>
              </w:rPr>
              <w:t>Amber specialist recommendation</w:t>
            </w:r>
            <w:r w:rsidR="00714EC5" w:rsidRPr="00331EC9">
              <w:rPr>
                <w:b/>
                <w:bCs/>
                <w:sz w:val="24"/>
                <w:szCs w:val="24"/>
              </w:rPr>
              <w:t xml:space="preserve"> (Amber SR)</w:t>
            </w:r>
          </w:p>
          <w:p w14:paraId="48B39953" w14:textId="0670D656" w:rsidR="00714EC5" w:rsidRPr="00331EC9" w:rsidRDefault="00714EC5" w:rsidP="00E73516">
            <w:pPr>
              <w:rPr>
                <w:sz w:val="24"/>
                <w:szCs w:val="24"/>
              </w:rPr>
            </w:pPr>
            <w:r w:rsidRPr="00331EC9">
              <w:rPr>
                <w:sz w:val="24"/>
                <w:szCs w:val="24"/>
              </w:rPr>
              <w:t>Formerly known as Amber 1 in Humber</w:t>
            </w:r>
          </w:p>
          <w:p w14:paraId="7A130EE1" w14:textId="34FB7471" w:rsidR="00E73516" w:rsidRPr="00331EC9" w:rsidRDefault="00714EC5" w:rsidP="00E73516">
            <w:pPr>
              <w:rPr>
                <w:sz w:val="24"/>
                <w:szCs w:val="24"/>
              </w:rPr>
            </w:pPr>
            <w:r w:rsidRPr="00331EC9">
              <w:rPr>
                <w:sz w:val="24"/>
                <w:szCs w:val="24"/>
              </w:rPr>
              <w:t>D</w:t>
            </w:r>
            <w:r w:rsidR="00E73516" w:rsidRPr="00331EC9">
              <w:rPr>
                <w:sz w:val="24"/>
                <w:szCs w:val="24"/>
              </w:rPr>
              <w:t>oes not need to be initiated by a specialist but can be recommended by a specialist to primary care.</w:t>
            </w:r>
          </w:p>
        </w:tc>
        <w:tc>
          <w:tcPr>
            <w:tcW w:w="1984" w:type="dxa"/>
            <w:shd w:val="clear" w:color="auto" w:fill="auto"/>
          </w:tcPr>
          <w:p w14:paraId="453258A6" w14:textId="5BF02A68" w:rsidR="00E73516" w:rsidRPr="00331EC9" w:rsidRDefault="00E73516" w:rsidP="00E73516">
            <w:pPr>
              <w:tabs>
                <w:tab w:val="clear" w:pos="975"/>
              </w:tabs>
              <w:ind w:left="20"/>
              <w:rPr>
                <w:iCs/>
                <w:sz w:val="24"/>
                <w:szCs w:val="24"/>
              </w:rPr>
            </w:pPr>
          </w:p>
        </w:tc>
        <w:tc>
          <w:tcPr>
            <w:tcW w:w="5646" w:type="dxa"/>
          </w:tcPr>
          <w:p w14:paraId="2F44C608" w14:textId="77777777" w:rsidR="00E73516" w:rsidRPr="00331EC9" w:rsidRDefault="00E73516" w:rsidP="00E73516">
            <w:pPr>
              <w:rPr>
                <w:sz w:val="24"/>
                <w:szCs w:val="24"/>
              </w:rPr>
            </w:pPr>
            <w:r w:rsidRPr="00331EC9">
              <w:rPr>
                <w:sz w:val="24"/>
                <w:szCs w:val="24"/>
              </w:rPr>
              <w:t xml:space="preserve">NICE estimates that the eligible population is currently around 264 per 100,000 population, rising to 277 per 100,000 by year 5. Uptake of latanoprost-netarsudil is expected to be around 3% in year 1, rising to 14% by year 5. </w:t>
            </w:r>
          </w:p>
          <w:p w14:paraId="7C6DEE01" w14:textId="77777777" w:rsidR="00E73516" w:rsidRPr="00331EC9" w:rsidRDefault="00E73516" w:rsidP="00E73516">
            <w:pPr>
              <w:rPr>
                <w:sz w:val="24"/>
                <w:szCs w:val="24"/>
              </w:rPr>
            </w:pPr>
            <w:r w:rsidRPr="00331EC9">
              <w:rPr>
                <w:sz w:val="24"/>
                <w:szCs w:val="24"/>
              </w:rPr>
              <w:t xml:space="preserve">The annual cost of treatment is £146 per person. Comparators cost between £54 and £210 per person. The drug cost in HNY is </w:t>
            </w:r>
            <w:proofErr w:type="gramStart"/>
            <w:r w:rsidRPr="00331EC9">
              <w:rPr>
                <w:sz w:val="24"/>
                <w:szCs w:val="24"/>
              </w:rPr>
              <w:t>expect</w:t>
            </w:r>
            <w:proofErr w:type="gramEnd"/>
            <w:r w:rsidRPr="00331EC9">
              <w:rPr>
                <w:sz w:val="24"/>
                <w:szCs w:val="24"/>
              </w:rPr>
              <w:t xml:space="preserve"> to be around £7k in year 1, rising to £36k in year 5, including savings from reductions in other treatments. </w:t>
            </w:r>
            <w:proofErr w:type="gramStart"/>
            <w:r w:rsidRPr="00331EC9">
              <w:rPr>
                <w:sz w:val="24"/>
                <w:szCs w:val="24"/>
              </w:rPr>
              <w:t>The majority of</w:t>
            </w:r>
            <w:proofErr w:type="gramEnd"/>
            <w:r w:rsidRPr="00331EC9">
              <w:rPr>
                <w:sz w:val="24"/>
                <w:szCs w:val="24"/>
              </w:rPr>
              <w:t xml:space="preserve"> this impact is due to population growth and not additional drug costs. </w:t>
            </w:r>
          </w:p>
          <w:p w14:paraId="377FA3FC" w14:textId="2050990C" w:rsidR="00E73516" w:rsidRPr="00331EC9" w:rsidRDefault="00E73516" w:rsidP="00E73516">
            <w:pPr>
              <w:rPr>
                <w:i/>
                <w:sz w:val="24"/>
                <w:szCs w:val="24"/>
              </w:rPr>
            </w:pPr>
            <w:r w:rsidRPr="00331EC9">
              <w:rPr>
                <w:iCs/>
                <w:sz w:val="24"/>
                <w:szCs w:val="24"/>
              </w:rPr>
              <w:t xml:space="preserve">There </w:t>
            </w:r>
            <w:proofErr w:type="gramStart"/>
            <w:r w:rsidRPr="00331EC9">
              <w:rPr>
                <w:iCs/>
                <w:sz w:val="24"/>
                <w:szCs w:val="24"/>
              </w:rPr>
              <w:t>are</w:t>
            </w:r>
            <w:proofErr w:type="gramEnd"/>
            <w:r w:rsidRPr="00331EC9">
              <w:rPr>
                <w:iCs/>
                <w:sz w:val="24"/>
                <w:szCs w:val="24"/>
              </w:rPr>
              <w:t xml:space="preserve"> no service capacity impacts expected; latanoprost-netarsudil is an additional treatment option.</w:t>
            </w:r>
          </w:p>
        </w:tc>
        <w:tc>
          <w:tcPr>
            <w:tcW w:w="2160" w:type="dxa"/>
            <w:shd w:val="clear" w:color="auto" w:fill="FFFFFF"/>
          </w:tcPr>
          <w:p w14:paraId="4F0C1E6D" w14:textId="77777777" w:rsidR="00E73516" w:rsidRPr="00331EC9" w:rsidRDefault="00E73516" w:rsidP="00E73516">
            <w:pPr>
              <w:rPr>
                <w:iCs/>
                <w:sz w:val="24"/>
                <w:szCs w:val="24"/>
                <w:lang w:val="en-US"/>
              </w:rPr>
            </w:pPr>
            <w:r w:rsidRPr="00331EC9">
              <w:rPr>
                <w:iCs/>
                <w:sz w:val="24"/>
                <w:szCs w:val="24"/>
                <w:lang w:val="en-US"/>
              </w:rPr>
              <w:t>Approve addition to formulary</w:t>
            </w:r>
          </w:p>
          <w:p w14:paraId="36C2BF8F" w14:textId="75875938" w:rsidR="00E73516" w:rsidRPr="00331EC9" w:rsidRDefault="00E73516" w:rsidP="00E73516">
            <w:pPr>
              <w:rPr>
                <w:iCs/>
                <w:sz w:val="24"/>
                <w:szCs w:val="24"/>
              </w:rPr>
            </w:pPr>
          </w:p>
        </w:tc>
      </w:tr>
    </w:tbl>
    <w:p w14:paraId="4BE899CD" w14:textId="77777777" w:rsidR="001C7976" w:rsidRDefault="001C7976" w:rsidP="00E73516">
      <w:pPr>
        <w:pStyle w:val="BodyText"/>
        <w:tabs>
          <w:tab w:val="clear" w:pos="975"/>
        </w:tabs>
        <w:spacing w:before="68" w:after="0"/>
        <w:rPr>
          <w:rFonts w:ascii="Helvetica" w:hAnsi="Helvetica" w:cs="Helvetica"/>
          <w:color w:val="4C4D4F"/>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8606FE" w:rsidRPr="00383A54" w14:paraId="36DCCF9F" w14:textId="77777777" w:rsidTr="00D05BAD">
        <w:trPr>
          <w:cantSplit/>
        </w:trPr>
        <w:tc>
          <w:tcPr>
            <w:tcW w:w="5000" w:type="pct"/>
            <w:shd w:val="clear" w:color="auto" w:fill="auto"/>
          </w:tcPr>
          <w:p w14:paraId="2384C095" w14:textId="4BFC6E8E" w:rsidR="008606FE" w:rsidRPr="00383A54" w:rsidRDefault="008606FE" w:rsidP="00D05BAD">
            <w:pPr>
              <w:tabs>
                <w:tab w:val="clear" w:pos="975"/>
              </w:tabs>
              <w:spacing w:before="120" w:after="120"/>
              <w:jc w:val="center"/>
              <w:rPr>
                <w:sz w:val="24"/>
                <w:szCs w:val="24"/>
              </w:rPr>
            </w:pPr>
            <w:r w:rsidRPr="00383A54">
              <w:rPr>
                <w:rFonts w:eastAsia="Calibri"/>
                <w:b/>
                <w:color w:val="1F497D"/>
                <w:sz w:val="24"/>
                <w:szCs w:val="24"/>
              </w:rPr>
              <w:t xml:space="preserve">DECISIONS </w:t>
            </w:r>
            <w:r>
              <w:rPr>
                <w:rFonts w:eastAsia="Calibri"/>
                <w:b/>
                <w:color w:val="1F497D"/>
                <w:sz w:val="24"/>
                <w:szCs w:val="24"/>
              </w:rPr>
              <w:t>FOR INFORMATION ONLY</w:t>
            </w:r>
          </w:p>
        </w:tc>
      </w:tr>
    </w:tbl>
    <w:p w14:paraId="4C5B1B60" w14:textId="6698272F" w:rsidR="008606FE" w:rsidRDefault="008606FE" w:rsidP="00432265">
      <w:pPr>
        <w:pStyle w:val="BodyText"/>
        <w:tabs>
          <w:tab w:val="clear" w:pos="975"/>
        </w:tabs>
        <w:spacing w:before="68" w:after="0"/>
        <w:ind w:left="1"/>
        <w:jc w:val="center"/>
        <w:rPr>
          <w:rFonts w:ascii="Helvetica" w:hAnsi="Helvetica" w:cs="Helvetica"/>
          <w:color w:val="4C4D4F"/>
        </w:rPr>
      </w:pPr>
    </w:p>
    <w:tbl>
      <w:tblPr>
        <w:tblW w:w="15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402"/>
        <w:gridCol w:w="2126"/>
        <w:gridCol w:w="2693"/>
        <w:gridCol w:w="5528"/>
        <w:gridCol w:w="44"/>
      </w:tblGrid>
      <w:tr w:rsidR="00436283" w:rsidRPr="00331EC9" w14:paraId="0DE7E7FD" w14:textId="77777777" w:rsidTr="001C7976">
        <w:trPr>
          <w:gridAfter w:val="1"/>
          <w:wAfter w:w="44" w:type="dxa"/>
          <w:cantSplit/>
          <w:trHeight w:val="548"/>
          <w:tblHeader/>
        </w:trPr>
        <w:tc>
          <w:tcPr>
            <w:tcW w:w="2122" w:type="dxa"/>
            <w:tcBorders>
              <w:bottom w:val="single" w:sz="4" w:space="0" w:color="auto"/>
            </w:tcBorders>
            <w:shd w:val="clear" w:color="auto" w:fill="B6DDE8"/>
          </w:tcPr>
          <w:p w14:paraId="6AC9A8D3" w14:textId="77777777" w:rsidR="00436283" w:rsidRPr="00331EC9" w:rsidRDefault="00436283" w:rsidP="00D05BAD">
            <w:pPr>
              <w:tabs>
                <w:tab w:val="clear" w:pos="975"/>
              </w:tabs>
              <w:rPr>
                <w:rFonts w:eastAsia="Calibri"/>
                <w:b/>
                <w:sz w:val="24"/>
                <w:szCs w:val="24"/>
              </w:rPr>
            </w:pPr>
            <w:r w:rsidRPr="00331EC9">
              <w:rPr>
                <w:rFonts w:eastAsia="Calibri"/>
                <w:b/>
                <w:sz w:val="24"/>
                <w:szCs w:val="24"/>
              </w:rPr>
              <w:t xml:space="preserve">Drug and indication </w:t>
            </w:r>
          </w:p>
        </w:tc>
        <w:tc>
          <w:tcPr>
            <w:tcW w:w="3402" w:type="dxa"/>
            <w:tcBorders>
              <w:bottom w:val="single" w:sz="4" w:space="0" w:color="auto"/>
            </w:tcBorders>
            <w:shd w:val="clear" w:color="auto" w:fill="B6DDE8"/>
          </w:tcPr>
          <w:p w14:paraId="555E9971" w14:textId="77777777" w:rsidR="00436283" w:rsidRPr="00331EC9" w:rsidRDefault="00436283" w:rsidP="00D05BAD">
            <w:pPr>
              <w:tabs>
                <w:tab w:val="clear" w:pos="975"/>
              </w:tabs>
              <w:rPr>
                <w:rFonts w:eastAsia="Calibri"/>
                <w:b/>
                <w:sz w:val="24"/>
                <w:szCs w:val="24"/>
              </w:rPr>
            </w:pPr>
            <w:r w:rsidRPr="00331EC9">
              <w:rPr>
                <w:rFonts w:eastAsia="Calibri"/>
                <w:b/>
                <w:sz w:val="24"/>
                <w:szCs w:val="24"/>
              </w:rPr>
              <w:t>Rationale / criteria</w:t>
            </w:r>
          </w:p>
        </w:tc>
        <w:tc>
          <w:tcPr>
            <w:tcW w:w="2126" w:type="dxa"/>
            <w:tcBorders>
              <w:bottom w:val="single" w:sz="4" w:space="0" w:color="auto"/>
            </w:tcBorders>
            <w:shd w:val="clear" w:color="auto" w:fill="B6DDE8"/>
          </w:tcPr>
          <w:p w14:paraId="29316862" w14:textId="77777777" w:rsidR="00436283" w:rsidRPr="00331EC9" w:rsidRDefault="00436283" w:rsidP="00D05BAD">
            <w:pPr>
              <w:tabs>
                <w:tab w:val="clear" w:pos="975"/>
              </w:tabs>
              <w:rPr>
                <w:rFonts w:eastAsia="Calibri"/>
                <w:b/>
                <w:sz w:val="24"/>
                <w:szCs w:val="24"/>
              </w:rPr>
            </w:pPr>
            <w:r w:rsidRPr="00331EC9">
              <w:rPr>
                <w:rFonts w:eastAsia="Calibri"/>
                <w:b/>
                <w:sz w:val="24"/>
                <w:szCs w:val="24"/>
              </w:rPr>
              <w:t>Status and formulary position assigned</w:t>
            </w:r>
          </w:p>
        </w:tc>
        <w:tc>
          <w:tcPr>
            <w:tcW w:w="2693" w:type="dxa"/>
            <w:tcBorders>
              <w:bottom w:val="single" w:sz="4" w:space="0" w:color="auto"/>
            </w:tcBorders>
            <w:shd w:val="clear" w:color="auto" w:fill="B6DDE8"/>
          </w:tcPr>
          <w:p w14:paraId="677E3364" w14:textId="77777777" w:rsidR="00436283" w:rsidRPr="00331EC9" w:rsidRDefault="00436283" w:rsidP="00D05BAD">
            <w:pPr>
              <w:tabs>
                <w:tab w:val="clear" w:pos="975"/>
              </w:tabs>
              <w:rPr>
                <w:rFonts w:eastAsia="Calibri"/>
                <w:b/>
                <w:sz w:val="24"/>
                <w:szCs w:val="24"/>
              </w:rPr>
            </w:pPr>
            <w:r w:rsidRPr="00331EC9">
              <w:rPr>
                <w:rFonts w:eastAsia="Calibri"/>
                <w:b/>
                <w:sz w:val="24"/>
                <w:szCs w:val="24"/>
              </w:rPr>
              <w:t>Notes on decision</w:t>
            </w:r>
          </w:p>
        </w:tc>
        <w:tc>
          <w:tcPr>
            <w:tcW w:w="5528" w:type="dxa"/>
            <w:tcBorders>
              <w:bottom w:val="single" w:sz="4" w:space="0" w:color="auto"/>
            </w:tcBorders>
            <w:shd w:val="clear" w:color="auto" w:fill="B6DDE8"/>
          </w:tcPr>
          <w:p w14:paraId="6F868194" w14:textId="77777777" w:rsidR="00436283" w:rsidRPr="00331EC9" w:rsidRDefault="00436283" w:rsidP="00D05BAD">
            <w:pPr>
              <w:tabs>
                <w:tab w:val="clear" w:pos="975"/>
              </w:tabs>
              <w:rPr>
                <w:rFonts w:eastAsia="Calibri"/>
                <w:b/>
                <w:sz w:val="24"/>
                <w:szCs w:val="24"/>
              </w:rPr>
            </w:pPr>
            <w:r w:rsidRPr="00331EC9">
              <w:rPr>
                <w:rFonts w:eastAsia="Calibri"/>
                <w:b/>
                <w:sz w:val="24"/>
                <w:szCs w:val="24"/>
              </w:rPr>
              <w:t>Cost impact</w:t>
            </w:r>
          </w:p>
        </w:tc>
      </w:tr>
      <w:tr w:rsidR="009C1AA0" w:rsidRPr="00331EC9" w14:paraId="78777BDC" w14:textId="77777777" w:rsidTr="001C7976">
        <w:trPr>
          <w:gridAfter w:val="1"/>
          <w:wAfter w:w="44" w:type="dxa"/>
          <w:cantSplit/>
          <w:trHeight w:val="548"/>
        </w:trPr>
        <w:tc>
          <w:tcPr>
            <w:tcW w:w="2122" w:type="dxa"/>
            <w:shd w:val="clear" w:color="auto" w:fill="auto"/>
          </w:tcPr>
          <w:p w14:paraId="0898B4A9" w14:textId="61DB92F7" w:rsidR="009C1AA0" w:rsidRPr="00331EC9" w:rsidRDefault="009C1AA0" w:rsidP="009C1AA0">
            <w:pPr>
              <w:rPr>
                <w:bCs/>
                <w:color w:val="000000"/>
                <w:sz w:val="24"/>
                <w:szCs w:val="24"/>
              </w:rPr>
            </w:pPr>
            <w:r w:rsidRPr="00331EC9">
              <w:rPr>
                <w:bCs/>
                <w:color w:val="000000"/>
                <w:sz w:val="24"/>
                <w:szCs w:val="24"/>
              </w:rPr>
              <w:t xml:space="preserve">HNY APC minutes – </w:t>
            </w:r>
            <w:r w:rsidR="00E73516" w:rsidRPr="00331EC9">
              <w:rPr>
                <w:bCs/>
                <w:color w:val="000000"/>
                <w:sz w:val="24"/>
                <w:szCs w:val="24"/>
              </w:rPr>
              <w:t>January</w:t>
            </w:r>
            <w:r w:rsidRPr="00331EC9">
              <w:rPr>
                <w:bCs/>
                <w:color w:val="000000"/>
                <w:sz w:val="24"/>
                <w:szCs w:val="24"/>
              </w:rPr>
              <w:t xml:space="preserve"> 202</w:t>
            </w:r>
            <w:r w:rsidR="00E73516" w:rsidRPr="00331EC9">
              <w:rPr>
                <w:bCs/>
                <w:color w:val="000000"/>
                <w:sz w:val="24"/>
                <w:szCs w:val="24"/>
              </w:rPr>
              <w:t>5</w:t>
            </w:r>
          </w:p>
        </w:tc>
        <w:tc>
          <w:tcPr>
            <w:tcW w:w="3402" w:type="dxa"/>
          </w:tcPr>
          <w:p w14:paraId="65575D15" w14:textId="77777777" w:rsidR="009C1AA0" w:rsidRPr="00331EC9" w:rsidRDefault="009C1AA0" w:rsidP="009C1AA0">
            <w:pPr>
              <w:rPr>
                <w:sz w:val="24"/>
                <w:szCs w:val="24"/>
              </w:rPr>
            </w:pPr>
          </w:p>
        </w:tc>
        <w:tc>
          <w:tcPr>
            <w:tcW w:w="2126" w:type="dxa"/>
            <w:shd w:val="clear" w:color="auto" w:fill="auto"/>
          </w:tcPr>
          <w:p w14:paraId="639AD67A" w14:textId="77777777" w:rsidR="009C1AA0" w:rsidRPr="00331EC9" w:rsidRDefault="009C1AA0" w:rsidP="009C1AA0">
            <w:pPr>
              <w:rPr>
                <w:iCs/>
                <w:sz w:val="24"/>
                <w:szCs w:val="24"/>
              </w:rPr>
            </w:pPr>
          </w:p>
        </w:tc>
        <w:tc>
          <w:tcPr>
            <w:tcW w:w="2693" w:type="dxa"/>
            <w:shd w:val="clear" w:color="auto" w:fill="auto"/>
          </w:tcPr>
          <w:p w14:paraId="4622FD15" w14:textId="02C0CF99" w:rsidR="009C1AA0" w:rsidRPr="00331EC9" w:rsidRDefault="009C1AA0" w:rsidP="009C1AA0">
            <w:pPr>
              <w:rPr>
                <w:sz w:val="24"/>
                <w:szCs w:val="24"/>
              </w:rPr>
            </w:pPr>
            <w:r w:rsidRPr="00331EC9">
              <w:rPr>
                <w:sz w:val="24"/>
                <w:szCs w:val="24"/>
              </w:rPr>
              <w:t>Approved</w:t>
            </w:r>
          </w:p>
        </w:tc>
        <w:tc>
          <w:tcPr>
            <w:tcW w:w="5528" w:type="dxa"/>
          </w:tcPr>
          <w:p w14:paraId="4753E4A5" w14:textId="77777777" w:rsidR="009C1AA0" w:rsidRPr="00331EC9" w:rsidRDefault="009C1AA0" w:rsidP="009C1AA0">
            <w:pPr>
              <w:rPr>
                <w:sz w:val="24"/>
                <w:szCs w:val="24"/>
              </w:rPr>
            </w:pPr>
          </w:p>
        </w:tc>
      </w:tr>
      <w:tr w:rsidR="009C1AA0" w:rsidRPr="00331EC9" w14:paraId="6520CA2D" w14:textId="77777777" w:rsidTr="001C7976">
        <w:trPr>
          <w:cantSplit/>
        </w:trPr>
        <w:tc>
          <w:tcPr>
            <w:tcW w:w="15915" w:type="dxa"/>
            <w:gridSpan w:val="6"/>
            <w:shd w:val="clear" w:color="auto" w:fill="auto"/>
          </w:tcPr>
          <w:p w14:paraId="0487B469" w14:textId="77777777" w:rsidR="009C1AA0" w:rsidRPr="00331EC9" w:rsidRDefault="009C1AA0" w:rsidP="009C1AA0">
            <w:pPr>
              <w:jc w:val="center"/>
              <w:rPr>
                <w:iCs/>
                <w:sz w:val="24"/>
                <w:szCs w:val="24"/>
              </w:rPr>
            </w:pPr>
            <w:r w:rsidRPr="00331EC9">
              <w:rPr>
                <w:rFonts w:eastAsia="Calibri"/>
                <w:sz w:val="24"/>
                <w:szCs w:val="24"/>
              </w:rPr>
              <w:t>All links to MHRA drug safety updates added to formulary as published. Significant alerts where further action is required are highlighted.</w:t>
            </w:r>
          </w:p>
        </w:tc>
      </w:tr>
    </w:tbl>
    <w:p w14:paraId="762420D8" w14:textId="77777777" w:rsidR="008606FE" w:rsidRDefault="008606FE" w:rsidP="00432265">
      <w:pPr>
        <w:pStyle w:val="BodyText"/>
        <w:tabs>
          <w:tab w:val="clear" w:pos="975"/>
        </w:tabs>
        <w:spacing w:before="68" w:after="0"/>
        <w:ind w:left="1"/>
        <w:jc w:val="center"/>
        <w:rPr>
          <w:rFonts w:ascii="Helvetica" w:hAnsi="Helvetica" w:cs="Helvetica"/>
          <w:color w:val="4C4D4F"/>
        </w:rPr>
      </w:pPr>
    </w:p>
    <w:p w14:paraId="6BF63F97" w14:textId="77777777" w:rsidR="001C7976" w:rsidRPr="00331EC9" w:rsidRDefault="001C7976" w:rsidP="001C7976">
      <w:pPr>
        <w:pStyle w:val="BodyText"/>
        <w:spacing w:before="68"/>
        <w:ind w:left="1"/>
        <w:jc w:val="center"/>
        <w:rPr>
          <w:color w:val="4C4D4F"/>
          <w:sz w:val="24"/>
          <w:szCs w:val="24"/>
        </w:rPr>
      </w:pPr>
      <w:r w:rsidRPr="00331EC9">
        <w:rPr>
          <w:color w:val="4C4D4F"/>
          <w:sz w:val="24"/>
          <w:szCs w:val="24"/>
        </w:rPr>
        <w:t>HNY APC Professional Secretariat Provided by:</w:t>
      </w:r>
    </w:p>
    <w:p w14:paraId="60F27020" w14:textId="77777777" w:rsidR="001C7976" w:rsidRPr="00331EC9" w:rsidRDefault="001C7976" w:rsidP="001C7976">
      <w:pPr>
        <w:pStyle w:val="BodyText"/>
        <w:spacing w:before="68"/>
        <w:ind w:left="1"/>
        <w:jc w:val="center"/>
        <w:rPr>
          <w:sz w:val="24"/>
          <w:szCs w:val="24"/>
        </w:rPr>
      </w:pPr>
      <w:r w:rsidRPr="00331EC9">
        <w:rPr>
          <w:color w:val="4C4D4F"/>
          <w:sz w:val="24"/>
          <w:szCs w:val="24"/>
        </w:rPr>
        <w:t>Regional Drug and Therapeutics Centre</w:t>
      </w:r>
    </w:p>
    <w:p w14:paraId="4FC46799" w14:textId="77777777" w:rsidR="001C7976" w:rsidRPr="00331EC9" w:rsidRDefault="001C7976" w:rsidP="001C7976">
      <w:pPr>
        <w:pStyle w:val="BodyText"/>
        <w:spacing w:before="4"/>
        <w:ind w:left="1"/>
        <w:jc w:val="center"/>
        <w:rPr>
          <w:sz w:val="24"/>
          <w:szCs w:val="24"/>
        </w:rPr>
      </w:pPr>
      <w:r w:rsidRPr="00331EC9">
        <w:rPr>
          <w:color w:val="4C4D4F"/>
          <w:sz w:val="24"/>
          <w:szCs w:val="24"/>
        </w:rPr>
        <w:t>16/17 Framlington Place, Newcastle upon Tyne, NE2 4AB</w:t>
      </w:r>
    </w:p>
    <w:p w14:paraId="3CC7289B" w14:textId="456F80FD" w:rsidR="001C7976" w:rsidRPr="00331EC9" w:rsidRDefault="001C7976" w:rsidP="001C7976">
      <w:pPr>
        <w:tabs>
          <w:tab w:val="left" w:pos="1770"/>
          <w:tab w:val="left" w:pos="3611"/>
          <w:tab w:val="left" w:pos="6712"/>
        </w:tabs>
        <w:spacing w:before="3"/>
        <w:jc w:val="center"/>
        <w:rPr>
          <w:sz w:val="24"/>
          <w:szCs w:val="24"/>
        </w:rPr>
      </w:pPr>
      <w:bookmarkStart w:id="0" w:name="_Hlk183004187"/>
      <w:r w:rsidRPr="00331EC9">
        <w:rPr>
          <w:color w:val="4C4D4F"/>
          <w:spacing w:val="-5"/>
          <w:sz w:val="24"/>
          <w:szCs w:val="24"/>
        </w:rPr>
        <w:t xml:space="preserve">Tel: </w:t>
      </w:r>
      <w:r w:rsidRPr="00331EC9">
        <w:rPr>
          <w:b/>
          <w:color w:val="4C4D4F"/>
          <w:sz w:val="24"/>
          <w:szCs w:val="24"/>
        </w:rPr>
        <w:t>0191</w:t>
      </w:r>
      <w:r w:rsidRPr="00331EC9">
        <w:rPr>
          <w:b/>
          <w:color w:val="4C4D4F"/>
          <w:spacing w:val="15"/>
          <w:sz w:val="24"/>
          <w:szCs w:val="24"/>
        </w:rPr>
        <w:t xml:space="preserve"> </w:t>
      </w:r>
      <w:r w:rsidRPr="00331EC9">
        <w:rPr>
          <w:b/>
          <w:color w:val="4C4D4F"/>
          <w:sz w:val="24"/>
          <w:szCs w:val="24"/>
        </w:rPr>
        <w:t>213</w:t>
      </w:r>
      <w:r w:rsidRPr="00331EC9">
        <w:rPr>
          <w:b/>
          <w:color w:val="4C4D4F"/>
          <w:spacing w:val="5"/>
          <w:sz w:val="24"/>
          <w:szCs w:val="24"/>
        </w:rPr>
        <w:t xml:space="preserve"> </w:t>
      </w:r>
      <w:r w:rsidRPr="00331EC9">
        <w:rPr>
          <w:b/>
          <w:color w:val="4C4D4F"/>
          <w:sz w:val="24"/>
          <w:szCs w:val="24"/>
        </w:rPr>
        <w:t>7855</w:t>
      </w:r>
      <w:r w:rsidRPr="00331EC9">
        <w:rPr>
          <w:b/>
          <w:color w:val="4C4D4F"/>
          <w:sz w:val="24"/>
          <w:szCs w:val="24"/>
        </w:rPr>
        <w:tab/>
      </w:r>
      <w:r w:rsidRPr="00331EC9">
        <w:rPr>
          <w:color w:val="4C4D4F"/>
          <w:sz w:val="24"/>
          <w:szCs w:val="24"/>
        </w:rPr>
        <w:t xml:space="preserve">email:  </w:t>
      </w:r>
      <w:hyperlink r:id="rId19" w:history="1">
        <w:r w:rsidR="007D5B59" w:rsidRPr="00331EC9">
          <w:rPr>
            <w:rStyle w:val="Hyperlink"/>
            <w:rFonts w:cs="Arial"/>
            <w:sz w:val="24"/>
            <w:szCs w:val="24"/>
          </w:rPr>
          <w:t>nuth.hnyapc@nhs.net</w:t>
        </w:r>
      </w:hyperlink>
      <w:r w:rsidR="007D5B59" w:rsidRPr="00331EC9">
        <w:rPr>
          <w:color w:val="4C4D4F"/>
          <w:sz w:val="24"/>
          <w:szCs w:val="24"/>
        </w:rPr>
        <w:t xml:space="preserve">  </w:t>
      </w:r>
      <w:r w:rsidRPr="00331EC9">
        <w:rPr>
          <w:color w:val="4C4D4F"/>
          <w:spacing w:val="19"/>
          <w:sz w:val="24"/>
          <w:szCs w:val="24"/>
        </w:rPr>
        <w:t xml:space="preserve">  </w:t>
      </w:r>
      <w:r w:rsidRPr="00331EC9">
        <w:rPr>
          <w:color w:val="4C4D4F"/>
          <w:sz w:val="24"/>
          <w:szCs w:val="24"/>
        </w:rPr>
        <w:t>visit:</w:t>
      </w:r>
      <w:r w:rsidRPr="00331EC9">
        <w:rPr>
          <w:color w:val="4C4D4F"/>
          <w:spacing w:val="4"/>
          <w:sz w:val="24"/>
          <w:szCs w:val="24"/>
        </w:rPr>
        <w:t xml:space="preserve"> </w:t>
      </w:r>
      <w:hyperlink r:id="rId20" w:history="1">
        <w:r w:rsidRPr="00331EC9">
          <w:rPr>
            <w:rStyle w:val="Hyperlink"/>
            <w:rFonts w:cs="Arial"/>
            <w:sz w:val="24"/>
            <w:szCs w:val="24"/>
          </w:rPr>
          <w:t>https://humberandnorthyorkshire.org.uk/area-prescribing-committee-apc/</w:t>
        </w:r>
      </w:hyperlink>
      <w:r w:rsidRPr="00331EC9">
        <w:rPr>
          <w:sz w:val="24"/>
          <w:szCs w:val="24"/>
        </w:rPr>
        <w:t xml:space="preserve"> </w:t>
      </w:r>
    </w:p>
    <w:bookmarkEnd w:id="0"/>
    <w:p w14:paraId="3F6D9BD9" w14:textId="77777777" w:rsidR="001C7976" w:rsidRDefault="001C7976" w:rsidP="001C7976">
      <w:pPr>
        <w:ind w:left="12"/>
        <w:jc w:val="center"/>
        <w:rPr>
          <w:sz w:val="24"/>
          <w:szCs w:val="24"/>
        </w:rPr>
      </w:pPr>
      <w:r w:rsidRPr="00331EC9">
        <w:rPr>
          <w:noProof/>
          <w:position w:val="-15"/>
          <w:sz w:val="24"/>
          <w:szCs w:val="24"/>
          <w:lang w:eastAsia="en-GB"/>
        </w:rPr>
        <w:drawing>
          <wp:inline distT="0" distB="0" distL="0" distR="0" wp14:anchorId="146C8D26" wp14:editId="236FB79C">
            <wp:extent cx="295147" cy="29514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1" cstate="print"/>
                    <a:stretch>
                      <a:fillRect/>
                    </a:stretch>
                  </pic:blipFill>
                  <pic:spPr>
                    <a:xfrm>
                      <a:off x="0" y="0"/>
                      <a:ext cx="295147" cy="295147"/>
                    </a:xfrm>
                    <a:prstGeom prst="rect">
                      <a:avLst/>
                    </a:prstGeom>
                  </pic:spPr>
                </pic:pic>
              </a:graphicData>
            </a:graphic>
          </wp:inline>
        </w:drawing>
      </w:r>
      <w:r w:rsidRPr="00331EC9">
        <w:rPr>
          <w:rFonts w:ascii="Times New Roman"/>
          <w:sz w:val="24"/>
          <w:szCs w:val="24"/>
        </w:rPr>
        <w:t xml:space="preserve">  </w:t>
      </w:r>
      <w:r w:rsidRPr="00331EC9">
        <w:rPr>
          <w:rFonts w:ascii="Times New Roman"/>
          <w:spacing w:val="-10"/>
          <w:sz w:val="24"/>
          <w:szCs w:val="24"/>
        </w:rPr>
        <w:t xml:space="preserve"> </w:t>
      </w:r>
      <w:hyperlink r:id="rId22">
        <w:r w:rsidRPr="00331EC9">
          <w:rPr>
            <w:color w:val="456DA9"/>
            <w:sz w:val="24"/>
            <w:szCs w:val="24"/>
          </w:rPr>
          <w:t>@RDTC_Rx</w:t>
        </w:r>
      </w:hyperlink>
    </w:p>
    <w:p w14:paraId="3D847666" w14:textId="77777777" w:rsidR="00331EC9" w:rsidRPr="00331EC9" w:rsidRDefault="00331EC9" w:rsidP="001C7976">
      <w:pPr>
        <w:ind w:left="12"/>
        <w:jc w:val="center"/>
        <w:rPr>
          <w:sz w:val="24"/>
          <w:szCs w:val="24"/>
        </w:rPr>
      </w:pPr>
    </w:p>
    <w:p w14:paraId="0C19F98F" w14:textId="7835C9A3" w:rsidR="00560ADF" w:rsidRPr="00331EC9" w:rsidRDefault="001C7976" w:rsidP="00E73516">
      <w:pPr>
        <w:spacing w:before="56" w:line="266" w:lineRule="auto"/>
        <w:ind w:left="613" w:right="610"/>
        <w:jc w:val="center"/>
        <w:rPr>
          <w:sz w:val="24"/>
          <w:szCs w:val="24"/>
        </w:rPr>
      </w:pPr>
      <w:r w:rsidRPr="00331EC9">
        <w:rPr>
          <w:color w:val="4C4D4F"/>
          <w:sz w:val="24"/>
          <w:szCs w:val="24"/>
        </w:rPr>
        <w:t>THIS DOCUMENT IS INTENDED FOR USE BY NHS HEALTHCARE PROFESSIONALS AND CANNOT BE USED FOR COMMERCIAL OR MARKETING PURPOSES. PATIENT INFORMATION ON MANY TOPICS CAN BE ACCESSED VIA NHS CHOICES</w:t>
      </w:r>
    </w:p>
    <w:sectPr w:rsidR="00560ADF" w:rsidRPr="00331EC9" w:rsidSect="00BB4FF3">
      <w:type w:val="continuous"/>
      <w:pgSz w:w="16840" w:h="11910" w:orient="landscape"/>
      <w:pgMar w:top="567" w:right="520" w:bottom="993" w:left="426" w:header="720" w:footer="1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65566" w14:textId="77777777" w:rsidR="00286647" w:rsidRDefault="00286647" w:rsidP="007909C3">
      <w:r>
        <w:separator/>
      </w:r>
    </w:p>
  </w:endnote>
  <w:endnote w:type="continuationSeparator" w:id="0">
    <w:p w14:paraId="66954E71" w14:textId="77777777" w:rsidR="00286647" w:rsidRDefault="00286647" w:rsidP="007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E42F" w14:textId="68DDE0B8" w:rsidR="00B47BFE" w:rsidRDefault="00B47BFE" w:rsidP="007909C3">
    <w:pPr>
      <w:pStyle w:val="Footer"/>
    </w:pPr>
    <w:r>
      <w:rPr>
        <w:noProof/>
        <w:sz w:val="13"/>
        <w:lang w:eastAsia="en-GB"/>
      </w:rPr>
      <w:drawing>
        <wp:inline distT="0" distB="0" distL="0" distR="0" wp14:anchorId="3CDC6C78" wp14:editId="6F3A1421">
          <wp:extent cx="539497" cy="222504"/>
          <wp:effectExtent l="0" t="0" r="0" b="6350"/>
          <wp:docPr id="1768716098" name="Picture 1768716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rsidR="003A0939">
      <w:tab/>
    </w:r>
    <w:proofErr w:type="gramStart"/>
    <w:r w:rsidR="003A0939">
      <w:tab/>
    </w:r>
    <w:r w:rsidRPr="00B47BFE">
      <w:t xml:space="preserve">  </w:t>
    </w:r>
    <w:r w:rsidR="00CC2256">
      <w:t>December</w:t>
    </w:r>
    <w:proofErr w:type="gramEnd"/>
    <w:r w:rsidRPr="00B47BFE">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0FD0" w14:textId="1FA285E6" w:rsidR="00B47BFE" w:rsidRDefault="00B47BFE" w:rsidP="007909C3">
    <w:pPr>
      <w:pStyle w:val="Footer"/>
    </w:pPr>
    <w:r>
      <w:rPr>
        <w:noProof/>
        <w:sz w:val="13"/>
        <w:lang w:eastAsia="en-GB"/>
      </w:rPr>
      <w:drawing>
        <wp:inline distT="0" distB="0" distL="0" distR="0" wp14:anchorId="4067C498" wp14:editId="67EDCD6A">
          <wp:extent cx="539497" cy="222504"/>
          <wp:effectExtent l="0" t="0" r="0" b="6350"/>
          <wp:docPr id="1054083300" name="Picture 105408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Produced by the Regional Drug and Therapeutics Centre</w:t>
    </w:r>
    <w:r w:rsidR="009A721C">
      <w:tab/>
    </w:r>
    <w:r w:rsidR="009A721C">
      <w:tab/>
    </w:r>
    <w:r w:rsidR="009A721C">
      <w:tab/>
    </w:r>
    <w:r w:rsidR="009A721C">
      <w:tab/>
    </w:r>
    <w:r w:rsidR="009A721C">
      <w:tab/>
    </w:r>
    <w:r w:rsidR="009A721C">
      <w:tab/>
    </w:r>
    <w:r w:rsidR="009A721C">
      <w:tab/>
    </w:r>
    <w:r w:rsidR="009A721C">
      <w:tab/>
    </w:r>
    <w:r w:rsidR="009A721C">
      <w:tab/>
    </w:r>
    <w:r w:rsidR="00EB2F2B">
      <w:t>February</w:t>
    </w:r>
    <w:r w:rsidR="00040A7D">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C280" w14:textId="3B31FCB7" w:rsidR="00C97823" w:rsidRDefault="00FC005D" w:rsidP="007909C3">
    <w:pPr>
      <w:pStyle w:val="Footer"/>
    </w:pPr>
    <w:r>
      <w:rPr>
        <w:noProof/>
        <w:sz w:val="13"/>
        <w:lang w:eastAsia="en-GB"/>
      </w:rPr>
      <w:drawing>
        <wp:inline distT="0" distB="0" distL="0" distR="0" wp14:anchorId="65C7F0BF" wp14:editId="426BAA20">
          <wp:extent cx="539497" cy="222504"/>
          <wp:effectExtent l="0" t="0" r="0" b="6350"/>
          <wp:docPr id="1989154855" name="Picture 1989154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ab/>
      <w:t xml:space="preserve">               </w:t>
    </w:r>
    <w:r w:rsidRPr="00B47BFE">
      <w:t xml:space="preserve">Produced by the Regional Drug and Therapeutics Centre                                                                                             </w:t>
    </w:r>
    <w:r>
      <w:t xml:space="preserve">                                            </w:t>
    </w:r>
    <w:r w:rsidRPr="00B47BFE">
      <w:t xml:space="preserve">  </w:t>
    </w:r>
    <w:r w:rsidR="003A0939">
      <w:tab/>
    </w:r>
    <w:r w:rsidR="003A0939">
      <w:tab/>
    </w:r>
    <w:r w:rsidR="00EB2F2B">
      <w:t>February</w:t>
    </w:r>
    <w:r w:rsidR="00040A7D">
      <w:t xml:space="preserve">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8DE6" w14:textId="2EE8E88A" w:rsidR="00383A54" w:rsidRDefault="00383A54" w:rsidP="007909C3">
    <w:pPr>
      <w:pStyle w:val="Footer"/>
    </w:pPr>
    <w:r>
      <w:rPr>
        <w:noProof/>
        <w:sz w:val="13"/>
        <w:lang w:eastAsia="en-GB"/>
      </w:rPr>
      <w:drawing>
        <wp:inline distT="0" distB="0" distL="0" distR="0" wp14:anchorId="0D21034A" wp14:editId="4687F224">
          <wp:extent cx="539497" cy="222504"/>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tab/>
    </w:r>
    <w:r>
      <w:tab/>
    </w:r>
    <w:r w:rsidR="001849DB">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5F20F" w14:textId="77777777" w:rsidR="00286647" w:rsidRDefault="00286647" w:rsidP="007909C3">
      <w:r>
        <w:separator/>
      </w:r>
    </w:p>
  </w:footnote>
  <w:footnote w:type="continuationSeparator" w:id="0">
    <w:p w14:paraId="37B291DE" w14:textId="77777777" w:rsidR="00286647" w:rsidRDefault="00286647" w:rsidP="00790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4448E" w14:textId="60C60AA5" w:rsidR="009440BC" w:rsidRDefault="009440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7065C" w14:textId="28935780" w:rsidR="009440BC" w:rsidRDefault="009440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928FF" w14:textId="1100A4FC" w:rsidR="009440BC" w:rsidRDefault="009440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CBF"/>
    <w:multiLevelType w:val="hybridMultilevel"/>
    <w:tmpl w:val="8FC4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85E9F"/>
    <w:multiLevelType w:val="hybridMultilevel"/>
    <w:tmpl w:val="926E2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194D70"/>
    <w:multiLevelType w:val="hybridMultilevel"/>
    <w:tmpl w:val="FE26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42594"/>
    <w:multiLevelType w:val="hybridMultilevel"/>
    <w:tmpl w:val="6CA2E71E"/>
    <w:lvl w:ilvl="0" w:tplc="1E16A0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75114"/>
    <w:multiLevelType w:val="hybridMultilevel"/>
    <w:tmpl w:val="5866B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C767B9"/>
    <w:multiLevelType w:val="hybridMultilevel"/>
    <w:tmpl w:val="C79A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6557B"/>
    <w:multiLevelType w:val="hybridMultilevel"/>
    <w:tmpl w:val="115C4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31435F"/>
    <w:multiLevelType w:val="hybridMultilevel"/>
    <w:tmpl w:val="C1CC3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D56930"/>
    <w:multiLevelType w:val="hybridMultilevel"/>
    <w:tmpl w:val="1792AE5E"/>
    <w:lvl w:ilvl="0" w:tplc="CA0CD1C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0B0FC3"/>
    <w:multiLevelType w:val="multilevel"/>
    <w:tmpl w:val="C27A7EA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1057B79"/>
    <w:multiLevelType w:val="hybridMultilevel"/>
    <w:tmpl w:val="BA6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B707A8"/>
    <w:multiLevelType w:val="hybridMultilevel"/>
    <w:tmpl w:val="E3F4B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DE67A9"/>
    <w:multiLevelType w:val="hybridMultilevel"/>
    <w:tmpl w:val="152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351A25"/>
    <w:multiLevelType w:val="hybridMultilevel"/>
    <w:tmpl w:val="76EA7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BA2AD2"/>
    <w:multiLevelType w:val="hybridMultilevel"/>
    <w:tmpl w:val="C7E42A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2BD54C9E"/>
    <w:multiLevelType w:val="hybridMultilevel"/>
    <w:tmpl w:val="23F4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783A75"/>
    <w:multiLevelType w:val="hybridMultilevel"/>
    <w:tmpl w:val="CD02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F3481"/>
    <w:multiLevelType w:val="hybridMultilevel"/>
    <w:tmpl w:val="EADEE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05A22EF"/>
    <w:multiLevelType w:val="hybridMultilevel"/>
    <w:tmpl w:val="E7762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27B5AB9"/>
    <w:multiLevelType w:val="hybridMultilevel"/>
    <w:tmpl w:val="7486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906920"/>
    <w:multiLevelType w:val="hybridMultilevel"/>
    <w:tmpl w:val="8744E0C4"/>
    <w:lvl w:ilvl="0" w:tplc="83E68560">
      <w:numFmt w:val="bullet"/>
      <w:lvlText w:val="•"/>
      <w:lvlJc w:val="left"/>
      <w:pPr>
        <w:ind w:left="524" w:hanging="400"/>
      </w:pPr>
      <w:rPr>
        <w:rFonts w:ascii="Helvetica" w:eastAsia="Helvetica" w:hAnsi="Helvetica" w:cs="Helvetica" w:hint="default"/>
        <w:b/>
        <w:bCs/>
        <w:color w:val="4C4D4F"/>
        <w:w w:val="100"/>
        <w:sz w:val="18"/>
        <w:szCs w:val="18"/>
        <w:lang w:val="en-GB" w:eastAsia="en-US" w:bidi="ar-SA"/>
      </w:rPr>
    </w:lvl>
    <w:lvl w:ilvl="1" w:tplc="1D06E420">
      <w:numFmt w:val="bullet"/>
      <w:lvlText w:val="•"/>
      <w:lvlJc w:val="left"/>
      <w:pPr>
        <w:ind w:left="1562" w:hanging="400"/>
      </w:pPr>
      <w:rPr>
        <w:rFonts w:hint="default"/>
        <w:lang w:val="en-GB" w:eastAsia="en-US" w:bidi="ar-SA"/>
      </w:rPr>
    </w:lvl>
    <w:lvl w:ilvl="2" w:tplc="55E49446">
      <w:numFmt w:val="bullet"/>
      <w:lvlText w:val="•"/>
      <w:lvlJc w:val="left"/>
      <w:pPr>
        <w:ind w:left="2605" w:hanging="400"/>
      </w:pPr>
      <w:rPr>
        <w:rFonts w:hint="default"/>
        <w:lang w:val="en-GB" w:eastAsia="en-US" w:bidi="ar-SA"/>
      </w:rPr>
    </w:lvl>
    <w:lvl w:ilvl="3" w:tplc="ABDE0898">
      <w:numFmt w:val="bullet"/>
      <w:lvlText w:val="•"/>
      <w:lvlJc w:val="left"/>
      <w:pPr>
        <w:ind w:left="3647" w:hanging="400"/>
      </w:pPr>
      <w:rPr>
        <w:rFonts w:hint="default"/>
        <w:lang w:val="en-GB" w:eastAsia="en-US" w:bidi="ar-SA"/>
      </w:rPr>
    </w:lvl>
    <w:lvl w:ilvl="4" w:tplc="FC76DDF4">
      <w:numFmt w:val="bullet"/>
      <w:lvlText w:val="•"/>
      <w:lvlJc w:val="left"/>
      <w:pPr>
        <w:ind w:left="4690" w:hanging="400"/>
      </w:pPr>
      <w:rPr>
        <w:rFonts w:hint="default"/>
        <w:lang w:val="en-GB" w:eastAsia="en-US" w:bidi="ar-SA"/>
      </w:rPr>
    </w:lvl>
    <w:lvl w:ilvl="5" w:tplc="670C94EE">
      <w:numFmt w:val="bullet"/>
      <w:lvlText w:val="•"/>
      <w:lvlJc w:val="left"/>
      <w:pPr>
        <w:ind w:left="5732" w:hanging="400"/>
      </w:pPr>
      <w:rPr>
        <w:rFonts w:hint="default"/>
        <w:lang w:val="en-GB" w:eastAsia="en-US" w:bidi="ar-SA"/>
      </w:rPr>
    </w:lvl>
    <w:lvl w:ilvl="6" w:tplc="DC60DB94">
      <w:numFmt w:val="bullet"/>
      <w:lvlText w:val="•"/>
      <w:lvlJc w:val="left"/>
      <w:pPr>
        <w:ind w:left="6775" w:hanging="400"/>
      </w:pPr>
      <w:rPr>
        <w:rFonts w:hint="default"/>
        <w:lang w:val="en-GB" w:eastAsia="en-US" w:bidi="ar-SA"/>
      </w:rPr>
    </w:lvl>
    <w:lvl w:ilvl="7" w:tplc="54FE16EA">
      <w:numFmt w:val="bullet"/>
      <w:lvlText w:val="•"/>
      <w:lvlJc w:val="left"/>
      <w:pPr>
        <w:ind w:left="7817" w:hanging="400"/>
      </w:pPr>
      <w:rPr>
        <w:rFonts w:hint="default"/>
        <w:lang w:val="en-GB" w:eastAsia="en-US" w:bidi="ar-SA"/>
      </w:rPr>
    </w:lvl>
    <w:lvl w:ilvl="8" w:tplc="4FDC312E">
      <w:numFmt w:val="bullet"/>
      <w:lvlText w:val="•"/>
      <w:lvlJc w:val="left"/>
      <w:pPr>
        <w:ind w:left="8860" w:hanging="400"/>
      </w:pPr>
      <w:rPr>
        <w:rFonts w:hint="default"/>
        <w:lang w:val="en-GB" w:eastAsia="en-US" w:bidi="ar-SA"/>
      </w:rPr>
    </w:lvl>
  </w:abstractNum>
  <w:abstractNum w:abstractNumId="21" w15:restartNumberingAfterBreak="0">
    <w:nsid w:val="38932EDF"/>
    <w:multiLevelType w:val="hybridMultilevel"/>
    <w:tmpl w:val="9E38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D39055A"/>
    <w:multiLevelType w:val="hybridMultilevel"/>
    <w:tmpl w:val="8B58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652D60"/>
    <w:multiLevelType w:val="hybridMultilevel"/>
    <w:tmpl w:val="04B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00CB4"/>
    <w:multiLevelType w:val="hybridMultilevel"/>
    <w:tmpl w:val="01242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9AD2401"/>
    <w:multiLevelType w:val="hybridMultilevel"/>
    <w:tmpl w:val="19C88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DAF7CED"/>
    <w:multiLevelType w:val="hybridMultilevel"/>
    <w:tmpl w:val="C3368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10F055C"/>
    <w:multiLevelType w:val="hybridMultilevel"/>
    <w:tmpl w:val="9B92ABBA"/>
    <w:lvl w:ilvl="0" w:tplc="9A8433AE">
      <w:numFmt w:val="bullet"/>
      <w:lvlText w:val="•"/>
      <w:lvlJc w:val="left"/>
      <w:pPr>
        <w:ind w:left="524" w:hanging="400"/>
      </w:pPr>
      <w:rPr>
        <w:rFonts w:ascii="Helvetica" w:eastAsia="Helvetica" w:hAnsi="Helvetica" w:cs="Helvetica" w:hint="default"/>
        <w:color w:val="4C4D4F"/>
        <w:w w:val="100"/>
        <w:sz w:val="18"/>
        <w:szCs w:val="18"/>
        <w:lang w:val="en-GB" w:eastAsia="en-US" w:bidi="ar-SA"/>
      </w:rPr>
    </w:lvl>
    <w:lvl w:ilvl="1" w:tplc="018A444E">
      <w:numFmt w:val="bullet"/>
      <w:lvlText w:val="◦"/>
      <w:lvlJc w:val="left"/>
      <w:pPr>
        <w:ind w:left="980" w:hanging="461"/>
      </w:pPr>
      <w:rPr>
        <w:rFonts w:ascii="Times New Roman" w:eastAsia="Times New Roman" w:hAnsi="Times New Roman" w:cs="Times New Roman" w:hint="default"/>
        <w:color w:val="4C4D4F"/>
        <w:w w:val="100"/>
        <w:sz w:val="18"/>
        <w:szCs w:val="18"/>
        <w:lang w:val="en-GB" w:eastAsia="en-US" w:bidi="ar-SA"/>
      </w:rPr>
    </w:lvl>
    <w:lvl w:ilvl="2" w:tplc="BAD4DF0C">
      <w:numFmt w:val="bullet"/>
      <w:lvlText w:val="•"/>
      <w:lvlJc w:val="left"/>
      <w:pPr>
        <w:ind w:left="2087" w:hanging="461"/>
      </w:pPr>
      <w:rPr>
        <w:rFonts w:hint="default"/>
        <w:lang w:val="en-GB" w:eastAsia="en-US" w:bidi="ar-SA"/>
      </w:rPr>
    </w:lvl>
    <w:lvl w:ilvl="3" w:tplc="4F5865D4">
      <w:numFmt w:val="bullet"/>
      <w:lvlText w:val="•"/>
      <w:lvlJc w:val="left"/>
      <w:pPr>
        <w:ind w:left="3194" w:hanging="461"/>
      </w:pPr>
      <w:rPr>
        <w:rFonts w:hint="default"/>
        <w:lang w:val="en-GB" w:eastAsia="en-US" w:bidi="ar-SA"/>
      </w:rPr>
    </w:lvl>
    <w:lvl w:ilvl="4" w:tplc="D444CEF6">
      <w:numFmt w:val="bullet"/>
      <w:lvlText w:val="•"/>
      <w:lvlJc w:val="left"/>
      <w:pPr>
        <w:ind w:left="4301" w:hanging="461"/>
      </w:pPr>
      <w:rPr>
        <w:rFonts w:hint="default"/>
        <w:lang w:val="en-GB" w:eastAsia="en-US" w:bidi="ar-SA"/>
      </w:rPr>
    </w:lvl>
    <w:lvl w:ilvl="5" w:tplc="63D099EC">
      <w:numFmt w:val="bullet"/>
      <w:lvlText w:val="•"/>
      <w:lvlJc w:val="left"/>
      <w:pPr>
        <w:ind w:left="5409" w:hanging="461"/>
      </w:pPr>
      <w:rPr>
        <w:rFonts w:hint="default"/>
        <w:lang w:val="en-GB" w:eastAsia="en-US" w:bidi="ar-SA"/>
      </w:rPr>
    </w:lvl>
    <w:lvl w:ilvl="6" w:tplc="706C4FEA">
      <w:numFmt w:val="bullet"/>
      <w:lvlText w:val="•"/>
      <w:lvlJc w:val="left"/>
      <w:pPr>
        <w:ind w:left="6516" w:hanging="461"/>
      </w:pPr>
      <w:rPr>
        <w:rFonts w:hint="default"/>
        <w:lang w:val="en-GB" w:eastAsia="en-US" w:bidi="ar-SA"/>
      </w:rPr>
    </w:lvl>
    <w:lvl w:ilvl="7" w:tplc="2A0ECC5C">
      <w:numFmt w:val="bullet"/>
      <w:lvlText w:val="•"/>
      <w:lvlJc w:val="left"/>
      <w:pPr>
        <w:ind w:left="7623" w:hanging="461"/>
      </w:pPr>
      <w:rPr>
        <w:rFonts w:hint="default"/>
        <w:lang w:val="en-GB" w:eastAsia="en-US" w:bidi="ar-SA"/>
      </w:rPr>
    </w:lvl>
    <w:lvl w:ilvl="8" w:tplc="7960F2B4">
      <w:numFmt w:val="bullet"/>
      <w:lvlText w:val="•"/>
      <w:lvlJc w:val="left"/>
      <w:pPr>
        <w:ind w:left="8730" w:hanging="461"/>
      </w:pPr>
      <w:rPr>
        <w:rFonts w:hint="default"/>
        <w:lang w:val="en-GB" w:eastAsia="en-US" w:bidi="ar-SA"/>
      </w:rPr>
    </w:lvl>
  </w:abstractNum>
  <w:abstractNum w:abstractNumId="28" w15:restartNumberingAfterBreak="0">
    <w:nsid w:val="55AC7E33"/>
    <w:multiLevelType w:val="hybridMultilevel"/>
    <w:tmpl w:val="6D888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3D593A"/>
    <w:multiLevelType w:val="hybridMultilevel"/>
    <w:tmpl w:val="A96C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FC56AB"/>
    <w:multiLevelType w:val="hybridMultilevel"/>
    <w:tmpl w:val="611CF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C3515E8"/>
    <w:multiLevelType w:val="hybridMultilevel"/>
    <w:tmpl w:val="3B86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CA02A67"/>
    <w:multiLevelType w:val="hybridMultilevel"/>
    <w:tmpl w:val="B7D2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1E10DE"/>
    <w:multiLevelType w:val="hybridMultilevel"/>
    <w:tmpl w:val="AC6E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EA161A"/>
    <w:multiLevelType w:val="hybridMultilevel"/>
    <w:tmpl w:val="0A780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83112"/>
    <w:multiLevelType w:val="hybridMultilevel"/>
    <w:tmpl w:val="85AC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E860C0"/>
    <w:multiLevelType w:val="hybridMultilevel"/>
    <w:tmpl w:val="F73E9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DB45461"/>
    <w:multiLevelType w:val="hybridMultilevel"/>
    <w:tmpl w:val="ABD22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0357995"/>
    <w:multiLevelType w:val="hybridMultilevel"/>
    <w:tmpl w:val="7322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5170D9"/>
    <w:multiLevelType w:val="hybridMultilevel"/>
    <w:tmpl w:val="107E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D70070"/>
    <w:multiLevelType w:val="hybridMultilevel"/>
    <w:tmpl w:val="0CD823F4"/>
    <w:lvl w:ilvl="0" w:tplc="1E16A0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F869D3"/>
    <w:multiLevelType w:val="hybridMultilevel"/>
    <w:tmpl w:val="C0F2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AF56B8"/>
    <w:multiLevelType w:val="hybridMultilevel"/>
    <w:tmpl w:val="3F9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82A71"/>
    <w:multiLevelType w:val="hybridMultilevel"/>
    <w:tmpl w:val="E358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54505F"/>
    <w:multiLevelType w:val="hybridMultilevel"/>
    <w:tmpl w:val="04BC1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E7F1889"/>
    <w:multiLevelType w:val="hybridMultilevel"/>
    <w:tmpl w:val="D9A06FCA"/>
    <w:lvl w:ilvl="0" w:tplc="0A6AF910">
      <w:start w:val="1"/>
      <w:numFmt w:val="decimal"/>
      <w:lvlText w:val="%1."/>
      <w:lvlJc w:val="left"/>
      <w:pPr>
        <w:ind w:left="420" w:hanging="300"/>
      </w:pPr>
      <w:rPr>
        <w:rFonts w:ascii="Helvetica" w:eastAsia="Helvetica" w:hAnsi="Helvetica" w:cs="Helvetica" w:hint="default"/>
        <w:color w:val="231F20"/>
        <w:spacing w:val="-8"/>
        <w:w w:val="100"/>
        <w:sz w:val="16"/>
        <w:szCs w:val="16"/>
        <w:lang w:val="en-GB" w:eastAsia="en-US" w:bidi="ar-SA"/>
      </w:rPr>
    </w:lvl>
    <w:lvl w:ilvl="1" w:tplc="652237F8">
      <w:numFmt w:val="bullet"/>
      <w:lvlText w:val="•"/>
      <w:lvlJc w:val="left"/>
      <w:pPr>
        <w:ind w:left="1472" w:hanging="300"/>
      </w:pPr>
      <w:rPr>
        <w:rFonts w:hint="default"/>
        <w:lang w:val="en-GB" w:eastAsia="en-US" w:bidi="ar-SA"/>
      </w:rPr>
    </w:lvl>
    <w:lvl w:ilvl="2" w:tplc="9D569750">
      <w:numFmt w:val="bullet"/>
      <w:lvlText w:val="•"/>
      <w:lvlJc w:val="left"/>
      <w:pPr>
        <w:ind w:left="2525" w:hanging="300"/>
      </w:pPr>
      <w:rPr>
        <w:rFonts w:hint="default"/>
        <w:lang w:val="en-GB" w:eastAsia="en-US" w:bidi="ar-SA"/>
      </w:rPr>
    </w:lvl>
    <w:lvl w:ilvl="3" w:tplc="87625336">
      <w:numFmt w:val="bullet"/>
      <w:lvlText w:val="•"/>
      <w:lvlJc w:val="left"/>
      <w:pPr>
        <w:ind w:left="3577" w:hanging="300"/>
      </w:pPr>
      <w:rPr>
        <w:rFonts w:hint="default"/>
        <w:lang w:val="en-GB" w:eastAsia="en-US" w:bidi="ar-SA"/>
      </w:rPr>
    </w:lvl>
    <w:lvl w:ilvl="4" w:tplc="996C6A82">
      <w:numFmt w:val="bullet"/>
      <w:lvlText w:val="•"/>
      <w:lvlJc w:val="left"/>
      <w:pPr>
        <w:ind w:left="4630" w:hanging="300"/>
      </w:pPr>
      <w:rPr>
        <w:rFonts w:hint="default"/>
        <w:lang w:val="en-GB" w:eastAsia="en-US" w:bidi="ar-SA"/>
      </w:rPr>
    </w:lvl>
    <w:lvl w:ilvl="5" w:tplc="6BFAD874">
      <w:numFmt w:val="bullet"/>
      <w:lvlText w:val="•"/>
      <w:lvlJc w:val="left"/>
      <w:pPr>
        <w:ind w:left="5682" w:hanging="300"/>
      </w:pPr>
      <w:rPr>
        <w:rFonts w:hint="default"/>
        <w:lang w:val="en-GB" w:eastAsia="en-US" w:bidi="ar-SA"/>
      </w:rPr>
    </w:lvl>
    <w:lvl w:ilvl="6" w:tplc="9C2E0926">
      <w:numFmt w:val="bullet"/>
      <w:lvlText w:val="•"/>
      <w:lvlJc w:val="left"/>
      <w:pPr>
        <w:ind w:left="6735" w:hanging="300"/>
      </w:pPr>
      <w:rPr>
        <w:rFonts w:hint="default"/>
        <w:lang w:val="en-GB" w:eastAsia="en-US" w:bidi="ar-SA"/>
      </w:rPr>
    </w:lvl>
    <w:lvl w:ilvl="7" w:tplc="77206462">
      <w:numFmt w:val="bullet"/>
      <w:lvlText w:val="•"/>
      <w:lvlJc w:val="left"/>
      <w:pPr>
        <w:ind w:left="7787" w:hanging="300"/>
      </w:pPr>
      <w:rPr>
        <w:rFonts w:hint="default"/>
        <w:lang w:val="en-GB" w:eastAsia="en-US" w:bidi="ar-SA"/>
      </w:rPr>
    </w:lvl>
    <w:lvl w:ilvl="8" w:tplc="A45A850C">
      <w:numFmt w:val="bullet"/>
      <w:lvlText w:val="•"/>
      <w:lvlJc w:val="left"/>
      <w:pPr>
        <w:ind w:left="8840" w:hanging="300"/>
      </w:pPr>
      <w:rPr>
        <w:rFonts w:hint="default"/>
        <w:lang w:val="en-GB" w:eastAsia="en-US" w:bidi="ar-SA"/>
      </w:rPr>
    </w:lvl>
  </w:abstractNum>
  <w:num w:numId="1" w16cid:durableId="1218276648">
    <w:abstractNumId w:val="45"/>
  </w:num>
  <w:num w:numId="2" w16cid:durableId="1109424914">
    <w:abstractNumId w:val="27"/>
  </w:num>
  <w:num w:numId="3" w16cid:durableId="595023879">
    <w:abstractNumId w:val="20"/>
  </w:num>
  <w:num w:numId="4" w16cid:durableId="124087497">
    <w:abstractNumId w:val="15"/>
  </w:num>
  <w:num w:numId="5" w16cid:durableId="914127018">
    <w:abstractNumId w:val="5"/>
  </w:num>
  <w:num w:numId="6" w16cid:durableId="1287618281">
    <w:abstractNumId w:val="42"/>
  </w:num>
  <w:num w:numId="7" w16cid:durableId="390009698">
    <w:abstractNumId w:val="38"/>
  </w:num>
  <w:num w:numId="8" w16cid:durableId="1157722454">
    <w:abstractNumId w:val="39"/>
  </w:num>
  <w:num w:numId="9" w16cid:durableId="25984793">
    <w:abstractNumId w:val="41"/>
  </w:num>
  <w:num w:numId="10" w16cid:durableId="771364033">
    <w:abstractNumId w:val="3"/>
  </w:num>
  <w:num w:numId="11" w16cid:durableId="1908227811">
    <w:abstractNumId w:val="22"/>
  </w:num>
  <w:num w:numId="12" w16cid:durableId="602147766">
    <w:abstractNumId w:val="40"/>
  </w:num>
  <w:num w:numId="13" w16cid:durableId="1036390419">
    <w:abstractNumId w:val="35"/>
  </w:num>
  <w:num w:numId="14" w16cid:durableId="444925904">
    <w:abstractNumId w:val="2"/>
  </w:num>
  <w:num w:numId="15" w16cid:durableId="1703355786">
    <w:abstractNumId w:val="19"/>
  </w:num>
  <w:num w:numId="16" w16cid:durableId="195311047">
    <w:abstractNumId w:val="16"/>
  </w:num>
  <w:num w:numId="17" w16cid:durableId="935022829">
    <w:abstractNumId w:val="43"/>
  </w:num>
  <w:num w:numId="18" w16cid:durableId="913125461">
    <w:abstractNumId w:val="8"/>
  </w:num>
  <w:num w:numId="19" w16cid:durableId="2106072137">
    <w:abstractNumId w:val="13"/>
  </w:num>
  <w:num w:numId="20" w16cid:durableId="699745356">
    <w:abstractNumId w:val="36"/>
  </w:num>
  <w:num w:numId="21" w16cid:durableId="1515459692">
    <w:abstractNumId w:val="37"/>
  </w:num>
  <w:num w:numId="22" w16cid:durableId="143006363">
    <w:abstractNumId w:val="12"/>
  </w:num>
  <w:num w:numId="23" w16cid:durableId="808085581">
    <w:abstractNumId w:val="10"/>
  </w:num>
  <w:num w:numId="24" w16cid:durableId="248585447">
    <w:abstractNumId w:val="4"/>
  </w:num>
  <w:num w:numId="25" w16cid:durableId="440882360">
    <w:abstractNumId w:val="31"/>
  </w:num>
  <w:num w:numId="26" w16cid:durableId="8141005">
    <w:abstractNumId w:val="9"/>
  </w:num>
  <w:num w:numId="27" w16cid:durableId="1872379938">
    <w:abstractNumId w:val="17"/>
  </w:num>
  <w:num w:numId="28" w16cid:durableId="227035408">
    <w:abstractNumId w:val="7"/>
  </w:num>
  <w:num w:numId="29" w16cid:durableId="907764528">
    <w:abstractNumId w:val="18"/>
  </w:num>
  <w:num w:numId="30" w16cid:durableId="1472208441">
    <w:abstractNumId w:val="1"/>
  </w:num>
  <w:num w:numId="31" w16cid:durableId="1556505847">
    <w:abstractNumId w:val="29"/>
  </w:num>
  <w:num w:numId="32" w16cid:durableId="897785425">
    <w:abstractNumId w:val="30"/>
  </w:num>
  <w:num w:numId="33" w16cid:durableId="508714467">
    <w:abstractNumId w:val="44"/>
  </w:num>
  <w:num w:numId="34" w16cid:durableId="246572895">
    <w:abstractNumId w:val="24"/>
  </w:num>
  <w:num w:numId="35" w16cid:durableId="621427748">
    <w:abstractNumId w:val="6"/>
  </w:num>
  <w:num w:numId="36" w16cid:durableId="457333553">
    <w:abstractNumId w:val="34"/>
  </w:num>
  <w:num w:numId="37" w16cid:durableId="1778254379">
    <w:abstractNumId w:val="0"/>
  </w:num>
  <w:num w:numId="38" w16cid:durableId="966277049">
    <w:abstractNumId w:val="11"/>
  </w:num>
  <w:num w:numId="39" w16cid:durableId="595483652">
    <w:abstractNumId w:val="26"/>
  </w:num>
  <w:num w:numId="40" w16cid:durableId="301888896">
    <w:abstractNumId w:val="21"/>
  </w:num>
  <w:num w:numId="41" w16cid:durableId="226111666">
    <w:abstractNumId w:val="28"/>
  </w:num>
  <w:num w:numId="42" w16cid:durableId="1415130065">
    <w:abstractNumId w:val="23"/>
  </w:num>
  <w:num w:numId="43" w16cid:durableId="1065374138">
    <w:abstractNumId w:val="25"/>
  </w:num>
  <w:num w:numId="44" w16cid:durableId="582105981">
    <w:abstractNumId w:val="33"/>
  </w:num>
  <w:num w:numId="45" w16cid:durableId="1127815460">
    <w:abstractNumId w:val="32"/>
  </w:num>
  <w:num w:numId="46" w16cid:durableId="8951605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DF"/>
    <w:rsid w:val="0003501F"/>
    <w:rsid w:val="00040A7D"/>
    <w:rsid w:val="000445EA"/>
    <w:rsid w:val="00051DB8"/>
    <w:rsid w:val="00052D53"/>
    <w:rsid w:val="00053A7D"/>
    <w:rsid w:val="000676AA"/>
    <w:rsid w:val="0007607C"/>
    <w:rsid w:val="00087638"/>
    <w:rsid w:val="000919D1"/>
    <w:rsid w:val="000A1DB8"/>
    <w:rsid w:val="000A1EB8"/>
    <w:rsid w:val="000A4068"/>
    <w:rsid w:val="000C4518"/>
    <w:rsid w:val="001038D8"/>
    <w:rsid w:val="00151934"/>
    <w:rsid w:val="001573FC"/>
    <w:rsid w:val="00163CC8"/>
    <w:rsid w:val="00164BE9"/>
    <w:rsid w:val="001849DB"/>
    <w:rsid w:val="001C291E"/>
    <w:rsid w:val="001C7976"/>
    <w:rsid w:val="001D1284"/>
    <w:rsid w:val="001F0421"/>
    <w:rsid w:val="001F28EB"/>
    <w:rsid w:val="00212556"/>
    <w:rsid w:val="002243E0"/>
    <w:rsid w:val="00231E30"/>
    <w:rsid w:val="00270030"/>
    <w:rsid w:val="0028057F"/>
    <w:rsid w:val="0028306A"/>
    <w:rsid w:val="00284386"/>
    <w:rsid w:val="00286647"/>
    <w:rsid w:val="00287462"/>
    <w:rsid w:val="00291455"/>
    <w:rsid w:val="00293208"/>
    <w:rsid w:val="00297D20"/>
    <w:rsid w:val="002B7031"/>
    <w:rsid w:val="002C038B"/>
    <w:rsid w:val="002D44AD"/>
    <w:rsid w:val="002D5A93"/>
    <w:rsid w:val="002D6B55"/>
    <w:rsid w:val="00310A03"/>
    <w:rsid w:val="00311322"/>
    <w:rsid w:val="00317A38"/>
    <w:rsid w:val="00331EC9"/>
    <w:rsid w:val="00341777"/>
    <w:rsid w:val="00364888"/>
    <w:rsid w:val="003662FE"/>
    <w:rsid w:val="003675E8"/>
    <w:rsid w:val="003679C5"/>
    <w:rsid w:val="003721C9"/>
    <w:rsid w:val="00383A54"/>
    <w:rsid w:val="00392DF5"/>
    <w:rsid w:val="003A0939"/>
    <w:rsid w:val="003A0AA7"/>
    <w:rsid w:val="003A3E0B"/>
    <w:rsid w:val="003B1091"/>
    <w:rsid w:val="003B42C3"/>
    <w:rsid w:val="003F1A3A"/>
    <w:rsid w:val="00432265"/>
    <w:rsid w:val="00433C32"/>
    <w:rsid w:val="00436283"/>
    <w:rsid w:val="00447DF4"/>
    <w:rsid w:val="00472798"/>
    <w:rsid w:val="0047458E"/>
    <w:rsid w:val="00487D30"/>
    <w:rsid w:val="004A08AE"/>
    <w:rsid w:val="004B3656"/>
    <w:rsid w:val="004C6BED"/>
    <w:rsid w:val="004D2801"/>
    <w:rsid w:val="004E5F2D"/>
    <w:rsid w:val="004F4F2C"/>
    <w:rsid w:val="00521D47"/>
    <w:rsid w:val="00560ADF"/>
    <w:rsid w:val="005617A9"/>
    <w:rsid w:val="00562B5A"/>
    <w:rsid w:val="00566C50"/>
    <w:rsid w:val="005B1A2C"/>
    <w:rsid w:val="005B6E51"/>
    <w:rsid w:val="005C0229"/>
    <w:rsid w:val="005C3CE2"/>
    <w:rsid w:val="005F5C08"/>
    <w:rsid w:val="00623832"/>
    <w:rsid w:val="00630CB4"/>
    <w:rsid w:val="00646CBD"/>
    <w:rsid w:val="0067124F"/>
    <w:rsid w:val="00674875"/>
    <w:rsid w:val="0068542C"/>
    <w:rsid w:val="00686FE4"/>
    <w:rsid w:val="006B4F2B"/>
    <w:rsid w:val="006D4B89"/>
    <w:rsid w:val="006E3D7B"/>
    <w:rsid w:val="006E665B"/>
    <w:rsid w:val="006F093A"/>
    <w:rsid w:val="00712AD4"/>
    <w:rsid w:val="00714EC5"/>
    <w:rsid w:val="00726EEF"/>
    <w:rsid w:val="00732CE6"/>
    <w:rsid w:val="00734652"/>
    <w:rsid w:val="0079078F"/>
    <w:rsid w:val="007909C3"/>
    <w:rsid w:val="007A31AE"/>
    <w:rsid w:val="007A6E02"/>
    <w:rsid w:val="007D5B59"/>
    <w:rsid w:val="007F044F"/>
    <w:rsid w:val="007F1855"/>
    <w:rsid w:val="008072D2"/>
    <w:rsid w:val="00842E14"/>
    <w:rsid w:val="008606FE"/>
    <w:rsid w:val="00862815"/>
    <w:rsid w:val="00885EE2"/>
    <w:rsid w:val="00894352"/>
    <w:rsid w:val="00897F5D"/>
    <w:rsid w:val="008C0B9E"/>
    <w:rsid w:val="008D6DE1"/>
    <w:rsid w:val="009076D2"/>
    <w:rsid w:val="009108ED"/>
    <w:rsid w:val="00913282"/>
    <w:rsid w:val="00922D21"/>
    <w:rsid w:val="00931096"/>
    <w:rsid w:val="009440BC"/>
    <w:rsid w:val="0095030D"/>
    <w:rsid w:val="00983E23"/>
    <w:rsid w:val="009846C4"/>
    <w:rsid w:val="00985184"/>
    <w:rsid w:val="009A721C"/>
    <w:rsid w:val="009C1AA0"/>
    <w:rsid w:val="009C318B"/>
    <w:rsid w:val="009E5F4F"/>
    <w:rsid w:val="009F1555"/>
    <w:rsid w:val="00A01100"/>
    <w:rsid w:val="00A12F07"/>
    <w:rsid w:val="00A17C46"/>
    <w:rsid w:val="00A3020A"/>
    <w:rsid w:val="00A550E2"/>
    <w:rsid w:val="00A55F26"/>
    <w:rsid w:val="00A9155E"/>
    <w:rsid w:val="00AA2250"/>
    <w:rsid w:val="00AA7BB9"/>
    <w:rsid w:val="00AC6922"/>
    <w:rsid w:val="00AF1D87"/>
    <w:rsid w:val="00AF7C38"/>
    <w:rsid w:val="00AF7FFC"/>
    <w:rsid w:val="00B16D53"/>
    <w:rsid w:val="00B221D6"/>
    <w:rsid w:val="00B3576A"/>
    <w:rsid w:val="00B4247C"/>
    <w:rsid w:val="00B43BEE"/>
    <w:rsid w:val="00B47BFE"/>
    <w:rsid w:val="00B53501"/>
    <w:rsid w:val="00B6100A"/>
    <w:rsid w:val="00B624BB"/>
    <w:rsid w:val="00B65BEA"/>
    <w:rsid w:val="00B73289"/>
    <w:rsid w:val="00B83148"/>
    <w:rsid w:val="00B900B4"/>
    <w:rsid w:val="00BB4FF3"/>
    <w:rsid w:val="00BC5B4D"/>
    <w:rsid w:val="00BF1D6B"/>
    <w:rsid w:val="00C00E0A"/>
    <w:rsid w:val="00C05997"/>
    <w:rsid w:val="00C13E92"/>
    <w:rsid w:val="00C16B63"/>
    <w:rsid w:val="00C20E88"/>
    <w:rsid w:val="00C4153E"/>
    <w:rsid w:val="00C43079"/>
    <w:rsid w:val="00C84BB0"/>
    <w:rsid w:val="00C87597"/>
    <w:rsid w:val="00C966D9"/>
    <w:rsid w:val="00C97823"/>
    <w:rsid w:val="00CA13FA"/>
    <w:rsid w:val="00CA6426"/>
    <w:rsid w:val="00CC2256"/>
    <w:rsid w:val="00CC4392"/>
    <w:rsid w:val="00CD18E2"/>
    <w:rsid w:val="00CE2CD0"/>
    <w:rsid w:val="00CE2F6D"/>
    <w:rsid w:val="00D23196"/>
    <w:rsid w:val="00D41C86"/>
    <w:rsid w:val="00D56C5C"/>
    <w:rsid w:val="00D771F7"/>
    <w:rsid w:val="00D77342"/>
    <w:rsid w:val="00DE1560"/>
    <w:rsid w:val="00DF6DD1"/>
    <w:rsid w:val="00E11EB4"/>
    <w:rsid w:val="00E364E4"/>
    <w:rsid w:val="00E36C52"/>
    <w:rsid w:val="00E55444"/>
    <w:rsid w:val="00E7173A"/>
    <w:rsid w:val="00E73516"/>
    <w:rsid w:val="00E80933"/>
    <w:rsid w:val="00E83736"/>
    <w:rsid w:val="00E94048"/>
    <w:rsid w:val="00EA5257"/>
    <w:rsid w:val="00EB2F2B"/>
    <w:rsid w:val="00EB7C56"/>
    <w:rsid w:val="00EC091D"/>
    <w:rsid w:val="00EC48E4"/>
    <w:rsid w:val="00ED412F"/>
    <w:rsid w:val="00ED4F43"/>
    <w:rsid w:val="00ED7717"/>
    <w:rsid w:val="00EF6D1B"/>
    <w:rsid w:val="00EF74D1"/>
    <w:rsid w:val="00F07C92"/>
    <w:rsid w:val="00F1389B"/>
    <w:rsid w:val="00F13B08"/>
    <w:rsid w:val="00F52BBA"/>
    <w:rsid w:val="00F54CB1"/>
    <w:rsid w:val="00F81187"/>
    <w:rsid w:val="00FB2049"/>
    <w:rsid w:val="00FC005D"/>
    <w:rsid w:val="00FD45B9"/>
    <w:rsid w:val="00FE3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F6AC6"/>
  <w15:docId w15:val="{B9C31A46-EF9D-4C3D-AE5E-36A4A3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76"/>
    <w:pPr>
      <w:tabs>
        <w:tab w:val="left" w:pos="975"/>
      </w:tabs>
      <w:spacing w:before="60" w:after="60"/>
    </w:pPr>
    <w:rPr>
      <w:rFonts w:ascii="Arial" w:eastAsia="Helvetica" w:hAnsi="Arial" w:cs="Arial"/>
      <w:sz w:val="18"/>
      <w:szCs w:val="18"/>
      <w:lang w:val="en-GB"/>
    </w:rPr>
  </w:style>
  <w:style w:type="paragraph" w:styleId="Heading1">
    <w:name w:val="heading 1"/>
    <w:basedOn w:val="Normal"/>
    <w:uiPriority w:val="9"/>
    <w:qFormat/>
    <w:rsid w:val="00ED4F43"/>
    <w:pPr>
      <w:spacing w:before="61"/>
      <w:ind w:left="120"/>
      <w:outlineLvl w:val="0"/>
    </w:pPr>
    <w:rPr>
      <w:rFonts w:ascii="Helvetica-BoldOblique" w:eastAsia="Helvetica-BoldOblique" w:hAnsi="Helvetica-BoldOblique" w:cs="Helvetica-BoldOblique"/>
      <w:b/>
      <w:bCs/>
      <w:i/>
      <w:color w:val="41B6E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1"/>
      <w:ind w:left="124"/>
    </w:pPr>
    <w:rPr>
      <w:rFonts w:ascii="Helvetica-BoldOblique" w:eastAsia="Helvetica-BoldOblique" w:hAnsi="Helvetica-BoldOblique" w:cs="Helvetica-BoldOblique"/>
      <w:b/>
      <w:bCs/>
      <w:i/>
    </w:rPr>
  </w:style>
  <w:style w:type="paragraph" w:styleId="ListParagraph">
    <w:name w:val="List Paragraph"/>
    <w:basedOn w:val="Normal"/>
    <w:uiPriority w:val="34"/>
    <w:qFormat/>
    <w:rsid w:val="003A0939"/>
    <w:pPr>
      <w:numPr>
        <w:numId w:val="18"/>
      </w:numPr>
      <w:ind w:left="357" w:hanging="357"/>
      <w:contextualSpacing/>
    </w:pPr>
  </w:style>
  <w:style w:type="paragraph" w:customStyle="1" w:styleId="TableParagraph">
    <w:name w:val="Table Paragraph"/>
    <w:basedOn w:val="Normal"/>
    <w:uiPriority w:val="1"/>
    <w:qFormat/>
    <w:pPr>
      <w:spacing w:line="172" w:lineRule="exact"/>
    </w:pPr>
    <w:rPr>
      <w:rFonts w:ascii="Calibri" w:eastAsia="Calibri" w:hAnsi="Calibri" w:cs="Calibri"/>
    </w:rPr>
  </w:style>
  <w:style w:type="paragraph" w:styleId="BalloonText">
    <w:name w:val="Balloon Text"/>
    <w:basedOn w:val="Normal"/>
    <w:link w:val="BalloonTextChar"/>
    <w:uiPriority w:val="99"/>
    <w:semiHidden/>
    <w:unhideWhenUsed/>
    <w:rsid w:val="00CC4392"/>
    <w:rPr>
      <w:rFonts w:ascii="Segoe UI" w:hAnsi="Segoe UI" w:cs="Segoe UI"/>
    </w:rPr>
  </w:style>
  <w:style w:type="character" w:customStyle="1" w:styleId="BalloonTextChar">
    <w:name w:val="Balloon Text Char"/>
    <w:basedOn w:val="DefaultParagraphFont"/>
    <w:link w:val="BalloonText"/>
    <w:uiPriority w:val="99"/>
    <w:semiHidden/>
    <w:rsid w:val="00CC4392"/>
    <w:rPr>
      <w:rFonts w:ascii="Segoe UI" w:eastAsia="Helvetica" w:hAnsi="Segoe UI" w:cs="Segoe UI"/>
      <w:sz w:val="18"/>
      <w:szCs w:val="18"/>
      <w:lang w:val="en-GB"/>
    </w:rPr>
  </w:style>
  <w:style w:type="paragraph" w:styleId="Header">
    <w:name w:val="header"/>
    <w:basedOn w:val="Normal"/>
    <w:link w:val="HeaderChar"/>
    <w:uiPriority w:val="99"/>
    <w:unhideWhenUsed/>
    <w:rsid w:val="00922D21"/>
    <w:pPr>
      <w:tabs>
        <w:tab w:val="center" w:pos="4513"/>
        <w:tab w:val="right" w:pos="9026"/>
      </w:tabs>
    </w:pPr>
  </w:style>
  <w:style w:type="character" w:customStyle="1" w:styleId="HeaderChar">
    <w:name w:val="Header Char"/>
    <w:basedOn w:val="DefaultParagraphFont"/>
    <w:link w:val="Header"/>
    <w:uiPriority w:val="99"/>
    <w:rsid w:val="00922D21"/>
    <w:rPr>
      <w:rFonts w:ascii="Helvetica" w:eastAsia="Helvetica" w:hAnsi="Helvetica" w:cs="Helvetica"/>
      <w:lang w:val="en-GB"/>
    </w:rPr>
  </w:style>
  <w:style w:type="paragraph" w:styleId="Footer">
    <w:name w:val="footer"/>
    <w:basedOn w:val="Normal"/>
    <w:link w:val="FooterChar"/>
    <w:uiPriority w:val="99"/>
    <w:unhideWhenUsed/>
    <w:rsid w:val="00922D21"/>
    <w:pPr>
      <w:tabs>
        <w:tab w:val="center" w:pos="4513"/>
        <w:tab w:val="right" w:pos="9026"/>
      </w:tabs>
    </w:pPr>
  </w:style>
  <w:style w:type="character" w:customStyle="1" w:styleId="FooterChar">
    <w:name w:val="Footer Char"/>
    <w:basedOn w:val="DefaultParagraphFont"/>
    <w:link w:val="Footer"/>
    <w:uiPriority w:val="99"/>
    <w:rsid w:val="00922D21"/>
    <w:rPr>
      <w:rFonts w:ascii="Helvetica" w:eastAsia="Helvetica" w:hAnsi="Helvetica" w:cs="Helvetica"/>
      <w:lang w:val="en-GB"/>
    </w:rPr>
  </w:style>
  <w:style w:type="table" w:styleId="TableGrid">
    <w:name w:val="Table Grid"/>
    <w:basedOn w:val="TableNormal"/>
    <w:uiPriority w:val="39"/>
    <w:rsid w:val="009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247C"/>
    <w:rPr>
      <w:rFonts w:cs="Times New Roman"/>
      <w:color w:val="0000FF"/>
      <w:u w:val="single"/>
    </w:rPr>
  </w:style>
  <w:style w:type="character" w:styleId="FollowedHyperlink">
    <w:name w:val="FollowedHyperlink"/>
    <w:basedOn w:val="DefaultParagraphFont"/>
    <w:uiPriority w:val="99"/>
    <w:semiHidden/>
    <w:unhideWhenUsed/>
    <w:rsid w:val="009108ED"/>
    <w:rPr>
      <w:color w:val="800080" w:themeColor="followedHyperlink"/>
      <w:u w:val="single"/>
    </w:rPr>
  </w:style>
  <w:style w:type="character" w:styleId="CommentReference">
    <w:name w:val="annotation reference"/>
    <w:basedOn w:val="DefaultParagraphFont"/>
    <w:uiPriority w:val="99"/>
    <w:semiHidden/>
    <w:unhideWhenUsed/>
    <w:rsid w:val="00C97823"/>
    <w:rPr>
      <w:sz w:val="16"/>
      <w:szCs w:val="16"/>
    </w:rPr>
  </w:style>
  <w:style w:type="paragraph" w:styleId="CommentText">
    <w:name w:val="annotation text"/>
    <w:basedOn w:val="Normal"/>
    <w:link w:val="CommentTextChar"/>
    <w:uiPriority w:val="99"/>
    <w:unhideWhenUsed/>
    <w:rsid w:val="00C97823"/>
    <w:rPr>
      <w:sz w:val="20"/>
      <w:szCs w:val="20"/>
    </w:rPr>
  </w:style>
  <w:style w:type="character" w:customStyle="1" w:styleId="CommentTextChar">
    <w:name w:val="Comment Text Char"/>
    <w:basedOn w:val="DefaultParagraphFont"/>
    <w:link w:val="CommentText"/>
    <w:uiPriority w:val="99"/>
    <w:rsid w:val="00C97823"/>
    <w:rPr>
      <w:rFonts w:ascii="Arial" w:eastAsia="Helvetic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97823"/>
    <w:rPr>
      <w:b/>
      <w:bCs/>
    </w:rPr>
  </w:style>
  <w:style w:type="character" w:customStyle="1" w:styleId="CommentSubjectChar">
    <w:name w:val="Comment Subject Char"/>
    <w:basedOn w:val="CommentTextChar"/>
    <w:link w:val="CommentSubject"/>
    <w:uiPriority w:val="99"/>
    <w:semiHidden/>
    <w:rsid w:val="00C97823"/>
    <w:rPr>
      <w:rFonts w:ascii="Arial" w:eastAsia="Helvetica" w:hAnsi="Arial" w:cs="Arial"/>
      <w:b/>
      <w:bCs/>
      <w:sz w:val="20"/>
      <w:szCs w:val="20"/>
      <w:lang w:val="en-GB"/>
    </w:rPr>
  </w:style>
  <w:style w:type="character" w:styleId="UnresolvedMention">
    <w:name w:val="Unresolved Mention"/>
    <w:basedOn w:val="DefaultParagraphFont"/>
    <w:uiPriority w:val="99"/>
    <w:semiHidden/>
    <w:unhideWhenUsed/>
    <w:rsid w:val="007D5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nice.org.uk/guidance/ta1009" TargetMode="Externa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humberandnorthyorkshire.org.uk/area-prescribing-committee-a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hyperlink" Target="https://humberandnorthyorkshire.org.uk/area-prescribing-committee-apc-minutes-from-meetings/" TargetMode="External"/><Relationship Id="rId19" Type="http://schemas.openxmlformats.org/officeDocument/2006/relationships/hyperlink" Target="mailto:nuth.hnyapc@nhs.n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yperlink" Target="https://twitter.com/RDTC_Rx"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EF921-D629-4A0E-8206-58C28A5B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700</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Prescribing Bulletin</vt:lpstr>
    </vt:vector>
  </TitlesOfParts>
  <Company>Newcastle upon Tyne Hospitals NHS Foundation Trust</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Bulletin</dc:title>
  <dc:creator>Regional Drug and Therapeutics Centre</dc:creator>
  <cp:lastModifiedBy>KANE, Nancy (THE NEWCASTLE UPON TYNE HOSPITALS NHS FOUNDATION TRUST)</cp:lastModifiedBy>
  <cp:revision>3</cp:revision>
  <dcterms:created xsi:type="dcterms:W3CDTF">2025-03-21T12:27:00Z</dcterms:created>
  <dcterms:modified xsi:type="dcterms:W3CDTF">2025-03-21T12:30:00Z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InDesign 15.1 (Macintosh)</vt:lpwstr>
  </property>
  <property fmtid="{D5CDD505-2E9C-101B-9397-08002B2CF9AE}" pid="4" name="LastSaved">
    <vt:filetime>2020-10-05T00:00:00Z</vt:filetime>
  </property>
</Properties>
</file>