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B5B4" w14:textId="456EC033" w:rsidR="00560ADF" w:rsidRDefault="00D66D34" w:rsidP="007909C3">
      <w:pPr>
        <w:pStyle w:val="BodyText"/>
      </w:pPr>
      <w:r w:rsidRPr="00F661F8">
        <w:rPr>
          <w:noProof/>
          <w:szCs w:val="21"/>
          <w:lang w:eastAsia="en-GB"/>
        </w:rPr>
        <w:drawing>
          <wp:anchor distT="0" distB="0" distL="114300" distR="114300" simplePos="0" relativeHeight="251659264" behindDoc="1" locked="0" layoutInCell="1" allowOverlap="1" wp14:anchorId="2CFE8275" wp14:editId="45B23ACF">
            <wp:simplePos x="0" y="0"/>
            <wp:positionH relativeFrom="column">
              <wp:posOffset>8630920</wp:posOffset>
            </wp:positionH>
            <wp:positionV relativeFrom="paragraph">
              <wp:posOffset>0</wp:posOffset>
            </wp:positionV>
            <wp:extent cx="1478915" cy="899795"/>
            <wp:effectExtent l="0" t="0" r="6985" b="0"/>
            <wp:wrapTight wrapText="bothSides">
              <wp:wrapPolygon edited="0">
                <wp:start x="0" y="0"/>
                <wp:lineTo x="0" y="21036"/>
                <wp:lineTo x="21424" y="21036"/>
                <wp:lineTo x="21424"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15" cy="899795"/>
                    </a:xfrm>
                    <a:prstGeom prst="rect">
                      <a:avLst/>
                    </a:prstGeom>
                  </pic:spPr>
                </pic:pic>
              </a:graphicData>
            </a:graphic>
            <wp14:sizeRelH relativeFrom="margin">
              <wp14:pctWidth>0</wp14:pctWidth>
            </wp14:sizeRelH>
            <wp14:sizeRelV relativeFrom="margin">
              <wp14:pctHeight>0</wp14:pctHeight>
            </wp14:sizeRelV>
          </wp:anchor>
        </w:drawing>
      </w:r>
      <w:r w:rsidR="001C7976" w:rsidRPr="00F661F8">
        <w:rPr>
          <w:noProof/>
          <w:szCs w:val="21"/>
          <w:lang w:eastAsia="en-GB"/>
        </w:rPr>
        <w:drawing>
          <wp:anchor distT="0" distB="0" distL="114300" distR="114300" simplePos="0" relativeHeight="251661312" behindDoc="1" locked="0" layoutInCell="1" allowOverlap="1" wp14:anchorId="4B430088" wp14:editId="5306C8A4">
            <wp:simplePos x="0" y="0"/>
            <wp:positionH relativeFrom="column">
              <wp:posOffset>-635</wp:posOffset>
            </wp:positionH>
            <wp:positionV relativeFrom="paragraph">
              <wp:posOffset>71755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8969E5" w14:textId="435C8CEB" w:rsidR="001C7976" w:rsidRDefault="001C7976" w:rsidP="001C7976">
      <w:pPr>
        <w:spacing w:before="195" w:after="0"/>
        <w:ind w:right="321"/>
        <w:jc w:val="right"/>
        <w:rPr>
          <w:rFonts w:ascii="Helvetica" w:hAnsi="Helvetica" w:cs="Helvetica"/>
          <w:b/>
          <w:color w:val="404040" w:themeColor="text1" w:themeTint="BF"/>
          <w:sz w:val="40"/>
          <w:szCs w:val="22"/>
        </w:rPr>
      </w:pPr>
      <w:r>
        <w:rPr>
          <w:rFonts w:ascii="Helvetica" w:hAnsi="Helvetica" w:cs="Helvetica"/>
          <w:b/>
          <w:color w:val="404040" w:themeColor="text1" w:themeTint="BF"/>
          <w:sz w:val="40"/>
          <w:szCs w:val="22"/>
        </w:rPr>
        <w:t>SUMMARY OF DECISIONS</w:t>
      </w:r>
    </w:p>
    <w:p w14:paraId="1AD8D030" w14:textId="77777777" w:rsidR="00C966D9" w:rsidRDefault="00C966D9" w:rsidP="007909C3">
      <w:pPr>
        <w:pStyle w:val="BodyText"/>
      </w:pPr>
    </w:p>
    <w:p w14:paraId="58715E7F" w14:textId="77777777" w:rsidR="00D66D34" w:rsidRDefault="00D66D34" w:rsidP="007909C3">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8501"/>
        <w:gridCol w:w="7383"/>
      </w:tblGrid>
      <w:tr w:rsidR="00D66D34" w:rsidRPr="00D66D34" w14:paraId="104D1E88" w14:textId="77777777" w:rsidTr="00D66D34">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tcPr>
          <w:p w14:paraId="2806832D" w14:textId="59AA606C" w:rsidR="00D66D34" w:rsidRPr="00D66D34" w:rsidRDefault="00D66D34" w:rsidP="005C0229">
            <w:pPr>
              <w:tabs>
                <w:tab w:val="left" w:pos="720"/>
              </w:tabs>
              <w:autoSpaceDE/>
              <w:rPr>
                <w:rFonts w:ascii="Helvetica" w:eastAsia="Calibri" w:hAnsi="Helvetica" w:cs="Helvetica"/>
                <w:b/>
                <w:sz w:val="24"/>
                <w:szCs w:val="24"/>
                <w:lang w:val="en-US"/>
              </w:rPr>
            </w:pPr>
            <w:r w:rsidRPr="00D66D34">
              <w:rPr>
                <w:rFonts w:ascii="Helvetica" w:eastAsia="Calibri" w:hAnsi="Helvetica" w:cs="Helvetica"/>
                <w:b/>
                <w:sz w:val="24"/>
                <w:szCs w:val="24"/>
                <w:lang w:val="en-US"/>
              </w:rPr>
              <w:t>Recommendations made by HNY APC subgroups</w:t>
            </w:r>
          </w:p>
        </w:tc>
        <w:tc>
          <w:tcPr>
            <w:tcW w:w="2324" w:type="pct"/>
            <w:tcBorders>
              <w:top w:val="single" w:sz="4" w:space="0" w:color="auto"/>
              <w:left w:val="single" w:sz="4" w:space="0" w:color="auto"/>
              <w:bottom w:val="single" w:sz="4" w:space="0" w:color="auto"/>
              <w:right w:val="single" w:sz="4" w:space="0" w:color="auto"/>
            </w:tcBorders>
            <w:shd w:val="clear" w:color="auto" w:fill="C9ECFB"/>
            <w:vAlign w:val="center"/>
            <w:hideMark/>
          </w:tcPr>
          <w:p w14:paraId="51AA60B7" w14:textId="15FD15CD" w:rsidR="00D66D34" w:rsidRPr="00D66D34" w:rsidRDefault="00D66D34" w:rsidP="00D66D34">
            <w:pPr>
              <w:tabs>
                <w:tab w:val="left" w:pos="720"/>
              </w:tabs>
              <w:autoSpaceDE/>
              <w:spacing w:before="0" w:after="0"/>
              <w:rPr>
                <w:rFonts w:ascii="Helvetica" w:eastAsia="Calibri" w:hAnsi="Helvetica" w:cs="Helvetica"/>
                <w:b/>
                <w:sz w:val="24"/>
                <w:szCs w:val="24"/>
                <w:lang w:val="en-US"/>
              </w:rPr>
            </w:pPr>
            <w:r w:rsidRPr="00D66D34">
              <w:rPr>
                <w:rFonts w:ascii="Helvetica" w:eastAsia="Calibri" w:hAnsi="Helvetica" w:cs="Helvetica"/>
                <w:b/>
                <w:sz w:val="24"/>
                <w:szCs w:val="24"/>
                <w:lang w:val="en-US"/>
              </w:rPr>
              <w:t>February 2025</w:t>
            </w:r>
          </w:p>
        </w:tc>
      </w:tr>
      <w:tr w:rsidR="00D66D34" w:rsidRPr="00D66D34" w14:paraId="7F66C268" w14:textId="77777777" w:rsidTr="00D66D34">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hideMark/>
          </w:tcPr>
          <w:p w14:paraId="7998F6E8" w14:textId="62A2A4CA" w:rsidR="00D66D34" w:rsidRPr="00D66D34" w:rsidRDefault="00D66D34" w:rsidP="005C0229">
            <w:pPr>
              <w:tabs>
                <w:tab w:val="left" w:pos="720"/>
              </w:tabs>
              <w:autoSpaceDE/>
              <w:rPr>
                <w:rFonts w:ascii="Helvetica" w:eastAsia="Calibri" w:hAnsi="Helvetica" w:cs="Helvetica"/>
                <w:b/>
                <w:sz w:val="24"/>
                <w:szCs w:val="24"/>
                <w:lang w:val="en-US"/>
              </w:rPr>
            </w:pPr>
            <w:r w:rsidRPr="00D66D34">
              <w:rPr>
                <w:rFonts w:ascii="Helvetica" w:eastAsia="Calibri" w:hAnsi="Helvetica" w:cs="Helvetica"/>
                <w:b/>
                <w:sz w:val="24"/>
                <w:szCs w:val="24"/>
                <w:lang w:val="en-US"/>
              </w:rPr>
              <w:t>Approved by: HNY APC</w:t>
            </w:r>
          </w:p>
        </w:tc>
        <w:tc>
          <w:tcPr>
            <w:tcW w:w="2324" w:type="pct"/>
            <w:tcBorders>
              <w:top w:val="single" w:sz="4" w:space="0" w:color="auto"/>
              <w:left w:val="single" w:sz="4" w:space="0" w:color="auto"/>
              <w:bottom w:val="single" w:sz="4" w:space="0" w:color="auto"/>
              <w:right w:val="single" w:sz="4" w:space="0" w:color="auto"/>
            </w:tcBorders>
            <w:shd w:val="clear" w:color="auto" w:fill="C9ECFB"/>
            <w:vAlign w:val="center"/>
          </w:tcPr>
          <w:p w14:paraId="6BA6F736" w14:textId="6CF87D38" w:rsidR="00D66D34" w:rsidRPr="00D66D34" w:rsidRDefault="00D66D34" w:rsidP="00D66D34">
            <w:pPr>
              <w:tabs>
                <w:tab w:val="clear" w:pos="975"/>
              </w:tabs>
              <w:spacing w:before="0" w:after="0"/>
              <w:rPr>
                <w:rFonts w:ascii="Helvetica" w:eastAsia="Calibri" w:hAnsi="Helvetica" w:cs="Helvetica"/>
                <w:b/>
                <w:sz w:val="24"/>
                <w:szCs w:val="24"/>
                <w:lang w:val="en-US"/>
              </w:rPr>
            </w:pPr>
            <w:r w:rsidRPr="00D66D34">
              <w:rPr>
                <w:rFonts w:ascii="Helvetica" w:eastAsia="Calibri" w:hAnsi="Helvetica" w:cs="Helvetica"/>
                <w:b/>
                <w:sz w:val="24"/>
                <w:szCs w:val="24"/>
                <w:lang w:val="en-US"/>
              </w:rPr>
              <w:t>5</w:t>
            </w:r>
            <w:r w:rsidRPr="00D66D34">
              <w:rPr>
                <w:rFonts w:ascii="Helvetica" w:eastAsia="Calibri" w:hAnsi="Helvetica" w:cs="Helvetica"/>
                <w:b/>
                <w:sz w:val="24"/>
                <w:szCs w:val="24"/>
                <w:vertAlign w:val="superscript"/>
                <w:lang w:val="en-US"/>
              </w:rPr>
              <w:t>th</w:t>
            </w:r>
            <w:r w:rsidRPr="00D66D34">
              <w:rPr>
                <w:rFonts w:ascii="Helvetica" w:eastAsia="Calibri" w:hAnsi="Helvetica" w:cs="Helvetica"/>
                <w:b/>
                <w:sz w:val="24"/>
                <w:szCs w:val="24"/>
                <w:lang w:val="en-US"/>
              </w:rPr>
              <w:t xml:space="preserve"> March 2025</w:t>
            </w:r>
          </w:p>
        </w:tc>
      </w:tr>
      <w:tr w:rsidR="00D66D34" w:rsidRPr="00D66D34" w14:paraId="02EC6D31" w14:textId="77777777" w:rsidTr="00D66D34">
        <w:trPr>
          <w:cantSplit/>
          <w:trHeight w:val="567"/>
          <w:tblHeader/>
        </w:trPr>
        <w:tc>
          <w:tcPr>
            <w:tcW w:w="2676" w:type="pct"/>
            <w:tcBorders>
              <w:top w:val="single" w:sz="4" w:space="0" w:color="auto"/>
              <w:left w:val="single" w:sz="4" w:space="0" w:color="auto"/>
              <w:right w:val="single" w:sz="4" w:space="0" w:color="auto"/>
            </w:tcBorders>
            <w:shd w:val="clear" w:color="auto" w:fill="C9ECFB"/>
          </w:tcPr>
          <w:p w14:paraId="243D1049" w14:textId="6A0CB675" w:rsidR="00D66D34" w:rsidRPr="00D66D34" w:rsidRDefault="00D66D34" w:rsidP="005C0229">
            <w:pPr>
              <w:tabs>
                <w:tab w:val="left" w:pos="720"/>
              </w:tabs>
              <w:autoSpaceDE/>
              <w:rPr>
                <w:rFonts w:ascii="Helvetica" w:eastAsia="Calibri" w:hAnsi="Helvetica" w:cs="Helvetica"/>
                <w:b/>
                <w:sz w:val="24"/>
                <w:szCs w:val="24"/>
                <w:lang w:val="en-US"/>
              </w:rPr>
            </w:pPr>
            <w:r w:rsidRPr="00D66D34">
              <w:rPr>
                <w:rFonts w:ascii="Helvetica" w:eastAsia="Calibri" w:hAnsi="Helvetica" w:cs="Helvetica"/>
                <w:b/>
                <w:sz w:val="24"/>
                <w:szCs w:val="24"/>
                <w:lang w:val="en-US"/>
              </w:rPr>
              <w:t>Reviewed by: CPC</w:t>
            </w:r>
          </w:p>
          <w:p w14:paraId="55A687C6" w14:textId="413EE863" w:rsidR="00D66D34" w:rsidRPr="00D66D34" w:rsidRDefault="00D66D34" w:rsidP="005C0229">
            <w:pPr>
              <w:tabs>
                <w:tab w:val="left" w:pos="720"/>
              </w:tabs>
              <w:autoSpaceDE/>
              <w:rPr>
                <w:rFonts w:ascii="Helvetica" w:eastAsia="Calibri" w:hAnsi="Helvetica" w:cs="Helvetica"/>
                <w:sz w:val="24"/>
                <w:szCs w:val="24"/>
                <w:lang w:val="en-US"/>
              </w:rPr>
            </w:pPr>
            <w:r w:rsidRPr="00D66D34">
              <w:rPr>
                <w:rFonts w:ascii="Helvetica" w:eastAsia="Calibri" w:hAnsi="Helvetica" w:cs="Helvetica"/>
                <w:sz w:val="24"/>
                <w:szCs w:val="24"/>
                <w:lang w:val="en-US"/>
              </w:rPr>
              <w:t xml:space="preserve">NB: HNY APC is a decision-making group. Decisions are submitted to CPC for information. </w:t>
            </w:r>
          </w:p>
        </w:tc>
        <w:tc>
          <w:tcPr>
            <w:tcW w:w="2324" w:type="pct"/>
            <w:tcBorders>
              <w:top w:val="single" w:sz="4" w:space="0" w:color="auto"/>
              <w:left w:val="single" w:sz="4" w:space="0" w:color="auto"/>
              <w:right w:val="single" w:sz="4" w:space="0" w:color="auto"/>
            </w:tcBorders>
            <w:shd w:val="clear" w:color="auto" w:fill="C9ECFB"/>
            <w:vAlign w:val="center"/>
          </w:tcPr>
          <w:p w14:paraId="38071639" w14:textId="6388ED61" w:rsidR="00D66D34" w:rsidRPr="00D66D34" w:rsidRDefault="00D66D34" w:rsidP="00D66D34">
            <w:pPr>
              <w:tabs>
                <w:tab w:val="clear" w:pos="975"/>
              </w:tabs>
              <w:spacing w:before="0" w:after="0"/>
              <w:rPr>
                <w:rFonts w:ascii="Helvetica" w:eastAsia="Calibri" w:hAnsi="Helvetica" w:cs="Helvetica"/>
                <w:b/>
                <w:sz w:val="24"/>
                <w:szCs w:val="24"/>
                <w:lang w:val="en-US"/>
              </w:rPr>
            </w:pPr>
            <w:r w:rsidRPr="00D66D34">
              <w:rPr>
                <w:rFonts w:ascii="Helvetica" w:eastAsia="Calibri" w:hAnsi="Helvetica" w:cs="Helvetica"/>
                <w:bCs/>
                <w:sz w:val="24"/>
                <w:szCs w:val="24"/>
                <w:lang w:val="en-US"/>
              </w:rPr>
              <w:t>March 2025</w:t>
            </w:r>
          </w:p>
        </w:tc>
      </w:tr>
      <w:tr w:rsidR="00C966D9" w:rsidRPr="00D66D34" w14:paraId="44B0920B" w14:textId="77777777" w:rsidTr="005777CA">
        <w:trPr>
          <w:cantSplit/>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9ECFB"/>
          </w:tcPr>
          <w:p w14:paraId="7A0E2288" w14:textId="77777777" w:rsidR="00C966D9" w:rsidRDefault="00C966D9" w:rsidP="001C7976">
            <w:pPr>
              <w:tabs>
                <w:tab w:val="left" w:pos="720"/>
              </w:tabs>
              <w:autoSpaceDE/>
              <w:rPr>
                <w:rFonts w:eastAsia="Arial"/>
                <w:b/>
                <w:noProof/>
                <w:color w:val="000000" w:themeColor="text1"/>
                <w:sz w:val="24"/>
                <w:szCs w:val="24"/>
                <w:lang w:val="en-US" w:eastAsia="en-GB"/>
              </w:rPr>
            </w:pPr>
            <w:r w:rsidRPr="00D66D34">
              <w:rPr>
                <w:rFonts w:eastAsia="Arial"/>
                <w:b/>
                <w:noProof/>
                <w:color w:val="000000" w:themeColor="text1"/>
                <w:sz w:val="24"/>
                <w:szCs w:val="24"/>
                <w:lang w:val="en-US" w:eastAsia="en-GB"/>
              </w:rPr>
              <w:t>The NHS is legally obliged to fund and resource medicines and treatments recommended by NICE's technology appraisals. When NICE recommends a treatment 'as an option', the NHS must make sure it is available within 90 days (unless otherwise specified) of its date of publication. This means that, if a patient has a disease or condition and the doctor responsible for their care thinks that the technology is the right treatment, it should be available for use, in line with NICE's recommendations.</w:t>
            </w:r>
          </w:p>
          <w:p w14:paraId="5151A840" w14:textId="4E69032D" w:rsidR="00D66D34" w:rsidRPr="00D66D34" w:rsidRDefault="00D66D34" w:rsidP="00D66D34">
            <w:pPr>
              <w:widowControl/>
              <w:tabs>
                <w:tab w:val="clear" w:pos="975"/>
              </w:tabs>
              <w:autoSpaceDE/>
              <w:autoSpaceDN/>
              <w:spacing w:before="0" w:after="0"/>
              <w:rPr>
                <w:rFonts w:eastAsia="MS Mincho"/>
                <w:bCs/>
                <w:szCs w:val="28"/>
                <w:lang w:eastAsia="ja-JP"/>
              </w:rPr>
            </w:pPr>
            <w:r w:rsidRPr="00D66D34">
              <w:rPr>
                <w:rFonts w:eastAsia="MS Mincho"/>
                <w:bCs/>
                <w:sz w:val="24"/>
                <w:szCs w:val="40"/>
                <w:lang w:eastAsia="ja-JP"/>
              </w:rPr>
              <w:t xml:space="preserve">For copies of current HNY APC minutes and decisions, please visit </w:t>
            </w:r>
            <w:hyperlink r:id="rId10" w:history="1">
              <w:r w:rsidRPr="00D66D34">
                <w:rPr>
                  <w:rFonts w:eastAsia="MS Mincho"/>
                  <w:bCs/>
                  <w:color w:val="0000FF"/>
                  <w:sz w:val="24"/>
                  <w:szCs w:val="40"/>
                  <w:u w:val="single"/>
                  <w:lang w:eastAsia="ja-JP"/>
                </w:rPr>
                <w:t>https://humberandnorthyorkshire.org.uk/area-prescribing-committee-apc-minutes-from-meetings/</w:t>
              </w:r>
            </w:hyperlink>
            <w:r w:rsidRPr="00D66D34">
              <w:rPr>
                <w:rFonts w:eastAsia="MS Mincho"/>
                <w:bCs/>
                <w:sz w:val="24"/>
                <w:szCs w:val="40"/>
                <w:lang w:eastAsia="ja-JP"/>
              </w:rPr>
              <w:t>.</w:t>
            </w:r>
            <w:r w:rsidRPr="00D66D34">
              <w:rPr>
                <w:rFonts w:eastAsia="MS Mincho"/>
                <w:bCs/>
                <w:szCs w:val="28"/>
                <w:lang w:eastAsia="ja-JP"/>
              </w:rPr>
              <w:t xml:space="preserve"> </w:t>
            </w:r>
          </w:p>
        </w:tc>
      </w:tr>
    </w:tbl>
    <w:p w14:paraId="3BE1BD1C" w14:textId="77777777" w:rsidR="00C966D9" w:rsidRPr="00FD45B9" w:rsidRDefault="00C966D9" w:rsidP="007909C3">
      <w:pPr>
        <w:pStyle w:val="BodyText"/>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B4247C" w:rsidRPr="00383A54" w14:paraId="5F6A2C11" w14:textId="77777777" w:rsidTr="00383A54">
        <w:trPr>
          <w:cantSplit/>
        </w:trPr>
        <w:tc>
          <w:tcPr>
            <w:tcW w:w="5000" w:type="pct"/>
            <w:shd w:val="clear" w:color="auto" w:fill="auto"/>
          </w:tcPr>
          <w:p w14:paraId="280B9544" w14:textId="7C9E55B0" w:rsidR="00B4247C"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 xml:space="preserve">DECISIONS WITH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2E891FA4" w14:textId="77777777" w:rsidR="001F28EB" w:rsidRDefault="001F28EB" w:rsidP="00383A54">
      <w:pPr>
        <w:spacing w:before="0" w:after="0"/>
        <w:rPr>
          <w:sz w:val="20"/>
          <w:lang w:val="en-US" w:eastAsia="ja-JP"/>
        </w:rPr>
      </w:pPr>
    </w:p>
    <w:p w14:paraId="6BC62169" w14:textId="0D3111EB" w:rsidR="00383A54" w:rsidRPr="00383A54" w:rsidRDefault="00383A54" w:rsidP="00383A54">
      <w:pPr>
        <w:spacing w:before="0" w:after="0"/>
        <w:rPr>
          <w:sz w:val="10"/>
          <w:szCs w:val="10"/>
          <w:lang w:val="en-US" w:eastAsia="ja-JP"/>
        </w:rPr>
        <w:sectPr w:rsidR="00383A54" w:rsidRPr="00383A54" w:rsidSect="00C8733F">
          <w:headerReference w:type="even" r:id="rId11"/>
          <w:headerReference w:type="default" r:id="rId12"/>
          <w:footerReference w:type="even" r:id="rId13"/>
          <w:footerReference w:type="default" r:id="rId14"/>
          <w:headerReference w:type="first" r:id="rId15"/>
          <w:footerReference w:type="first" r:id="rId16"/>
          <w:pgSz w:w="16840" w:h="11910" w:orient="landscape"/>
          <w:pgMar w:top="284" w:right="520" w:bottom="993" w:left="426" w:header="11" w:footer="179"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93"/>
        <w:gridCol w:w="4111"/>
        <w:gridCol w:w="4678"/>
        <w:gridCol w:w="1852"/>
      </w:tblGrid>
      <w:tr w:rsidR="001C7976" w:rsidRPr="00D66D34" w14:paraId="58618552" w14:textId="77777777" w:rsidTr="00C8733F">
        <w:trPr>
          <w:cantSplit/>
          <w:trHeight w:val="548"/>
          <w:tblHeader/>
        </w:trPr>
        <w:tc>
          <w:tcPr>
            <w:tcW w:w="2547" w:type="dxa"/>
            <w:tcBorders>
              <w:bottom w:val="single" w:sz="4" w:space="0" w:color="auto"/>
            </w:tcBorders>
            <w:shd w:val="clear" w:color="auto" w:fill="B6DDE8"/>
          </w:tcPr>
          <w:p w14:paraId="465998DD" w14:textId="4656542C" w:rsidR="001C7976" w:rsidRPr="00D66D34" w:rsidRDefault="001C7976" w:rsidP="007909C3">
            <w:pPr>
              <w:tabs>
                <w:tab w:val="clear" w:pos="975"/>
              </w:tabs>
              <w:rPr>
                <w:rFonts w:eastAsia="Calibri"/>
                <w:b/>
                <w:sz w:val="24"/>
                <w:szCs w:val="24"/>
              </w:rPr>
            </w:pPr>
            <w:r w:rsidRPr="00D66D34">
              <w:rPr>
                <w:rFonts w:eastAsia="Calibri"/>
                <w:b/>
                <w:sz w:val="24"/>
                <w:szCs w:val="24"/>
              </w:rPr>
              <w:t xml:space="preserve">Drug and indication </w:t>
            </w:r>
          </w:p>
        </w:tc>
        <w:tc>
          <w:tcPr>
            <w:tcW w:w="2693" w:type="dxa"/>
            <w:tcBorders>
              <w:bottom w:val="single" w:sz="4" w:space="0" w:color="auto"/>
            </w:tcBorders>
            <w:shd w:val="clear" w:color="auto" w:fill="B6DDE8"/>
          </w:tcPr>
          <w:p w14:paraId="764A3AC3" w14:textId="20E2B955" w:rsidR="001C7976" w:rsidRPr="00D66D34" w:rsidRDefault="001C7976" w:rsidP="007909C3">
            <w:pPr>
              <w:tabs>
                <w:tab w:val="clear" w:pos="975"/>
              </w:tabs>
              <w:rPr>
                <w:rFonts w:eastAsia="Calibri"/>
                <w:b/>
                <w:sz w:val="24"/>
                <w:szCs w:val="24"/>
              </w:rPr>
            </w:pPr>
            <w:r w:rsidRPr="00D66D34">
              <w:rPr>
                <w:rFonts w:eastAsia="Calibri"/>
                <w:b/>
                <w:sz w:val="24"/>
                <w:szCs w:val="24"/>
              </w:rPr>
              <w:t>Status and formulary position assigned</w:t>
            </w:r>
          </w:p>
        </w:tc>
        <w:tc>
          <w:tcPr>
            <w:tcW w:w="4111" w:type="dxa"/>
            <w:tcBorders>
              <w:bottom w:val="single" w:sz="4" w:space="0" w:color="auto"/>
            </w:tcBorders>
            <w:shd w:val="clear" w:color="auto" w:fill="B6DDE8"/>
          </w:tcPr>
          <w:p w14:paraId="18BD51F0" w14:textId="3CED56E6" w:rsidR="001C7976" w:rsidRPr="00D66D34" w:rsidRDefault="001C7976" w:rsidP="007909C3">
            <w:pPr>
              <w:tabs>
                <w:tab w:val="clear" w:pos="975"/>
              </w:tabs>
              <w:rPr>
                <w:rFonts w:eastAsia="Calibri"/>
                <w:b/>
                <w:sz w:val="24"/>
                <w:szCs w:val="24"/>
              </w:rPr>
            </w:pPr>
            <w:r w:rsidRPr="00D66D34">
              <w:rPr>
                <w:rFonts w:eastAsia="Calibri"/>
                <w:b/>
                <w:sz w:val="24"/>
                <w:szCs w:val="24"/>
              </w:rPr>
              <w:t>Notes on decision</w:t>
            </w:r>
          </w:p>
        </w:tc>
        <w:tc>
          <w:tcPr>
            <w:tcW w:w="4678" w:type="dxa"/>
            <w:tcBorders>
              <w:bottom w:val="single" w:sz="4" w:space="0" w:color="auto"/>
            </w:tcBorders>
            <w:shd w:val="clear" w:color="auto" w:fill="B6DDE8"/>
          </w:tcPr>
          <w:p w14:paraId="63DF0E3F" w14:textId="3D0072C2" w:rsidR="001C7976" w:rsidRPr="00D66D34" w:rsidRDefault="001C7976" w:rsidP="00EA5257">
            <w:pPr>
              <w:tabs>
                <w:tab w:val="clear" w:pos="975"/>
              </w:tabs>
              <w:rPr>
                <w:rFonts w:eastAsia="Calibri"/>
                <w:b/>
                <w:sz w:val="24"/>
                <w:szCs w:val="24"/>
              </w:rPr>
            </w:pPr>
            <w:r w:rsidRPr="00D66D34">
              <w:rPr>
                <w:rFonts w:eastAsia="Calibri"/>
                <w:b/>
                <w:sz w:val="24"/>
                <w:szCs w:val="24"/>
              </w:rPr>
              <w:t>Cost impact and commissioning / service implications</w:t>
            </w:r>
          </w:p>
        </w:tc>
        <w:tc>
          <w:tcPr>
            <w:tcW w:w="1852" w:type="dxa"/>
            <w:tcBorders>
              <w:bottom w:val="single" w:sz="4" w:space="0" w:color="auto"/>
            </w:tcBorders>
            <w:shd w:val="clear" w:color="auto" w:fill="B6DDE8"/>
          </w:tcPr>
          <w:p w14:paraId="31FD2AD9" w14:textId="09BAE99D" w:rsidR="001C7976" w:rsidRPr="00D66D34" w:rsidRDefault="001C7976" w:rsidP="001C7976">
            <w:pPr>
              <w:tabs>
                <w:tab w:val="clear" w:pos="975"/>
              </w:tabs>
              <w:rPr>
                <w:rFonts w:eastAsia="Calibri"/>
                <w:b/>
                <w:sz w:val="24"/>
                <w:szCs w:val="24"/>
              </w:rPr>
            </w:pPr>
            <w:r w:rsidRPr="00D66D34">
              <w:rPr>
                <w:rFonts w:eastAsia="Calibri"/>
                <w:b/>
                <w:sz w:val="24"/>
                <w:szCs w:val="24"/>
              </w:rPr>
              <w:t>Recommendation from HNY APC</w:t>
            </w:r>
          </w:p>
        </w:tc>
      </w:tr>
      <w:tr w:rsidR="00C8733F" w:rsidRPr="00D66D34" w14:paraId="064DF8BD" w14:textId="77777777" w:rsidTr="00C8733F">
        <w:trPr>
          <w:cantSplit/>
          <w:trHeight w:val="548"/>
        </w:trPr>
        <w:tc>
          <w:tcPr>
            <w:tcW w:w="2547" w:type="dxa"/>
            <w:shd w:val="clear" w:color="auto" w:fill="auto"/>
          </w:tcPr>
          <w:p w14:paraId="2F474B26" w14:textId="5878FD43" w:rsidR="00C8733F" w:rsidRPr="00D66D34" w:rsidRDefault="00C8733F" w:rsidP="00C8733F">
            <w:pPr>
              <w:widowControl/>
              <w:tabs>
                <w:tab w:val="clear" w:pos="975"/>
              </w:tabs>
              <w:autoSpaceDE/>
              <w:autoSpaceDN/>
              <w:ind w:right="57"/>
              <w:rPr>
                <w:color w:val="000000"/>
                <w:sz w:val="24"/>
                <w:szCs w:val="24"/>
              </w:rPr>
            </w:pPr>
            <w:r w:rsidRPr="00D66D34">
              <w:rPr>
                <w:color w:val="000000"/>
                <w:sz w:val="24"/>
                <w:szCs w:val="24"/>
              </w:rPr>
              <w:t>Fentanyl sublingual tablets (</w:t>
            </w:r>
            <w:proofErr w:type="spellStart"/>
            <w:r w:rsidRPr="00D66D34">
              <w:rPr>
                <w:color w:val="000000"/>
                <w:sz w:val="24"/>
                <w:szCs w:val="24"/>
              </w:rPr>
              <w:t>Abstral</w:t>
            </w:r>
            <w:proofErr w:type="spellEnd"/>
            <w:r w:rsidRPr="00D66D34">
              <w:rPr>
                <w:color w:val="000000"/>
                <w:sz w:val="24"/>
                <w:szCs w:val="24"/>
              </w:rPr>
              <w:t>®) for use in palliative care</w:t>
            </w:r>
          </w:p>
        </w:tc>
        <w:tc>
          <w:tcPr>
            <w:tcW w:w="2693" w:type="dxa"/>
            <w:shd w:val="clear" w:color="auto" w:fill="auto"/>
          </w:tcPr>
          <w:p w14:paraId="22F757FD" w14:textId="77777777" w:rsidR="00960163" w:rsidRPr="00D66D34" w:rsidRDefault="00C8733F" w:rsidP="00960163">
            <w:pPr>
              <w:shd w:val="clear" w:color="auto" w:fill="FFC000"/>
              <w:rPr>
                <w:b/>
                <w:bCs/>
                <w:sz w:val="24"/>
                <w:szCs w:val="24"/>
              </w:rPr>
            </w:pPr>
            <w:r w:rsidRPr="00D66D34">
              <w:rPr>
                <w:b/>
                <w:bCs/>
                <w:sz w:val="24"/>
                <w:szCs w:val="24"/>
              </w:rPr>
              <w:t xml:space="preserve">Amber specialist initiation </w:t>
            </w:r>
            <w:r w:rsidR="00960163" w:rsidRPr="00D66D34">
              <w:rPr>
                <w:b/>
                <w:bCs/>
                <w:sz w:val="24"/>
                <w:szCs w:val="24"/>
              </w:rPr>
              <w:t>(Amber SI)</w:t>
            </w:r>
          </w:p>
          <w:p w14:paraId="3D5EE99A" w14:textId="77777777" w:rsidR="00960163" w:rsidRPr="00D66D34" w:rsidRDefault="00960163" w:rsidP="00C8733F">
            <w:pPr>
              <w:rPr>
                <w:sz w:val="24"/>
                <w:szCs w:val="24"/>
              </w:rPr>
            </w:pPr>
            <w:r w:rsidRPr="00D66D34">
              <w:rPr>
                <w:sz w:val="24"/>
                <w:szCs w:val="24"/>
              </w:rPr>
              <w:t>Formerly known as Amber 2 in Humber</w:t>
            </w:r>
          </w:p>
          <w:p w14:paraId="5D1ACDDD" w14:textId="62D0B322" w:rsidR="00C8733F" w:rsidRPr="00D66D34" w:rsidRDefault="00960163" w:rsidP="00C8733F">
            <w:pPr>
              <w:rPr>
                <w:sz w:val="24"/>
                <w:szCs w:val="24"/>
              </w:rPr>
            </w:pPr>
            <w:r w:rsidRPr="00D66D34">
              <w:rPr>
                <w:sz w:val="24"/>
                <w:szCs w:val="24"/>
              </w:rPr>
              <w:t>A</w:t>
            </w:r>
            <w:r w:rsidR="00C8733F" w:rsidRPr="00D66D34">
              <w:rPr>
                <w:sz w:val="24"/>
                <w:szCs w:val="24"/>
              </w:rPr>
              <w:t>nd annotated for use in palliative care only.</w:t>
            </w:r>
          </w:p>
        </w:tc>
        <w:tc>
          <w:tcPr>
            <w:tcW w:w="4111" w:type="dxa"/>
            <w:shd w:val="clear" w:color="auto" w:fill="auto"/>
          </w:tcPr>
          <w:p w14:paraId="6858880D" w14:textId="665D1FDD" w:rsidR="00C8733F" w:rsidRPr="00D66D34" w:rsidRDefault="00C8733F" w:rsidP="00C8733F">
            <w:pPr>
              <w:tabs>
                <w:tab w:val="clear" w:pos="975"/>
              </w:tabs>
              <w:ind w:left="20"/>
              <w:rPr>
                <w:i/>
                <w:sz w:val="24"/>
                <w:szCs w:val="24"/>
              </w:rPr>
            </w:pPr>
            <w:r w:rsidRPr="00D66D34">
              <w:rPr>
                <w:sz w:val="24"/>
                <w:szCs w:val="24"/>
              </w:rPr>
              <w:t>Immediate-release fentanyl preparations are currently specialist recommendation on both NY&amp;Y and Humber formularies.</w:t>
            </w:r>
          </w:p>
        </w:tc>
        <w:tc>
          <w:tcPr>
            <w:tcW w:w="4678" w:type="dxa"/>
          </w:tcPr>
          <w:p w14:paraId="1D9C3EDF" w14:textId="77777777" w:rsidR="00C8733F" w:rsidRPr="00D66D34" w:rsidRDefault="00C8733F" w:rsidP="00C8733F">
            <w:pPr>
              <w:rPr>
                <w:sz w:val="24"/>
                <w:szCs w:val="24"/>
              </w:rPr>
            </w:pPr>
            <w:r w:rsidRPr="00D66D34">
              <w:rPr>
                <w:sz w:val="24"/>
                <w:szCs w:val="24"/>
              </w:rPr>
              <w:t xml:space="preserve">Cost implications likely to be low – selected patients only and for a finite </w:t>
            </w:r>
            <w:proofErr w:type="gramStart"/>
            <w:r w:rsidRPr="00D66D34">
              <w:rPr>
                <w:sz w:val="24"/>
                <w:szCs w:val="24"/>
              </w:rPr>
              <w:t>period of time</w:t>
            </w:r>
            <w:proofErr w:type="gramEnd"/>
          </w:p>
          <w:p w14:paraId="65D4918A" w14:textId="0E24C5D5" w:rsidR="00C8733F" w:rsidRPr="00D66D34" w:rsidRDefault="00C8733F" w:rsidP="00C8733F">
            <w:pPr>
              <w:rPr>
                <w:sz w:val="24"/>
                <w:szCs w:val="24"/>
              </w:rPr>
            </w:pPr>
            <w:r w:rsidRPr="00D66D34">
              <w:rPr>
                <w:sz w:val="24"/>
                <w:szCs w:val="24"/>
              </w:rPr>
              <w:t xml:space="preserve">No </w:t>
            </w:r>
            <w:r w:rsidRPr="00D66D34">
              <w:rPr>
                <w:rFonts w:eastAsia="Calibri"/>
                <w:sz w:val="24"/>
                <w:szCs w:val="24"/>
              </w:rPr>
              <w:t>commissioning / service implications</w:t>
            </w:r>
            <w:r w:rsidRPr="00D66D34">
              <w:rPr>
                <w:sz w:val="24"/>
                <w:szCs w:val="24"/>
              </w:rPr>
              <w:t xml:space="preserve"> expected</w:t>
            </w:r>
          </w:p>
        </w:tc>
        <w:tc>
          <w:tcPr>
            <w:tcW w:w="1852" w:type="dxa"/>
            <w:shd w:val="clear" w:color="auto" w:fill="FFFFFF"/>
          </w:tcPr>
          <w:p w14:paraId="33C64788" w14:textId="77777777" w:rsidR="00C8733F" w:rsidRPr="00D66D34" w:rsidRDefault="00C8733F" w:rsidP="00C8733F">
            <w:pPr>
              <w:rPr>
                <w:iCs/>
                <w:sz w:val="24"/>
                <w:szCs w:val="24"/>
                <w:lang w:val="en-US"/>
              </w:rPr>
            </w:pPr>
            <w:r w:rsidRPr="00D66D34">
              <w:rPr>
                <w:iCs/>
                <w:sz w:val="24"/>
                <w:szCs w:val="24"/>
                <w:lang w:val="en-US"/>
              </w:rPr>
              <w:t>Approve addition to formulary</w:t>
            </w:r>
          </w:p>
          <w:p w14:paraId="26E04F46" w14:textId="6473BED4" w:rsidR="00C8733F" w:rsidRPr="00D66D34" w:rsidRDefault="00C8733F" w:rsidP="00C8733F">
            <w:pPr>
              <w:rPr>
                <w:iCs/>
                <w:sz w:val="24"/>
                <w:szCs w:val="24"/>
              </w:rPr>
            </w:pPr>
          </w:p>
        </w:tc>
      </w:tr>
      <w:tr w:rsidR="00C8733F" w:rsidRPr="00D66D34" w14:paraId="0C619745" w14:textId="77777777" w:rsidTr="00C8733F">
        <w:trPr>
          <w:cantSplit/>
          <w:trHeight w:val="548"/>
        </w:trPr>
        <w:tc>
          <w:tcPr>
            <w:tcW w:w="2547" w:type="dxa"/>
            <w:shd w:val="clear" w:color="auto" w:fill="auto"/>
          </w:tcPr>
          <w:p w14:paraId="2FC8AD4F" w14:textId="58B30D5D" w:rsidR="00C8733F" w:rsidRPr="00D66D34" w:rsidRDefault="00C8733F" w:rsidP="00C8733F">
            <w:pPr>
              <w:widowControl/>
              <w:tabs>
                <w:tab w:val="clear" w:pos="975"/>
              </w:tabs>
              <w:autoSpaceDE/>
              <w:autoSpaceDN/>
              <w:ind w:right="57"/>
              <w:rPr>
                <w:color w:val="000000"/>
                <w:sz w:val="24"/>
                <w:szCs w:val="24"/>
              </w:rPr>
            </w:pPr>
            <w:r w:rsidRPr="00D66D34">
              <w:rPr>
                <w:color w:val="000000"/>
                <w:sz w:val="24"/>
                <w:szCs w:val="24"/>
              </w:rPr>
              <w:t>Dienogest 2mg tablets for endometriosis</w:t>
            </w:r>
          </w:p>
        </w:tc>
        <w:tc>
          <w:tcPr>
            <w:tcW w:w="2693" w:type="dxa"/>
            <w:shd w:val="clear" w:color="auto" w:fill="auto"/>
          </w:tcPr>
          <w:p w14:paraId="6554C533" w14:textId="77777777" w:rsidR="00960163" w:rsidRPr="00D66D34" w:rsidRDefault="00960163" w:rsidP="00960163">
            <w:pPr>
              <w:shd w:val="clear" w:color="auto" w:fill="FFC000"/>
              <w:rPr>
                <w:b/>
                <w:bCs/>
                <w:sz w:val="24"/>
                <w:szCs w:val="24"/>
              </w:rPr>
            </w:pPr>
            <w:r w:rsidRPr="00D66D34">
              <w:rPr>
                <w:b/>
                <w:bCs/>
                <w:sz w:val="24"/>
                <w:szCs w:val="24"/>
              </w:rPr>
              <w:t>Amber specialist initiation (Amber SI)</w:t>
            </w:r>
          </w:p>
          <w:p w14:paraId="001E0FE5" w14:textId="77777777" w:rsidR="00960163" w:rsidRPr="00D66D34" w:rsidRDefault="00960163" w:rsidP="00960163">
            <w:pPr>
              <w:rPr>
                <w:sz w:val="24"/>
                <w:szCs w:val="24"/>
              </w:rPr>
            </w:pPr>
            <w:r w:rsidRPr="00D66D34">
              <w:rPr>
                <w:sz w:val="24"/>
                <w:szCs w:val="24"/>
              </w:rPr>
              <w:t>Formerly known as Amber 2 in Humber</w:t>
            </w:r>
          </w:p>
          <w:p w14:paraId="40AD766F" w14:textId="0241161D" w:rsidR="00C8733F" w:rsidRPr="00D66D34" w:rsidRDefault="00960163" w:rsidP="00C8733F">
            <w:pPr>
              <w:rPr>
                <w:sz w:val="24"/>
                <w:szCs w:val="24"/>
              </w:rPr>
            </w:pPr>
            <w:r w:rsidRPr="00D66D34">
              <w:rPr>
                <w:sz w:val="24"/>
                <w:szCs w:val="24"/>
              </w:rPr>
              <w:t>A</w:t>
            </w:r>
            <w:r w:rsidR="00C8733F" w:rsidRPr="00D66D34">
              <w:rPr>
                <w:sz w:val="24"/>
                <w:szCs w:val="24"/>
              </w:rPr>
              <w:t>s a second-line option alongside GnRH analogues, after failure of initial hormonal treatment and analgesia, and on the recommendation of a gynaecologist.</w:t>
            </w:r>
          </w:p>
        </w:tc>
        <w:tc>
          <w:tcPr>
            <w:tcW w:w="4111" w:type="dxa"/>
            <w:shd w:val="clear" w:color="auto" w:fill="auto"/>
          </w:tcPr>
          <w:p w14:paraId="762342F3" w14:textId="591F5376" w:rsidR="00C8733F" w:rsidRPr="00D66D34" w:rsidRDefault="00C8733F" w:rsidP="00C8733F">
            <w:pPr>
              <w:tabs>
                <w:tab w:val="clear" w:pos="975"/>
              </w:tabs>
              <w:ind w:left="20"/>
              <w:rPr>
                <w:sz w:val="24"/>
                <w:szCs w:val="24"/>
              </w:rPr>
            </w:pPr>
            <w:r w:rsidRPr="00D66D34">
              <w:rPr>
                <w:sz w:val="24"/>
                <w:szCs w:val="24"/>
              </w:rPr>
              <w:t xml:space="preserve">The group noted that patients with endometriosis are a diverse group, and giving multiple options second-line is important to ensure there are suitable options for all patients. </w:t>
            </w:r>
          </w:p>
          <w:p w14:paraId="59A545C8" w14:textId="41CC5618" w:rsidR="00C8733F" w:rsidRPr="00D66D34" w:rsidRDefault="00C8733F" w:rsidP="00C8733F">
            <w:pPr>
              <w:tabs>
                <w:tab w:val="clear" w:pos="975"/>
              </w:tabs>
              <w:ind w:left="20"/>
              <w:rPr>
                <w:i/>
                <w:sz w:val="24"/>
                <w:szCs w:val="24"/>
              </w:rPr>
            </w:pPr>
            <w:r w:rsidRPr="00D66D34">
              <w:rPr>
                <w:sz w:val="24"/>
                <w:szCs w:val="24"/>
              </w:rPr>
              <w:t>Current treatment options are hormonal treatment (including COCs, POPs, IUS, progesterone implants and injections), GnRH analogues, and surgery. GnRH analogues are only licensed for a six-month treatment course.</w:t>
            </w:r>
          </w:p>
        </w:tc>
        <w:tc>
          <w:tcPr>
            <w:tcW w:w="4678" w:type="dxa"/>
          </w:tcPr>
          <w:p w14:paraId="570FAD43" w14:textId="77777777" w:rsidR="00C8733F" w:rsidRPr="00D66D34" w:rsidRDefault="00C8733F" w:rsidP="00C8733F">
            <w:pPr>
              <w:rPr>
                <w:sz w:val="24"/>
                <w:szCs w:val="24"/>
              </w:rPr>
            </w:pPr>
            <w:r w:rsidRPr="00D66D34">
              <w:rPr>
                <w:sz w:val="24"/>
                <w:szCs w:val="24"/>
              </w:rPr>
              <w:t xml:space="preserve">Dienogest costs £266.50 per patient per year, compared to £213.67 for norethisterone and £420-£450 for a </w:t>
            </w:r>
            <w:proofErr w:type="gramStart"/>
            <w:r w:rsidRPr="00D66D34">
              <w:rPr>
                <w:sz w:val="24"/>
                <w:szCs w:val="24"/>
              </w:rPr>
              <w:t>six month</w:t>
            </w:r>
            <w:proofErr w:type="gramEnd"/>
            <w:r w:rsidRPr="00D66D34">
              <w:rPr>
                <w:sz w:val="24"/>
                <w:szCs w:val="24"/>
              </w:rPr>
              <w:t xml:space="preserve"> course of GnRH analogues 90-100 patients per year are expected between York, Scarborough and Harrogate. Patient numbers are not known for Humber.</w:t>
            </w:r>
          </w:p>
          <w:p w14:paraId="3472F21B" w14:textId="0F76B551" w:rsidR="00C8733F" w:rsidRPr="00D66D34" w:rsidRDefault="00C8733F" w:rsidP="00C8733F">
            <w:pPr>
              <w:rPr>
                <w:sz w:val="24"/>
                <w:szCs w:val="24"/>
              </w:rPr>
            </w:pPr>
            <w:r w:rsidRPr="00D66D34">
              <w:rPr>
                <w:sz w:val="24"/>
                <w:szCs w:val="24"/>
              </w:rPr>
              <w:t>Use of dienogest may lead to reduction in number of appointments for administration of injections.</w:t>
            </w:r>
          </w:p>
        </w:tc>
        <w:tc>
          <w:tcPr>
            <w:tcW w:w="1852" w:type="dxa"/>
            <w:shd w:val="clear" w:color="auto" w:fill="FFFFFF"/>
          </w:tcPr>
          <w:p w14:paraId="58168CF6" w14:textId="77777777" w:rsidR="00C8733F" w:rsidRPr="00D66D34" w:rsidRDefault="00C8733F" w:rsidP="00C8733F">
            <w:pPr>
              <w:rPr>
                <w:iCs/>
                <w:sz w:val="24"/>
                <w:szCs w:val="24"/>
                <w:lang w:val="en-US"/>
              </w:rPr>
            </w:pPr>
            <w:r w:rsidRPr="00D66D34">
              <w:rPr>
                <w:iCs/>
                <w:sz w:val="24"/>
                <w:szCs w:val="24"/>
                <w:lang w:val="en-US"/>
              </w:rPr>
              <w:t>Approve addition to formulary</w:t>
            </w:r>
          </w:p>
          <w:p w14:paraId="38BED797" w14:textId="77777777" w:rsidR="00C8733F" w:rsidRPr="00D66D34" w:rsidRDefault="00C8733F" w:rsidP="00C8733F">
            <w:pPr>
              <w:rPr>
                <w:iCs/>
                <w:sz w:val="24"/>
                <w:szCs w:val="24"/>
              </w:rPr>
            </w:pPr>
          </w:p>
        </w:tc>
      </w:tr>
      <w:tr w:rsidR="00C8733F" w:rsidRPr="00D66D34" w14:paraId="0E4777E5" w14:textId="77777777" w:rsidTr="00D66D34">
        <w:trPr>
          <w:cantSplit/>
          <w:trHeight w:val="548"/>
        </w:trPr>
        <w:tc>
          <w:tcPr>
            <w:tcW w:w="2547" w:type="dxa"/>
            <w:shd w:val="clear" w:color="auto" w:fill="auto"/>
          </w:tcPr>
          <w:p w14:paraId="612909DF" w14:textId="5CCB14A2" w:rsidR="00C8733F" w:rsidRPr="00D66D34" w:rsidRDefault="00C8733F" w:rsidP="00C8733F">
            <w:pPr>
              <w:widowControl/>
              <w:tabs>
                <w:tab w:val="clear" w:pos="975"/>
              </w:tabs>
              <w:autoSpaceDE/>
              <w:autoSpaceDN/>
              <w:ind w:right="57"/>
              <w:rPr>
                <w:color w:val="000000"/>
                <w:sz w:val="24"/>
                <w:szCs w:val="24"/>
              </w:rPr>
            </w:pPr>
            <w:r w:rsidRPr="00D66D34">
              <w:rPr>
                <w:color w:val="000000"/>
                <w:sz w:val="24"/>
                <w:szCs w:val="24"/>
              </w:rPr>
              <w:lastRenderedPageBreak/>
              <w:t>Hydroxychloroquine Shared Care Protocol</w:t>
            </w:r>
          </w:p>
        </w:tc>
        <w:tc>
          <w:tcPr>
            <w:tcW w:w="2693" w:type="dxa"/>
            <w:shd w:val="clear" w:color="auto" w:fill="FFC000"/>
          </w:tcPr>
          <w:p w14:paraId="4483B9BE" w14:textId="77777777" w:rsidR="00C8733F" w:rsidRPr="00D66D34" w:rsidRDefault="00C8733F" w:rsidP="00C8733F">
            <w:pPr>
              <w:rPr>
                <w:b/>
                <w:bCs/>
                <w:sz w:val="24"/>
                <w:szCs w:val="24"/>
              </w:rPr>
            </w:pPr>
            <w:r w:rsidRPr="00D66D34">
              <w:rPr>
                <w:b/>
                <w:bCs/>
                <w:sz w:val="24"/>
                <w:szCs w:val="24"/>
              </w:rPr>
              <w:t xml:space="preserve">Amber Shared Care </w:t>
            </w:r>
          </w:p>
          <w:p w14:paraId="7E6C9264" w14:textId="0C799906" w:rsidR="00C8733F" w:rsidRPr="00D66D34" w:rsidRDefault="00C8733F" w:rsidP="00C8733F">
            <w:pPr>
              <w:rPr>
                <w:sz w:val="24"/>
                <w:szCs w:val="24"/>
              </w:rPr>
            </w:pPr>
            <w:r w:rsidRPr="00D66D34">
              <w:rPr>
                <w:b/>
                <w:bCs/>
                <w:sz w:val="24"/>
                <w:szCs w:val="24"/>
              </w:rPr>
              <w:t>(Amber SCP)</w:t>
            </w:r>
          </w:p>
        </w:tc>
        <w:tc>
          <w:tcPr>
            <w:tcW w:w="4111" w:type="dxa"/>
            <w:shd w:val="clear" w:color="auto" w:fill="auto"/>
          </w:tcPr>
          <w:p w14:paraId="2638F320" w14:textId="702A4E23" w:rsidR="00C8733F" w:rsidRPr="00D66D34" w:rsidRDefault="00C8733F" w:rsidP="00C8733F">
            <w:pPr>
              <w:tabs>
                <w:tab w:val="clear" w:pos="975"/>
              </w:tabs>
              <w:ind w:left="20"/>
              <w:rPr>
                <w:i/>
                <w:sz w:val="24"/>
                <w:szCs w:val="24"/>
              </w:rPr>
            </w:pPr>
            <w:r w:rsidRPr="00D66D34">
              <w:rPr>
                <w:sz w:val="24"/>
                <w:szCs w:val="24"/>
                <w:lang w:val="en-US"/>
              </w:rPr>
              <w:t>The group noted that the ICB should address the commissioning of ophthalmology services, to facilitate implementation of the SCP.</w:t>
            </w:r>
            <w:r w:rsidRPr="00D66D34">
              <w:rPr>
                <w:sz w:val="24"/>
                <w:szCs w:val="24"/>
              </w:rPr>
              <w:t> </w:t>
            </w:r>
          </w:p>
        </w:tc>
        <w:tc>
          <w:tcPr>
            <w:tcW w:w="4678" w:type="dxa"/>
          </w:tcPr>
          <w:p w14:paraId="2E6E1B5B" w14:textId="77777777" w:rsidR="00C8733F" w:rsidRPr="00D66D34" w:rsidRDefault="00C8733F" w:rsidP="00C8733F">
            <w:pPr>
              <w:rPr>
                <w:sz w:val="24"/>
                <w:szCs w:val="24"/>
              </w:rPr>
            </w:pPr>
            <w:r w:rsidRPr="00D66D34">
              <w:rPr>
                <w:sz w:val="24"/>
                <w:szCs w:val="24"/>
              </w:rPr>
              <w:t xml:space="preserve">In section 5, it sets out the responsibility for referral to retinopathy screening service lies with the </w:t>
            </w:r>
            <w:proofErr w:type="gramStart"/>
            <w:r w:rsidRPr="00D66D34">
              <w:rPr>
                <w:sz w:val="24"/>
                <w:szCs w:val="24"/>
              </w:rPr>
              <w:t>specialist</w:t>
            </w:r>
            <w:proofErr w:type="gramEnd"/>
            <w:r w:rsidRPr="00D66D34">
              <w:rPr>
                <w:sz w:val="24"/>
                <w:szCs w:val="24"/>
              </w:rPr>
              <w:t xml:space="preserve"> but it is the expectation that there is a need for an annual audit funded through the 'Near Patient Testing for Amber Drugs within primary care Local enhanced service. This will allow assurance to make sure no patient fall through the net. </w:t>
            </w:r>
          </w:p>
          <w:p w14:paraId="71D3E292" w14:textId="02618B18" w:rsidR="00C8733F" w:rsidRPr="00D66D34" w:rsidRDefault="00C8733F" w:rsidP="00C8733F">
            <w:pPr>
              <w:rPr>
                <w:sz w:val="24"/>
                <w:szCs w:val="24"/>
              </w:rPr>
            </w:pPr>
            <w:r w:rsidRPr="00D66D34">
              <w:rPr>
                <w:sz w:val="24"/>
                <w:szCs w:val="24"/>
              </w:rPr>
              <w:t>Commissioned ophthalmology services need to be in place for the SCP to be implemented; development of these services is underway.</w:t>
            </w:r>
          </w:p>
        </w:tc>
        <w:tc>
          <w:tcPr>
            <w:tcW w:w="1852" w:type="dxa"/>
            <w:shd w:val="clear" w:color="auto" w:fill="FFFFFF"/>
          </w:tcPr>
          <w:p w14:paraId="4536CCA0" w14:textId="77777777" w:rsidR="00C8733F" w:rsidRPr="00D66D34" w:rsidRDefault="00C8733F" w:rsidP="00C8733F">
            <w:pPr>
              <w:rPr>
                <w:iCs/>
                <w:sz w:val="24"/>
                <w:szCs w:val="24"/>
                <w:lang w:val="en-US"/>
              </w:rPr>
            </w:pPr>
            <w:r w:rsidRPr="00D66D34">
              <w:rPr>
                <w:iCs/>
                <w:sz w:val="24"/>
                <w:szCs w:val="24"/>
                <w:lang w:val="en-US"/>
              </w:rPr>
              <w:t xml:space="preserve">Approve </w:t>
            </w:r>
            <w:r w:rsidRPr="00D66D34">
              <w:rPr>
                <w:color w:val="000000"/>
                <w:sz w:val="24"/>
                <w:szCs w:val="24"/>
              </w:rPr>
              <w:t>Shared Care Protocol</w:t>
            </w:r>
          </w:p>
          <w:p w14:paraId="68A7F3F9" w14:textId="77777777" w:rsidR="00C8733F" w:rsidRPr="00D66D34" w:rsidRDefault="00C8733F" w:rsidP="00C8733F">
            <w:pPr>
              <w:rPr>
                <w:iCs/>
                <w:sz w:val="24"/>
                <w:szCs w:val="24"/>
              </w:rPr>
            </w:pPr>
          </w:p>
        </w:tc>
      </w:tr>
    </w:tbl>
    <w:p w14:paraId="2E52DA50" w14:textId="77777777" w:rsidR="005C0229" w:rsidRPr="00383A54" w:rsidRDefault="005C0229" w:rsidP="00383A54">
      <w:pPr>
        <w:spacing w:before="0" w:after="0"/>
        <w:rPr>
          <w:sz w:val="20"/>
          <w:lang w:val="en-US" w:eastAsia="ja-JP"/>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383A54" w:rsidRPr="00383A54" w14:paraId="473BE708" w14:textId="77777777" w:rsidTr="00063CFB">
        <w:trPr>
          <w:cantSplit/>
        </w:trPr>
        <w:tc>
          <w:tcPr>
            <w:tcW w:w="5000" w:type="pct"/>
            <w:shd w:val="clear" w:color="auto" w:fill="auto"/>
          </w:tcPr>
          <w:p w14:paraId="6DC8B104" w14:textId="78D45245" w:rsidR="00383A54"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DECISIONS WITH</w:t>
            </w:r>
            <w:r w:rsidR="00C97823">
              <w:rPr>
                <w:rFonts w:eastAsia="Calibri"/>
                <w:b/>
                <w:color w:val="1F497D"/>
                <w:sz w:val="24"/>
                <w:szCs w:val="24"/>
              </w:rPr>
              <w:t>OUT</w:t>
            </w:r>
            <w:r w:rsidRPr="00383A54">
              <w:rPr>
                <w:rFonts w:eastAsia="Calibri"/>
                <w:b/>
                <w:color w:val="1F497D"/>
                <w:sz w:val="24"/>
                <w:szCs w:val="24"/>
              </w:rPr>
              <w:t xml:space="preserve">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601AEC0E" w14:textId="77777777" w:rsidR="00383A54" w:rsidRPr="00383A54" w:rsidRDefault="00383A54" w:rsidP="00383A54">
      <w:pPr>
        <w:spacing w:before="0" w:after="0"/>
        <w:rPr>
          <w:sz w:val="20"/>
          <w:lang w:val="en-US" w:eastAsia="ja-JP"/>
        </w:rPr>
      </w:pPr>
    </w:p>
    <w:p w14:paraId="03DEC03D" w14:textId="77777777" w:rsidR="00383A54" w:rsidRPr="00383A54" w:rsidRDefault="00383A54" w:rsidP="00383A54">
      <w:pPr>
        <w:spacing w:before="0" w:after="0"/>
        <w:rPr>
          <w:sz w:val="10"/>
          <w:szCs w:val="10"/>
          <w:lang w:val="en-US" w:eastAsia="ja-JP"/>
        </w:rPr>
        <w:sectPr w:rsidR="00383A54" w:rsidRPr="00383A54" w:rsidSect="00040A7D">
          <w:headerReference w:type="even" r:id="rId17"/>
          <w:headerReference w:type="default" r:id="rId18"/>
          <w:footerReference w:type="even" r:id="rId19"/>
          <w:headerReference w:type="first" r:id="rId20"/>
          <w:type w:val="continuous"/>
          <w:pgSz w:w="16840" w:h="11910" w:orient="landscape"/>
          <w:pgMar w:top="508" w:right="520" w:bottom="993" w:left="426" w:header="301" w:footer="17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127"/>
        <w:gridCol w:w="1984"/>
        <w:gridCol w:w="5646"/>
        <w:gridCol w:w="2160"/>
      </w:tblGrid>
      <w:tr w:rsidR="001C7976" w:rsidRPr="00D66D34" w14:paraId="0360D02E" w14:textId="77777777" w:rsidTr="001C7976">
        <w:trPr>
          <w:cantSplit/>
          <w:trHeight w:val="548"/>
          <w:tblHeader/>
        </w:trPr>
        <w:tc>
          <w:tcPr>
            <w:tcW w:w="3964" w:type="dxa"/>
            <w:tcBorders>
              <w:bottom w:val="single" w:sz="4" w:space="0" w:color="auto"/>
            </w:tcBorders>
            <w:shd w:val="clear" w:color="auto" w:fill="B6DDE8"/>
          </w:tcPr>
          <w:p w14:paraId="4FE4577D" w14:textId="77777777" w:rsidR="001C7976" w:rsidRPr="00D66D34" w:rsidRDefault="001C7976" w:rsidP="001C7976">
            <w:pPr>
              <w:tabs>
                <w:tab w:val="clear" w:pos="975"/>
              </w:tabs>
              <w:rPr>
                <w:rFonts w:eastAsia="Calibri"/>
                <w:b/>
                <w:sz w:val="24"/>
                <w:szCs w:val="24"/>
              </w:rPr>
            </w:pPr>
            <w:r w:rsidRPr="00D66D34">
              <w:rPr>
                <w:rFonts w:eastAsia="Calibri"/>
                <w:b/>
                <w:sz w:val="24"/>
                <w:szCs w:val="24"/>
              </w:rPr>
              <w:t xml:space="preserve">Drug and indication </w:t>
            </w:r>
          </w:p>
        </w:tc>
        <w:tc>
          <w:tcPr>
            <w:tcW w:w="2127" w:type="dxa"/>
            <w:tcBorders>
              <w:bottom w:val="single" w:sz="4" w:space="0" w:color="auto"/>
            </w:tcBorders>
            <w:shd w:val="clear" w:color="auto" w:fill="B6DDE8"/>
          </w:tcPr>
          <w:p w14:paraId="05FD2BD5" w14:textId="77777777" w:rsidR="001C7976" w:rsidRPr="00D66D34" w:rsidRDefault="001C7976" w:rsidP="001C7976">
            <w:pPr>
              <w:tabs>
                <w:tab w:val="clear" w:pos="975"/>
              </w:tabs>
              <w:rPr>
                <w:rFonts w:eastAsia="Calibri"/>
                <w:b/>
                <w:sz w:val="24"/>
                <w:szCs w:val="24"/>
              </w:rPr>
            </w:pPr>
            <w:r w:rsidRPr="00D66D34">
              <w:rPr>
                <w:rFonts w:eastAsia="Calibri"/>
                <w:b/>
                <w:sz w:val="24"/>
                <w:szCs w:val="24"/>
              </w:rPr>
              <w:t>Status and formulary position assigned</w:t>
            </w:r>
          </w:p>
        </w:tc>
        <w:tc>
          <w:tcPr>
            <w:tcW w:w="1984" w:type="dxa"/>
            <w:tcBorders>
              <w:bottom w:val="single" w:sz="4" w:space="0" w:color="auto"/>
            </w:tcBorders>
            <w:shd w:val="clear" w:color="auto" w:fill="B6DDE8"/>
          </w:tcPr>
          <w:p w14:paraId="5C87408D" w14:textId="77777777" w:rsidR="001C7976" w:rsidRPr="00D66D34" w:rsidRDefault="001C7976" w:rsidP="001C7976">
            <w:pPr>
              <w:tabs>
                <w:tab w:val="clear" w:pos="975"/>
              </w:tabs>
              <w:rPr>
                <w:rFonts w:eastAsia="Calibri"/>
                <w:b/>
                <w:sz w:val="24"/>
                <w:szCs w:val="24"/>
              </w:rPr>
            </w:pPr>
            <w:r w:rsidRPr="00D66D34">
              <w:rPr>
                <w:rFonts w:eastAsia="Calibri"/>
                <w:b/>
                <w:sz w:val="24"/>
                <w:szCs w:val="24"/>
              </w:rPr>
              <w:t>Notes on decision</w:t>
            </w:r>
          </w:p>
        </w:tc>
        <w:tc>
          <w:tcPr>
            <w:tcW w:w="5646" w:type="dxa"/>
            <w:tcBorders>
              <w:bottom w:val="single" w:sz="4" w:space="0" w:color="auto"/>
            </w:tcBorders>
            <w:shd w:val="clear" w:color="auto" w:fill="B6DDE8"/>
          </w:tcPr>
          <w:p w14:paraId="4BC44793" w14:textId="77777777" w:rsidR="001C7976" w:rsidRPr="00D66D34" w:rsidRDefault="001C7976" w:rsidP="001C7976">
            <w:pPr>
              <w:tabs>
                <w:tab w:val="clear" w:pos="975"/>
              </w:tabs>
              <w:rPr>
                <w:rFonts w:eastAsia="Calibri"/>
                <w:b/>
                <w:sz w:val="24"/>
                <w:szCs w:val="24"/>
              </w:rPr>
            </w:pPr>
            <w:r w:rsidRPr="00D66D34">
              <w:rPr>
                <w:rFonts w:eastAsia="Calibri"/>
                <w:b/>
                <w:sz w:val="24"/>
                <w:szCs w:val="24"/>
              </w:rPr>
              <w:t>Cost impact and commissioning / service implications</w:t>
            </w:r>
          </w:p>
        </w:tc>
        <w:tc>
          <w:tcPr>
            <w:tcW w:w="2160" w:type="dxa"/>
            <w:tcBorders>
              <w:bottom w:val="single" w:sz="4" w:space="0" w:color="auto"/>
            </w:tcBorders>
            <w:shd w:val="clear" w:color="auto" w:fill="B6DDE8"/>
          </w:tcPr>
          <w:p w14:paraId="43FAB0E3" w14:textId="77777777" w:rsidR="001C7976" w:rsidRPr="00D66D34" w:rsidRDefault="001C7976" w:rsidP="001C7976">
            <w:pPr>
              <w:tabs>
                <w:tab w:val="clear" w:pos="975"/>
              </w:tabs>
              <w:rPr>
                <w:rFonts w:eastAsia="Calibri"/>
                <w:b/>
                <w:sz w:val="24"/>
                <w:szCs w:val="24"/>
              </w:rPr>
            </w:pPr>
            <w:r w:rsidRPr="00D66D34">
              <w:rPr>
                <w:rFonts w:eastAsia="Calibri"/>
                <w:b/>
                <w:sz w:val="24"/>
                <w:szCs w:val="24"/>
              </w:rPr>
              <w:t>Recommendation from HNY APC</w:t>
            </w:r>
          </w:p>
        </w:tc>
      </w:tr>
      <w:tr w:rsidR="00E73516" w:rsidRPr="00D66D34" w14:paraId="683B8F96" w14:textId="77777777" w:rsidTr="001C7976">
        <w:trPr>
          <w:cantSplit/>
          <w:trHeight w:val="548"/>
        </w:trPr>
        <w:tc>
          <w:tcPr>
            <w:tcW w:w="3964" w:type="dxa"/>
            <w:shd w:val="clear" w:color="auto" w:fill="auto"/>
          </w:tcPr>
          <w:p w14:paraId="3BD3269A" w14:textId="22E9CCB8" w:rsidR="00E73516" w:rsidRPr="00D66D34" w:rsidRDefault="00C8733F" w:rsidP="00C8733F">
            <w:pPr>
              <w:tabs>
                <w:tab w:val="left" w:pos="720"/>
              </w:tabs>
              <w:ind w:left="357" w:hanging="357"/>
              <w:rPr>
                <w:color w:val="000000"/>
                <w:sz w:val="24"/>
                <w:szCs w:val="24"/>
              </w:rPr>
            </w:pPr>
            <w:r w:rsidRPr="00D66D34">
              <w:rPr>
                <w:color w:val="000000"/>
                <w:sz w:val="24"/>
                <w:szCs w:val="24"/>
              </w:rPr>
              <w:t>None this month</w:t>
            </w:r>
          </w:p>
        </w:tc>
        <w:tc>
          <w:tcPr>
            <w:tcW w:w="2127" w:type="dxa"/>
            <w:shd w:val="clear" w:color="auto" w:fill="auto"/>
          </w:tcPr>
          <w:p w14:paraId="7A130EE1" w14:textId="5CFE47B5" w:rsidR="00E73516" w:rsidRPr="00D66D34" w:rsidRDefault="00E73516" w:rsidP="00E73516">
            <w:pPr>
              <w:rPr>
                <w:sz w:val="24"/>
                <w:szCs w:val="24"/>
              </w:rPr>
            </w:pPr>
          </w:p>
        </w:tc>
        <w:tc>
          <w:tcPr>
            <w:tcW w:w="1984" w:type="dxa"/>
            <w:shd w:val="clear" w:color="auto" w:fill="auto"/>
          </w:tcPr>
          <w:p w14:paraId="453258A6" w14:textId="5BF02A68" w:rsidR="00E73516" w:rsidRPr="00D66D34" w:rsidRDefault="00E73516" w:rsidP="00E73516">
            <w:pPr>
              <w:tabs>
                <w:tab w:val="clear" w:pos="975"/>
              </w:tabs>
              <w:ind w:left="20"/>
              <w:rPr>
                <w:iCs/>
                <w:sz w:val="24"/>
                <w:szCs w:val="24"/>
              </w:rPr>
            </w:pPr>
          </w:p>
        </w:tc>
        <w:tc>
          <w:tcPr>
            <w:tcW w:w="5646" w:type="dxa"/>
          </w:tcPr>
          <w:p w14:paraId="377FA3FC" w14:textId="06434016" w:rsidR="00E73516" w:rsidRPr="00D66D34" w:rsidRDefault="00E73516" w:rsidP="00E73516">
            <w:pPr>
              <w:rPr>
                <w:i/>
                <w:sz w:val="24"/>
                <w:szCs w:val="24"/>
              </w:rPr>
            </w:pPr>
          </w:p>
        </w:tc>
        <w:tc>
          <w:tcPr>
            <w:tcW w:w="2160" w:type="dxa"/>
            <w:shd w:val="clear" w:color="auto" w:fill="FFFFFF"/>
          </w:tcPr>
          <w:p w14:paraId="36C2BF8F" w14:textId="75875938" w:rsidR="00E73516" w:rsidRPr="00D66D34" w:rsidRDefault="00E73516" w:rsidP="00E73516">
            <w:pPr>
              <w:rPr>
                <w:iCs/>
                <w:sz w:val="24"/>
                <w:szCs w:val="24"/>
              </w:rPr>
            </w:pPr>
          </w:p>
        </w:tc>
      </w:tr>
    </w:tbl>
    <w:p w14:paraId="4BE899CD" w14:textId="77777777" w:rsidR="001C7976" w:rsidRDefault="001C7976" w:rsidP="00E73516">
      <w:pPr>
        <w:pStyle w:val="BodyText"/>
        <w:tabs>
          <w:tab w:val="clear" w:pos="975"/>
        </w:tabs>
        <w:spacing w:before="68" w:after="0"/>
        <w:rPr>
          <w:rFonts w:ascii="Helvetica" w:hAnsi="Helvetica" w:cs="Helvetica"/>
          <w:color w:val="4C4D4F"/>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8606FE" w:rsidRPr="00383A54" w14:paraId="36DCCF9F" w14:textId="77777777" w:rsidTr="00D05BAD">
        <w:trPr>
          <w:cantSplit/>
        </w:trPr>
        <w:tc>
          <w:tcPr>
            <w:tcW w:w="5000" w:type="pct"/>
            <w:shd w:val="clear" w:color="auto" w:fill="auto"/>
          </w:tcPr>
          <w:p w14:paraId="2384C095" w14:textId="4BFC6E8E" w:rsidR="008606FE" w:rsidRPr="00383A54" w:rsidRDefault="008606FE" w:rsidP="00D05BAD">
            <w:pPr>
              <w:tabs>
                <w:tab w:val="clear" w:pos="975"/>
              </w:tabs>
              <w:spacing w:before="120" w:after="120"/>
              <w:jc w:val="center"/>
              <w:rPr>
                <w:sz w:val="24"/>
                <w:szCs w:val="24"/>
              </w:rPr>
            </w:pPr>
            <w:r w:rsidRPr="00383A54">
              <w:rPr>
                <w:rFonts w:eastAsia="Calibri"/>
                <w:b/>
                <w:color w:val="1F497D"/>
                <w:sz w:val="24"/>
                <w:szCs w:val="24"/>
              </w:rPr>
              <w:t xml:space="preserve">DECISIONS </w:t>
            </w:r>
            <w:r>
              <w:rPr>
                <w:rFonts w:eastAsia="Calibri"/>
                <w:b/>
                <w:color w:val="1F497D"/>
                <w:sz w:val="24"/>
                <w:szCs w:val="24"/>
              </w:rPr>
              <w:t>FOR INFORMATION ONLY</w:t>
            </w:r>
          </w:p>
        </w:tc>
      </w:tr>
    </w:tbl>
    <w:p w14:paraId="4C5B1B60" w14:textId="6698272F" w:rsidR="008606FE" w:rsidRDefault="008606FE" w:rsidP="00432265">
      <w:pPr>
        <w:pStyle w:val="BodyText"/>
        <w:tabs>
          <w:tab w:val="clear" w:pos="975"/>
        </w:tabs>
        <w:spacing w:before="68" w:after="0"/>
        <w:ind w:left="1"/>
        <w:jc w:val="center"/>
        <w:rPr>
          <w:rFonts w:ascii="Helvetica" w:hAnsi="Helvetica" w:cs="Helvetica"/>
          <w:color w:val="4C4D4F"/>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402"/>
        <w:gridCol w:w="2126"/>
        <w:gridCol w:w="2693"/>
        <w:gridCol w:w="5528"/>
      </w:tblGrid>
      <w:tr w:rsidR="00436283" w:rsidRPr="00D66D34" w14:paraId="0DE7E7FD" w14:textId="77777777" w:rsidTr="00376D53">
        <w:trPr>
          <w:cantSplit/>
          <w:trHeight w:val="548"/>
          <w:tblHeader/>
        </w:trPr>
        <w:tc>
          <w:tcPr>
            <w:tcW w:w="2122" w:type="dxa"/>
            <w:tcBorders>
              <w:bottom w:val="single" w:sz="4" w:space="0" w:color="auto"/>
            </w:tcBorders>
            <w:shd w:val="clear" w:color="auto" w:fill="B6DDE8"/>
          </w:tcPr>
          <w:p w14:paraId="6AC9A8D3" w14:textId="77777777" w:rsidR="00436283" w:rsidRPr="00D66D34" w:rsidRDefault="00436283" w:rsidP="00D05BAD">
            <w:pPr>
              <w:tabs>
                <w:tab w:val="clear" w:pos="975"/>
              </w:tabs>
              <w:rPr>
                <w:rFonts w:eastAsia="Calibri"/>
                <w:b/>
                <w:sz w:val="24"/>
                <w:szCs w:val="24"/>
              </w:rPr>
            </w:pPr>
            <w:r w:rsidRPr="00D66D34">
              <w:rPr>
                <w:rFonts w:eastAsia="Calibri"/>
                <w:b/>
                <w:sz w:val="24"/>
                <w:szCs w:val="24"/>
              </w:rPr>
              <w:t xml:space="preserve">Drug and indication </w:t>
            </w:r>
          </w:p>
        </w:tc>
        <w:tc>
          <w:tcPr>
            <w:tcW w:w="3402" w:type="dxa"/>
            <w:tcBorders>
              <w:bottom w:val="single" w:sz="4" w:space="0" w:color="auto"/>
            </w:tcBorders>
            <w:shd w:val="clear" w:color="auto" w:fill="B6DDE8"/>
          </w:tcPr>
          <w:p w14:paraId="555E9971" w14:textId="77777777" w:rsidR="00436283" w:rsidRPr="00D66D34" w:rsidRDefault="00436283" w:rsidP="00D05BAD">
            <w:pPr>
              <w:tabs>
                <w:tab w:val="clear" w:pos="975"/>
              </w:tabs>
              <w:rPr>
                <w:rFonts w:eastAsia="Calibri"/>
                <w:b/>
                <w:sz w:val="24"/>
                <w:szCs w:val="24"/>
              </w:rPr>
            </w:pPr>
            <w:r w:rsidRPr="00D66D34">
              <w:rPr>
                <w:rFonts w:eastAsia="Calibri"/>
                <w:b/>
                <w:sz w:val="24"/>
                <w:szCs w:val="24"/>
              </w:rPr>
              <w:t>Rationale / criteria</w:t>
            </w:r>
          </w:p>
        </w:tc>
        <w:tc>
          <w:tcPr>
            <w:tcW w:w="2126" w:type="dxa"/>
            <w:tcBorders>
              <w:bottom w:val="single" w:sz="4" w:space="0" w:color="auto"/>
            </w:tcBorders>
            <w:shd w:val="clear" w:color="auto" w:fill="B6DDE8"/>
          </w:tcPr>
          <w:p w14:paraId="29316862" w14:textId="77777777" w:rsidR="00436283" w:rsidRPr="00D66D34" w:rsidRDefault="00436283" w:rsidP="00D05BAD">
            <w:pPr>
              <w:tabs>
                <w:tab w:val="clear" w:pos="975"/>
              </w:tabs>
              <w:rPr>
                <w:rFonts w:eastAsia="Calibri"/>
                <w:b/>
                <w:sz w:val="24"/>
                <w:szCs w:val="24"/>
              </w:rPr>
            </w:pPr>
            <w:r w:rsidRPr="00D66D34">
              <w:rPr>
                <w:rFonts w:eastAsia="Calibri"/>
                <w:b/>
                <w:sz w:val="24"/>
                <w:szCs w:val="24"/>
              </w:rPr>
              <w:t>Status and formulary position assigned</w:t>
            </w:r>
          </w:p>
        </w:tc>
        <w:tc>
          <w:tcPr>
            <w:tcW w:w="2693" w:type="dxa"/>
            <w:tcBorders>
              <w:bottom w:val="single" w:sz="4" w:space="0" w:color="auto"/>
            </w:tcBorders>
            <w:shd w:val="clear" w:color="auto" w:fill="B6DDE8"/>
          </w:tcPr>
          <w:p w14:paraId="677E3364" w14:textId="77777777" w:rsidR="00436283" w:rsidRPr="00D66D34" w:rsidRDefault="00436283" w:rsidP="00D05BAD">
            <w:pPr>
              <w:tabs>
                <w:tab w:val="clear" w:pos="975"/>
              </w:tabs>
              <w:rPr>
                <w:rFonts w:eastAsia="Calibri"/>
                <w:b/>
                <w:sz w:val="24"/>
                <w:szCs w:val="24"/>
              </w:rPr>
            </w:pPr>
            <w:r w:rsidRPr="00D66D34">
              <w:rPr>
                <w:rFonts w:eastAsia="Calibri"/>
                <w:b/>
                <w:sz w:val="24"/>
                <w:szCs w:val="24"/>
              </w:rPr>
              <w:t>Notes on decision</w:t>
            </w:r>
          </w:p>
        </w:tc>
        <w:tc>
          <w:tcPr>
            <w:tcW w:w="5528" w:type="dxa"/>
            <w:tcBorders>
              <w:bottom w:val="single" w:sz="4" w:space="0" w:color="auto"/>
            </w:tcBorders>
            <w:shd w:val="clear" w:color="auto" w:fill="B6DDE8"/>
          </w:tcPr>
          <w:p w14:paraId="6F868194" w14:textId="77777777" w:rsidR="00436283" w:rsidRPr="00D66D34" w:rsidRDefault="00436283" w:rsidP="00D05BAD">
            <w:pPr>
              <w:tabs>
                <w:tab w:val="clear" w:pos="975"/>
              </w:tabs>
              <w:rPr>
                <w:rFonts w:eastAsia="Calibri"/>
                <w:b/>
                <w:sz w:val="24"/>
                <w:szCs w:val="24"/>
              </w:rPr>
            </w:pPr>
            <w:r w:rsidRPr="00D66D34">
              <w:rPr>
                <w:rFonts w:eastAsia="Calibri"/>
                <w:b/>
                <w:sz w:val="24"/>
                <w:szCs w:val="24"/>
              </w:rPr>
              <w:t>Cost impact</w:t>
            </w:r>
          </w:p>
        </w:tc>
      </w:tr>
      <w:tr w:rsidR="009C1AA0" w:rsidRPr="00D66D34" w14:paraId="78777BDC" w14:textId="77777777" w:rsidTr="00376D53">
        <w:trPr>
          <w:cantSplit/>
          <w:trHeight w:val="548"/>
        </w:trPr>
        <w:tc>
          <w:tcPr>
            <w:tcW w:w="2122" w:type="dxa"/>
            <w:shd w:val="clear" w:color="auto" w:fill="auto"/>
          </w:tcPr>
          <w:p w14:paraId="0898B4A9" w14:textId="267A79BC" w:rsidR="009C1AA0" w:rsidRPr="00D66D34" w:rsidRDefault="009C1AA0" w:rsidP="009C1AA0">
            <w:pPr>
              <w:rPr>
                <w:bCs/>
                <w:color w:val="000000"/>
                <w:sz w:val="24"/>
                <w:szCs w:val="24"/>
              </w:rPr>
            </w:pPr>
            <w:r w:rsidRPr="00D66D34">
              <w:rPr>
                <w:bCs/>
                <w:color w:val="000000"/>
                <w:sz w:val="24"/>
                <w:szCs w:val="24"/>
              </w:rPr>
              <w:t xml:space="preserve">HNY APC minutes – </w:t>
            </w:r>
            <w:r w:rsidR="00C8733F" w:rsidRPr="00D66D34">
              <w:rPr>
                <w:bCs/>
                <w:color w:val="000000"/>
                <w:sz w:val="24"/>
                <w:szCs w:val="24"/>
              </w:rPr>
              <w:t>February</w:t>
            </w:r>
            <w:r w:rsidRPr="00D66D34">
              <w:rPr>
                <w:bCs/>
                <w:color w:val="000000"/>
                <w:sz w:val="24"/>
                <w:szCs w:val="24"/>
              </w:rPr>
              <w:t xml:space="preserve"> 202</w:t>
            </w:r>
            <w:r w:rsidR="00E73516" w:rsidRPr="00D66D34">
              <w:rPr>
                <w:bCs/>
                <w:color w:val="000000"/>
                <w:sz w:val="24"/>
                <w:szCs w:val="24"/>
              </w:rPr>
              <w:t>5</w:t>
            </w:r>
          </w:p>
        </w:tc>
        <w:tc>
          <w:tcPr>
            <w:tcW w:w="3402" w:type="dxa"/>
          </w:tcPr>
          <w:p w14:paraId="65575D15" w14:textId="77777777" w:rsidR="009C1AA0" w:rsidRPr="00D66D34" w:rsidRDefault="009C1AA0" w:rsidP="009C1AA0">
            <w:pPr>
              <w:rPr>
                <w:sz w:val="24"/>
                <w:szCs w:val="24"/>
              </w:rPr>
            </w:pPr>
          </w:p>
        </w:tc>
        <w:tc>
          <w:tcPr>
            <w:tcW w:w="2126" w:type="dxa"/>
            <w:shd w:val="clear" w:color="auto" w:fill="auto"/>
          </w:tcPr>
          <w:p w14:paraId="639AD67A" w14:textId="77777777" w:rsidR="009C1AA0" w:rsidRPr="00D66D34" w:rsidRDefault="009C1AA0" w:rsidP="009C1AA0">
            <w:pPr>
              <w:rPr>
                <w:iCs/>
                <w:sz w:val="24"/>
                <w:szCs w:val="24"/>
              </w:rPr>
            </w:pPr>
          </w:p>
        </w:tc>
        <w:tc>
          <w:tcPr>
            <w:tcW w:w="2693" w:type="dxa"/>
            <w:shd w:val="clear" w:color="auto" w:fill="auto"/>
          </w:tcPr>
          <w:p w14:paraId="4622FD15" w14:textId="02C0CF99" w:rsidR="009C1AA0" w:rsidRPr="00D66D34" w:rsidRDefault="009C1AA0" w:rsidP="009C1AA0">
            <w:pPr>
              <w:rPr>
                <w:sz w:val="24"/>
                <w:szCs w:val="24"/>
              </w:rPr>
            </w:pPr>
            <w:r w:rsidRPr="00D66D34">
              <w:rPr>
                <w:sz w:val="24"/>
                <w:szCs w:val="24"/>
              </w:rPr>
              <w:t>Approved</w:t>
            </w:r>
          </w:p>
        </w:tc>
        <w:tc>
          <w:tcPr>
            <w:tcW w:w="5528" w:type="dxa"/>
          </w:tcPr>
          <w:p w14:paraId="4753E4A5" w14:textId="77777777" w:rsidR="009C1AA0" w:rsidRPr="00D66D34" w:rsidRDefault="009C1AA0" w:rsidP="009C1AA0">
            <w:pPr>
              <w:rPr>
                <w:sz w:val="24"/>
                <w:szCs w:val="24"/>
              </w:rPr>
            </w:pPr>
          </w:p>
        </w:tc>
      </w:tr>
      <w:tr w:rsidR="009C1AA0" w:rsidRPr="00D66D34" w14:paraId="6520CA2D" w14:textId="77777777" w:rsidTr="00376D53">
        <w:trPr>
          <w:cantSplit/>
        </w:trPr>
        <w:tc>
          <w:tcPr>
            <w:tcW w:w="15871" w:type="dxa"/>
            <w:gridSpan w:val="5"/>
            <w:shd w:val="clear" w:color="auto" w:fill="auto"/>
          </w:tcPr>
          <w:p w14:paraId="0487B469" w14:textId="77777777" w:rsidR="009C1AA0" w:rsidRPr="00D66D34" w:rsidRDefault="009C1AA0" w:rsidP="009C1AA0">
            <w:pPr>
              <w:jc w:val="center"/>
              <w:rPr>
                <w:iCs/>
                <w:sz w:val="24"/>
                <w:szCs w:val="24"/>
              </w:rPr>
            </w:pPr>
            <w:r w:rsidRPr="00D66D34">
              <w:rPr>
                <w:rFonts w:eastAsia="Calibri"/>
                <w:sz w:val="24"/>
                <w:szCs w:val="24"/>
              </w:rPr>
              <w:t>All links to MHRA drug safety updates added to formulary as published. Significant alerts where further action is required are highlighted.</w:t>
            </w:r>
          </w:p>
        </w:tc>
      </w:tr>
    </w:tbl>
    <w:p w14:paraId="762420D8" w14:textId="77777777" w:rsidR="008606FE" w:rsidRDefault="008606FE" w:rsidP="00432265">
      <w:pPr>
        <w:pStyle w:val="BodyText"/>
        <w:tabs>
          <w:tab w:val="clear" w:pos="975"/>
        </w:tabs>
        <w:spacing w:before="68" w:after="0"/>
        <w:ind w:left="1"/>
        <w:jc w:val="center"/>
        <w:rPr>
          <w:rFonts w:ascii="Helvetica" w:hAnsi="Helvetica" w:cs="Helvetica"/>
          <w:color w:val="4C4D4F"/>
        </w:rPr>
      </w:pPr>
    </w:p>
    <w:p w14:paraId="6BF63F97" w14:textId="77777777" w:rsidR="001C7976" w:rsidRDefault="001C7976" w:rsidP="001C7976">
      <w:pPr>
        <w:pStyle w:val="BodyText"/>
        <w:spacing w:before="68"/>
        <w:ind w:left="1"/>
        <w:jc w:val="center"/>
        <w:rPr>
          <w:color w:val="4C4D4F"/>
        </w:rPr>
      </w:pPr>
      <w:r>
        <w:rPr>
          <w:color w:val="4C4D4F"/>
        </w:rPr>
        <w:t>HNY APC Professional Secretariat Provided by:</w:t>
      </w:r>
    </w:p>
    <w:p w14:paraId="60F27020" w14:textId="77777777" w:rsidR="001C7976" w:rsidRDefault="001C7976" w:rsidP="001C7976">
      <w:pPr>
        <w:pStyle w:val="BodyText"/>
        <w:spacing w:before="68"/>
        <w:ind w:left="1"/>
        <w:jc w:val="center"/>
      </w:pPr>
      <w:r>
        <w:rPr>
          <w:color w:val="4C4D4F"/>
        </w:rPr>
        <w:t>Regional Drug and Therapeutics Centre</w:t>
      </w:r>
    </w:p>
    <w:p w14:paraId="4FC46799" w14:textId="77777777" w:rsidR="001C7976" w:rsidRDefault="001C7976" w:rsidP="001C7976">
      <w:pPr>
        <w:pStyle w:val="BodyText"/>
        <w:spacing w:before="4"/>
        <w:ind w:left="1"/>
        <w:jc w:val="center"/>
      </w:pPr>
      <w:r>
        <w:rPr>
          <w:color w:val="4C4D4F"/>
        </w:rPr>
        <w:t>16/17 Framlington Place, Newcastle upon Tyne, NE2 4AB</w:t>
      </w:r>
    </w:p>
    <w:p w14:paraId="3CC7289B" w14:textId="456F80FD" w:rsidR="001C7976" w:rsidRDefault="001C7976" w:rsidP="001C7976">
      <w:pPr>
        <w:tabs>
          <w:tab w:val="left" w:pos="1770"/>
          <w:tab w:val="left" w:pos="3611"/>
          <w:tab w:val="left" w:pos="6712"/>
        </w:tabs>
        <w:spacing w:before="3"/>
        <w:jc w:val="center"/>
        <w:rPr>
          <w:sz w:val="15"/>
        </w:rPr>
      </w:pPr>
      <w:bookmarkStart w:id="0" w:name="_Hlk183004187"/>
      <w:r>
        <w:rPr>
          <w:color w:val="4C4D4F"/>
          <w:spacing w:val="-5"/>
        </w:rPr>
        <w:t xml:space="preserve">Tel: </w:t>
      </w:r>
      <w:r>
        <w:rPr>
          <w:b/>
          <w:color w:val="4C4D4F"/>
        </w:rPr>
        <w:t>0191</w:t>
      </w:r>
      <w:r>
        <w:rPr>
          <w:b/>
          <w:color w:val="4C4D4F"/>
          <w:spacing w:val="15"/>
        </w:rPr>
        <w:t xml:space="preserve"> </w:t>
      </w:r>
      <w:r>
        <w:rPr>
          <w:b/>
          <w:color w:val="4C4D4F"/>
        </w:rPr>
        <w:t>213</w:t>
      </w:r>
      <w:r>
        <w:rPr>
          <w:b/>
          <w:color w:val="4C4D4F"/>
          <w:spacing w:val="5"/>
        </w:rPr>
        <w:t xml:space="preserve"> </w:t>
      </w:r>
      <w:r>
        <w:rPr>
          <w:b/>
          <w:color w:val="4C4D4F"/>
        </w:rPr>
        <w:t>7855</w:t>
      </w:r>
      <w:r>
        <w:rPr>
          <w:b/>
          <w:color w:val="4C4D4F"/>
        </w:rPr>
        <w:tab/>
      </w:r>
      <w:r>
        <w:rPr>
          <w:color w:val="4C4D4F"/>
        </w:rPr>
        <w:t>email</w:t>
      </w:r>
      <w:r w:rsidRPr="006E26D1">
        <w:rPr>
          <w:color w:val="4C4D4F"/>
        </w:rPr>
        <w:t xml:space="preserve">:  </w:t>
      </w:r>
      <w:hyperlink r:id="rId21" w:history="1">
        <w:r w:rsidR="007D5B59" w:rsidRPr="008F730E">
          <w:rPr>
            <w:rStyle w:val="Hyperlink"/>
            <w:rFonts w:cs="Arial"/>
          </w:rPr>
          <w:t>nuth.hnyapc@nhs.net</w:t>
        </w:r>
      </w:hyperlink>
      <w:r w:rsidR="007D5B59">
        <w:rPr>
          <w:color w:val="4C4D4F"/>
        </w:rPr>
        <w:t xml:space="preserve">  </w:t>
      </w:r>
      <w:r>
        <w:rPr>
          <w:color w:val="4C4D4F"/>
          <w:spacing w:val="19"/>
        </w:rPr>
        <w:t xml:space="preserve">  </w:t>
      </w:r>
      <w:r>
        <w:rPr>
          <w:color w:val="4C4D4F"/>
        </w:rPr>
        <w:t>visit:</w:t>
      </w:r>
      <w:r>
        <w:rPr>
          <w:color w:val="4C4D4F"/>
          <w:spacing w:val="4"/>
        </w:rPr>
        <w:t xml:space="preserve"> </w:t>
      </w:r>
      <w:hyperlink r:id="rId22" w:history="1">
        <w:r w:rsidRPr="00EF6157">
          <w:rPr>
            <w:rStyle w:val="Hyperlink"/>
            <w:rFonts w:cs="Arial"/>
          </w:rPr>
          <w:t>https://humberandnorthyorkshire.org.uk/area-prescribing-committee-apc/</w:t>
        </w:r>
      </w:hyperlink>
      <w:r>
        <w:t xml:space="preserve"> </w:t>
      </w:r>
    </w:p>
    <w:bookmarkEnd w:id="0"/>
    <w:p w14:paraId="3F6D9BD9" w14:textId="77777777" w:rsidR="001C7976" w:rsidRDefault="001C7976" w:rsidP="001C7976">
      <w:pPr>
        <w:ind w:left="12"/>
        <w:jc w:val="center"/>
      </w:pPr>
      <w:r>
        <w:rPr>
          <w:noProof/>
          <w:position w:val="-15"/>
          <w:lang w:eastAsia="en-GB"/>
        </w:rPr>
        <w:drawing>
          <wp:inline distT="0" distB="0" distL="0" distR="0" wp14:anchorId="146C8D26" wp14:editId="236FB79C">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3" cstate="print"/>
                    <a:stretch>
                      <a:fillRect/>
                    </a:stretch>
                  </pic:blipFill>
                  <pic:spPr>
                    <a:xfrm>
                      <a:off x="0" y="0"/>
                      <a:ext cx="295147" cy="295147"/>
                    </a:xfrm>
                    <a:prstGeom prst="rect">
                      <a:avLst/>
                    </a:prstGeom>
                  </pic:spPr>
                </pic:pic>
              </a:graphicData>
            </a:graphic>
          </wp:inline>
        </w:drawing>
      </w:r>
      <w:r>
        <w:rPr>
          <w:rFonts w:ascii="Times New Roman"/>
          <w:sz w:val="20"/>
        </w:rPr>
        <w:t xml:space="preserve">  </w:t>
      </w:r>
      <w:r>
        <w:rPr>
          <w:rFonts w:ascii="Times New Roman"/>
          <w:spacing w:val="-10"/>
          <w:sz w:val="20"/>
        </w:rPr>
        <w:t xml:space="preserve"> </w:t>
      </w:r>
      <w:hyperlink r:id="rId24">
        <w:r>
          <w:rPr>
            <w:color w:val="456DA9"/>
          </w:rPr>
          <w:t>@RDTC_Rx</w:t>
        </w:r>
      </w:hyperlink>
    </w:p>
    <w:p w14:paraId="0C19F98F" w14:textId="7835C9A3" w:rsidR="00560ADF" w:rsidRPr="00E73516" w:rsidRDefault="001C7976" w:rsidP="00E73516">
      <w:pPr>
        <w:spacing w:before="56" w:line="266" w:lineRule="auto"/>
        <w:ind w:left="613" w:right="610"/>
        <w:jc w:val="center"/>
        <w:rPr>
          <w:sz w:val="13"/>
        </w:rPr>
      </w:pPr>
      <w:r>
        <w:rPr>
          <w:color w:val="4C4D4F"/>
          <w:sz w:val="13"/>
        </w:rPr>
        <w:t>THIS DOCUMENT IS INTENDED FOR USE BY NHS HEALTHCARE PROFESSIONALS AND CANNOT BE USED FOR COMMERCIAL OR MARKETING PURPOSES. PATIENT INFORMATION ON MANY TOPICS CAN BE ACCESSED VIA NHS CHOICES</w:t>
      </w:r>
    </w:p>
    <w:sectPr w:rsidR="00560ADF" w:rsidRPr="00E73516" w:rsidSect="00BB4FF3">
      <w:type w:val="continuous"/>
      <w:pgSz w:w="16840" w:h="11910" w:orient="landscape"/>
      <w:pgMar w:top="567" w:right="520" w:bottom="993" w:left="426" w:header="720" w:footer="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65566" w14:textId="77777777" w:rsidR="00286647" w:rsidRDefault="00286647" w:rsidP="007909C3">
      <w:r>
        <w:separator/>
      </w:r>
    </w:p>
  </w:endnote>
  <w:endnote w:type="continuationSeparator" w:id="0">
    <w:p w14:paraId="66954E71" w14:textId="77777777" w:rsidR="00286647" w:rsidRDefault="00286647"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E42F" w14:textId="68DDE0B8" w:rsidR="00B47BFE" w:rsidRDefault="00B47BFE" w:rsidP="007909C3">
    <w:pPr>
      <w:pStyle w:val="Footer"/>
    </w:pPr>
    <w:r>
      <w:rPr>
        <w:noProof/>
        <w:sz w:val="13"/>
        <w:lang w:eastAsia="en-GB"/>
      </w:rPr>
      <w:drawing>
        <wp:inline distT="0" distB="0" distL="0" distR="0" wp14:anchorId="3CDC6C78" wp14:editId="6F3A1421">
          <wp:extent cx="539497" cy="222504"/>
          <wp:effectExtent l="0" t="0" r="0" b="6350"/>
          <wp:docPr id="442185357" name="Picture 44218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rsidR="003A0939">
      <w:tab/>
    </w:r>
    <w:proofErr w:type="gramStart"/>
    <w:r w:rsidR="003A0939">
      <w:tab/>
    </w:r>
    <w:r w:rsidRPr="00B47BFE">
      <w:t xml:space="preserve">  </w:t>
    </w:r>
    <w:r w:rsidR="00CC2256">
      <w:t>December</w:t>
    </w:r>
    <w:proofErr w:type="gramEnd"/>
    <w:r w:rsidRPr="00B47BFE">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0FD0" w14:textId="37CB14CE" w:rsidR="00B47BFE" w:rsidRDefault="00B47BFE" w:rsidP="007909C3">
    <w:pPr>
      <w:pStyle w:val="Footer"/>
    </w:pPr>
    <w:r>
      <w:rPr>
        <w:noProof/>
        <w:sz w:val="13"/>
        <w:lang w:eastAsia="en-GB"/>
      </w:rPr>
      <w:drawing>
        <wp:inline distT="0" distB="0" distL="0" distR="0" wp14:anchorId="4067C498" wp14:editId="67EDCD6A">
          <wp:extent cx="539497" cy="222504"/>
          <wp:effectExtent l="0" t="0" r="0" b="6350"/>
          <wp:docPr id="1715799634" name="Picture 171579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Produced by the Regional Drug and Therapeutics Centre</w:t>
    </w:r>
    <w:r w:rsidR="009A721C">
      <w:tab/>
    </w:r>
    <w:r w:rsidR="009A721C">
      <w:tab/>
    </w:r>
    <w:r w:rsidR="009A721C">
      <w:tab/>
    </w:r>
    <w:r w:rsidR="009A721C">
      <w:tab/>
    </w:r>
    <w:r w:rsidR="009A721C">
      <w:tab/>
    </w:r>
    <w:r w:rsidR="009A721C">
      <w:tab/>
    </w:r>
    <w:r w:rsidR="009A721C">
      <w:tab/>
    </w:r>
    <w:r w:rsidR="009A721C">
      <w:tab/>
    </w:r>
    <w:r w:rsidR="009A721C">
      <w:tab/>
    </w:r>
    <w:r w:rsidR="00C8733F">
      <w:t>March</w:t>
    </w:r>
    <w:r w:rsidR="00040A7D">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C280" w14:textId="3B31FCB7" w:rsidR="00C97823" w:rsidRDefault="00FC005D" w:rsidP="007909C3">
    <w:pPr>
      <w:pStyle w:val="Footer"/>
    </w:pPr>
    <w:r>
      <w:rPr>
        <w:noProof/>
        <w:sz w:val="13"/>
        <w:lang w:eastAsia="en-GB"/>
      </w:rPr>
      <w:drawing>
        <wp:inline distT="0" distB="0" distL="0" distR="0" wp14:anchorId="65C7F0BF" wp14:editId="426BAA20">
          <wp:extent cx="539497" cy="222504"/>
          <wp:effectExtent l="0" t="0" r="0" b="6350"/>
          <wp:docPr id="1796720444" name="Picture 179672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rsidR="003A0939">
      <w:tab/>
    </w:r>
    <w:r w:rsidR="003A0939">
      <w:tab/>
    </w:r>
    <w:r w:rsidR="00EB2F2B">
      <w:t>February</w:t>
    </w:r>
    <w:r w:rsidR="00040A7D">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1216140623" name="Picture 121614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F20F" w14:textId="77777777" w:rsidR="00286647" w:rsidRDefault="00286647" w:rsidP="007909C3">
      <w:r>
        <w:separator/>
      </w:r>
    </w:p>
  </w:footnote>
  <w:footnote w:type="continuationSeparator" w:id="0">
    <w:p w14:paraId="37B291DE" w14:textId="77777777" w:rsidR="00286647" w:rsidRDefault="00286647" w:rsidP="007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5F1B6" w14:textId="4768F61B" w:rsidR="009440BC" w:rsidRDefault="0094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535C" w14:textId="20B64526" w:rsidR="009440BC" w:rsidRDefault="00944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FEB2F" w14:textId="714A3891" w:rsidR="009440BC" w:rsidRDefault="009440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448E" w14:textId="693B7E05" w:rsidR="009440BC" w:rsidRDefault="009440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065C" w14:textId="2A5E81E6" w:rsidR="009440BC" w:rsidRDefault="00944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28FF" w14:textId="0B878665" w:rsidR="009440BC" w:rsidRDefault="0094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BF"/>
    <w:multiLevelType w:val="hybridMultilevel"/>
    <w:tmpl w:val="8FC4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85E9F"/>
    <w:multiLevelType w:val="hybridMultilevel"/>
    <w:tmpl w:val="926E2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194D70"/>
    <w:multiLevelType w:val="hybridMultilevel"/>
    <w:tmpl w:val="FE26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42594"/>
    <w:multiLevelType w:val="hybridMultilevel"/>
    <w:tmpl w:val="6CA2E71E"/>
    <w:lvl w:ilvl="0" w:tplc="1E16A0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5114"/>
    <w:multiLevelType w:val="hybridMultilevel"/>
    <w:tmpl w:val="5866B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767B9"/>
    <w:multiLevelType w:val="hybridMultilevel"/>
    <w:tmpl w:val="C79A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6557B"/>
    <w:multiLevelType w:val="hybridMultilevel"/>
    <w:tmpl w:val="115C4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1435F"/>
    <w:multiLevelType w:val="hybridMultilevel"/>
    <w:tmpl w:val="C1CC3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0B0FC3"/>
    <w:multiLevelType w:val="multilevel"/>
    <w:tmpl w:val="C27A7EA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1057B79"/>
    <w:multiLevelType w:val="hybridMultilevel"/>
    <w:tmpl w:val="BA6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B707A8"/>
    <w:multiLevelType w:val="hybridMultilevel"/>
    <w:tmpl w:val="E3F4B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DE67A9"/>
    <w:multiLevelType w:val="hybridMultilevel"/>
    <w:tmpl w:val="152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351A25"/>
    <w:multiLevelType w:val="hybridMultilevel"/>
    <w:tmpl w:val="76EA7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BA2AD2"/>
    <w:multiLevelType w:val="hybridMultilevel"/>
    <w:tmpl w:val="C7E42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BD54C9E"/>
    <w:multiLevelType w:val="hybridMultilevel"/>
    <w:tmpl w:val="23F4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83A75"/>
    <w:multiLevelType w:val="hybridMultilevel"/>
    <w:tmpl w:val="CD02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F3481"/>
    <w:multiLevelType w:val="hybridMultilevel"/>
    <w:tmpl w:val="EADE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5A22EF"/>
    <w:multiLevelType w:val="hybridMultilevel"/>
    <w:tmpl w:val="E776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7B5AB9"/>
    <w:multiLevelType w:val="hybridMultilevel"/>
    <w:tmpl w:val="7486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06920"/>
    <w:multiLevelType w:val="hybridMultilevel"/>
    <w:tmpl w:val="8744E0C4"/>
    <w:lvl w:ilvl="0" w:tplc="83E68560">
      <w:numFmt w:val="bullet"/>
      <w:lvlText w:val="•"/>
      <w:lvlJc w:val="left"/>
      <w:pPr>
        <w:ind w:left="524" w:hanging="400"/>
      </w:pPr>
      <w:rPr>
        <w:rFonts w:ascii="Helvetica" w:eastAsia="Helvetica" w:hAnsi="Helvetica" w:cs="Helvetica" w:hint="default"/>
        <w:b/>
        <w:bCs/>
        <w:color w:val="4C4D4F"/>
        <w:w w:val="100"/>
        <w:sz w:val="18"/>
        <w:szCs w:val="18"/>
        <w:lang w:val="en-GB" w:eastAsia="en-US" w:bidi="ar-SA"/>
      </w:rPr>
    </w:lvl>
    <w:lvl w:ilvl="1" w:tplc="1D06E420">
      <w:numFmt w:val="bullet"/>
      <w:lvlText w:val="•"/>
      <w:lvlJc w:val="left"/>
      <w:pPr>
        <w:ind w:left="1562" w:hanging="400"/>
      </w:pPr>
      <w:rPr>
        <w:rFonts w:hint="default"/>
        <w:lang w:val="en-GB" w:eastAsia="en-US" w:bidi="ar-SA"/>
      </w:rPr>
    </w:lvl>
    <w:lvl w:ilvl="2" w:tplc="55E49446">
      <w:numFmt w:val="bullet"/>
      <w:lvlText w:val="•"/>
      <w:lvlJc w:val="left"/>
      <w:pPr>
        <w:ind w:left="2605" w:hanging="400"/>
      </w:pPr>
      <w:rPr>
        <w:rFonts w:hint="default"/>
        <w:lang w:val="en-GB" w:eastAsia="en-US" w:bidi="ar-SA"/>
      </w:rPr>
    </w:lvl>
    <w:lvl w:ilvl="3" w:tplc="ABDE0898">
      <w:numFmt w:val="bullet"/>
      <w:lvlText w:val="•"/>
      <w:lvlJc w:val="left"/>
      <w:pPr>
        <w:ind w:left="3647" w:hanging="400"/>
      </w:pPr>
      <w:rPr>
        <w:rFonts w:hint="default"/>
        <w:lang w:val="en-GB" w:eastAsia="en-US" w:bidi="ar-SA"/>
      </w:rPr>
    </w:lvl>
    <w:lvl w:ilvl="4" w:tplc="FC76DDF4">
      <w:numFmt w:val="bullet"/>
      <w:lvlText w:val="•"/>
      <w:lvlJc w:val="left"/>
      <w:pPr>
        <w:ind w:left="4690" w:hanging="400"/>
      </w:pPr>
      <w:rPr>
        <w:rFonts w:hint="default"/>
        <w:lang w:val="en-GB" w:eastAsia="en-US" w:bidi="ar-SA"/>
      </w:rPr>
    </w:lvl>
    <w:lvl w:ilvl="5" w:tplc="670C94EE">
      <w:numFmt w:val="bullet"/>
      <w:lvlText w:val="•"/>
      <w:lvlJc w:val="left"/>
      <w:pPr>
        <w:ind w:left="5732" w:hanging="400"/>
      </w:pPr>
      <w:rPr>
        <w:rFonts w:hint="default"/>
        <w:lang w:val="en-GB" w:eastAsia="en-US" w:bidi="ar-SA"/>
      </w:rPr>
    </w:lvl>
    <w:lvl w:ilvl="6" w:tplc="DC60DB94">
      <w:numFmt w:val="bullet"/>
      <w:lvlText w:val="•"/>
      <w:lvlJc w:val="left"/>
      <w:pPr>
        <w:ind w:left="6775" w:hanging="400"/>
      </w:pPr>
      <w:rPr>
        <w:rFonts w:hint="default"/>
        <w:lang w:val="en-GB" w:eastAsia="en-US" w:bidi="ar-SA"/>
      </w:rPr>
    </w:lvl>
    <w:lvl w:ilvl="7" w:tplc="54FE16EA">
      <w:numFmt w:val="bullet"/>
      <w:lvlText w:val="•"/>
      <w:lvlJc w:val="left"/>
      <w:pPr>
        <w:ind w:left="7817" w:hanging="400"/>
      </w:pPr>
      <w:rPr>
        <w:rFonts w:hint="default"/>
        <w:lang w:val="en-GB" w:eastAsia="en-US" w:bidi="ar-SA"/>
      </w:rPr>
    </w:lvl>
    <w:lvl w:ilvl="8" w:tplc="4FDC312E">
      <w:numFmt w:val="bullet"/>
      <w:lvlText w:val="•"/>
      <w:lvlJc w:val="left"/>
      <w:pPr>
        <w:ind w:left="8860" w:hanging="400"/>
      </w:pPr>
      <w:rPr>
        <w:rFonts w:hint="default"/>
        <w:lang w:val="en-GB" w:eastAsia="en-US" w:bidi="ar-SA"/>
      </w:rPr>
    </w:lvl>
  </w:abstractNum>
  <w:abstractNum w:abstractNumId="21" w15:restartNumberingAfterBreak="0">
    <w:nsid w:val="38932EDF"/>
    <w:multiLevelType w:val="hybridMultilevel"/>
    <w:tmpl w:val="9E38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39055A"/>
    <w:multiLevelType w:val="hybridMultilevel"/>
    <w:tmpl w:val="8B58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52D60"/>
    <w:multiLevelType w:val="hybridMultilevel"/>
    <w:tmpl w:val="04B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00CB4"/>
    <w:multiLevelType w:val="hybridMultilevel"/>
    <w:tmpl w:val="01242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AD2401"/>
    <w:multiLevelType w:val="hybridMultilevel"/>
    <w:tmpl w:val="19C88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AF7CED"/>
    <w:multiLevelType w:val="hybridMultilevel"/>
    <w:tmpl w:val="C3368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0F055C"/>
    <w:multiLevelType w:val="hybridMultilevel"/>
    <w:tmpl w:val="9B92ABBA"/>
    <w:lvl w:ilvl="0" w:tplc="9A8433AE">
      <w:numFmt w:val="bullet"/>
      <w:lvlText w:val="•"/>
      <w:lvlJc w:val="left"/>
      <w:pPr>
        <w:ind w:left="524" w:hanging="400"/>
      </w:pPr>
      <w:rPr>
        <w:rFonts w:ascii="Helvetica" w:eastAsia="Helvetica" w:hAnsi="Helvetica" w:cs="Helvetica" w:hint="default"/>
        <w:color w:val="4C4D4F"/>
        <w:w w:val="100"/>
        <w:sz w:val="18"/>
        <w:szCs w:val="18"/>
        <w:lang w:val="en-GB" w:eastAsia="en-US" w:bidi="ar-SA"/>
      </w:rPr>
    </w:lvl>
    <w:lvl w:ilvl="1" w:tplc="018A444E">
      <w:numFmt w:val="bullet"/>
      <w:lvlText w:val="◦"/>
      <w:lvlJc w:val="left"/>
      <w:pPr>
        <w:ind w:left="980" w:hanging="461"/>
      </w:pPr>
      <w:rPr>
        <w:rFonts w:ascii="Times New Roman" w:eastAsia="Times New Roman" w:hAnsi="Times New Roman" w:cs="Times New Roman" w:hint="default"/>
        <w:color w:val="4C4D4F"/>
        <w:w w:val="100"/>
        <w:sz w:val="18"/>
        <w:szCs w:val="18"/>
        <w:lang w:val="en-GB" w:eastAsia="en-US" w:bidi="ar-SA"/>
      </w:rPr>
    </w:lvl>
    <w:lvl w:ilvl="2" w:tplc="BAD4DF0C">
      <w:numFmt w:val="bullet"/>
      <w:lvlText w:val="•"/>
      <w:lvlJc w:val="left"/>
      <w:pPr>
        <w:ind w:left="2087" w:hanging="461"/>
      </w:pPr>
      <w:rPr>
        <w:rFonts w:hint="default"/>
        <w:lang w:val="en-GB" w:eastAsia="en-US" w:bidi="ar-SA"/>
      </w:rPr>
    </w:lvl>
    <w:lvl w:ilvl="3" w:tplc="4F5865D4">
      <w:numFmt w:val="bullet"/>
      <w:lvlText w:val="•"/>
      <w:lvlJc w:val="left"/>
      <w:pPr>
        <w:ind w:left="3194" w:hanging="461"/>
      </w:pPr>
      <w:rPr>
        <w:rFonts w:hint="default"/>
        <w:lang w:val="en-GB" w:eastAsia="en-US" w:bidi="ar-SA"/>
      </w:rPr>
    </w:lvl>
    <w:lvl w:ilvl="4" w:tplc="D444CEF6">
      <w:numFmt w:val="bullet"/>
      <w:lvlText w:val="•"/>
      <w:lvlJc w:val="left"/>
      <w:pPr>
        <w:ind w:left="4301" w:hanging="461"/>
      </w:pPr>
      <w:rPr>
        <w:rFonts w:hint="default"/>
        <w:lang w:val="en-GB" w:eastAsia="en-US" w:bidi="ar-SA"/>
      </w:rPr>
    </w:lvl>
    <w:lvl w:ilvl="5" w:tplc="63D099EC">
      <w:numFmt w:val="bullet"/>
      <w:lvlText w:val="•"/>
      <w:lvlJc w:val="left"/>
      <w:pPr>
        <w:ind w:left="5409" w:hanging="461"/>
      </w:pPr>
      <w:rPr>
        <w:rFonts w:hint="default"/>
        <w:lang w:val="en-GB" w:eastAsia="en-US" w:bidi="ar-SA"/>
      </w:rPr>
    </w:lvl>
    <w:lvl w:ilvl="6" w:tplc="706C4FEA">
      <w:numFmt w:val="bullet"/>
      <w:lvlText w:val="•"/>
      <w:lvlJc w:val="left"/>
      <w:pPr>
        <w:ind w:left="6516" w:hanging="461"/>
      </w:pPr>
      <w:rPr>
        <w:rFonts w:hint="default"/>
        <w:lang w:val="en-GB" w:eastAsia="en-US" w:bidi="ar-SA"/>
      </w:rPr>
    </w:lvl>
    <w:lvl w:ilvl="7" w:tplc="2A0ECC5C">
      <w:numFmt w:val="bullet"/>
      <w:lvlText w:val="•"/>
      <w:lvlJc w:val="left"/>
      <w:pPr>
        <w:ind w:left="7623" w:hanging="461"/>
      </w:pPr>
      <w:rPr>
        <w:rFonts w:hint="default"/>
        <w:lang w:val="en-GB" w:eastAsia="en-US" w:bidi="ar-SA"/>
      </w:rPr>
    </w:lvl>
    <w:lvl w:ilvl="8" w:tplc="7960F2B4">
      <w:numFmt w:val="bullet"/>
      <w:lvlText w:val="•"/>
      <w:lvlJc w:val="left"/>
      <w:pPr>
        <w:ind w:left="8730" w:hanging="461"/>
      </w:pPr>
      <w:rPr>
        <w:rFonts w:hint="default"/>
        <w:lang w:val="en-GB" w:eastAsia="en-US" w:bidi="ar-SA"/>
      </w:rPr>
    </w:lvl>
  </w:abstractNum>
  <w:abstractNum w:abstractNumId="28" w15:restartNumberingAfterBreak="0">
    <w:nsid w:val="55AC7E33"/>
    <w:multiLevelType w:val="hybridMultilevel"/>
    <w:tmpl w:val="6D888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3D593A"/>
    <w:multiLevelType w:val="hybridMultilevel"/>
    <w:tmpl w:val="A96C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FC56AB"/>
    <w:multiLevelType w:val="hybridMultilevel"/>
    <w:tmpl w:val="611CF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3515E8"/>
    <w:multiLevelType w:val="hybridMultilevel"/>
    <w:tmpl w:val="3B86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02A67"/>
    <w:multiLevelType w:val="hybridMultilevel"/>
    <w:tmpl w:val="B7D2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E10DE"/>
    <w:multiLevelType w:val="hybridMultilevel"/>
    <w:tmpl w:val="AC6E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EA161A"/>
    <w:multiLevelType w:val="hybridMultilevel"/>
    <w:tmpl w:val="0A780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83112"/>
    <w:multiLevelType w:val="hybridMultilevel"/>
    <w:tmpl w:val="85A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860C0"/>
    <w:multiLevelType w:val="hybridMultilevel"/>
    <w:tmpl w:val="F73E9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B45461"/>
    <w:multiLevelType w:val="hybridMultilevel"/>
    <w:tmpl w:val="ABD22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357995"/>
    <w:multiLevelType w:val="hybridMultilevel"/>
    <w:tmpl w:val="7322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170D9"/>
    <w:multiLevelType w:val="hybridMultilevel"/>
    <w:tmpl w:val="107E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70070"/>
    <w:multiLevelType w:val="hybridMultilevel"/>
    <w:tmpl w:val="0CD823F4"/>
    <w:lvl w:ilvl="0" w:tplc="1E16A0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869D3"/>
    <w:multiLevelType w:val="hybridMultilevel"/>
    <w:tmpl w:val="C0F2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F56B8"/>
    <w:multiLevelType w:val="hybridMultilevel"/>
    <w:tmpl w:val="3F9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82A71"/>
    <w:multiLevelType w:val="hybridMultilevel"/>
    <w:tmpl w:val="E35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4505F"/>
    <w:multiLevelType w:val="hybridMultilevel"/>
    <w:tmpl w:val="04BC1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7F1889"/>
    <w:multiLevelType w:val="hybridMultilevel"/>
    <w:tmpl w:val="D9A06FCA"/>
    <w:lvl w:ilvl="0" w:tplc="0A6AF910">
      <w:start w:val="1"/>
      <w:numFmt w:val="decimal"/>
      <w:lvlText w:val="%1."/>
      <w:lvlJc w:val="left"/>
      <w:pPr>
        <w:ind w:left="420" w:hanging="300"/>
      </w:pPr>
      <w:rPr>
        <w:rFonts w:ascii="Helvetica" w:eastAsia="Helvetica" w:hAnsi="Helvetica" w:cs="Helvetica" w:hint="default"/>
        <w:color w:val="231F20"/>
        <w:spacing w:val="-8"/>
        <w:w w:val="100"/>
        <w:sz w:val="16"/>
        <w:szCs w:val="16"/>
        <w:lang w:val="en-GB" w:eastAsia="en-US" w:bidi="ar-SA"/>
      </w:rPr>
    </w:lvl>
    <w:lvl w:ilvl="1" w:tplc="652237F8">
      <w:numFmt w:val="bullet"/>
      <w:lvlText w:val="•"/>
      <w:lvlJc w:val="left"/>
      <w:pPr>
        <w:ind w:left="1472" w:hanging="300"/>
      </w:pPr>
      <w:rPr>
        <w:rFonts w:hint="default"/>
        <w:lang w:val="en-GB" w:eastAsia="en-US" w:bidi="ar-SA"/>
      </w:rPr>
    </w:lvl>
    <w:lvl w:ilvl="2" w:tplc="9D569750">
      <w:numFmt w:val="bullet"/>
      <w:lvlText w:val="•"/>
      <w:lvlJc w:val="left"/>
      <w:pPr>
        <w:ind w:left="2525" w:hanging="300"/>
      </w:pPr>
      <w:rPr>
        <w:rFonts w:hint="default"/>
        <w:lang w:val="en-GB" w:eastAsia="en-US" w:bidi="ar-SA"/>
      </w:rPr>
    </w:lvl>
    <w:lvl w:ilvl="3" w:tplc="87625336">
      <w:numFmt w:val="bullet"/>
      <w:lvlText w:val="•"/>
      <w:lvlJc w:val="left"/>
      <w:pPr>
        <w:ind w:left="3577" w:hanging="300"/>
      </w:pPr>
      <w:rPr>
        <w:rFonts w:hint="default"/>
        <w:lang w:val="en-GB" w:eastAsia="en-US" w:bidi="ar-SA"/>
      </w:rPr>
    </w:lvl>
    <w:lvl w:ilvl="4" w:tplc="996C6A82">
      <w:numFmt w:val="bullet"/>
      <w:lvlText w:val="•"/>
      <w:lvlJc w:val="left"/>
      <w:pPr>
        <w:ind w:left="4630" w:hanging="300"/>
      </w:pPr>
      <w:rPr>
        <w:rFonts w:hint="default"/>
        <w:lang w:val="en-GB" w:eastAsia="en-US" w:bidi="ar-SA"/>
      </w:rPr>
    </w:lvl>
    <w:lvl w:ilvl="5" w:tplc="6BFAD874">
      <w:numFmt w:val="bullet"/>
      <w:lvlText w:val="•"/>
      <w:lvlJc w:val="left"/>
      <w:pPr>
        <w:ind w:left="5682" w:hanging="300"/>
      </w:pPr>
      <w:rPr>
        <w:rFonts w:hint="default"/>
        <w:lang w:val="en-GB" w:eastAsia="en-US" w:bidi="ar-SA"/>
      </w:rPr>
    </w:lvl>
    <w:lvl w:ilvl="6" w:tplc="9C2E0926">
      <w:numFmt w:val="bullet"/>
      <w:lvlText w:val="•"/>
      <w:lvlJc w:val="left"/>
      <w:pPr>
        <w:ind w:left="6735" w:hanging="300"/>
      </w:pPr>
      <w:rPr>
        <w:rFonts w:hint="default"/>
        <w:lang w:val="en-GB" w:eastAsia="en-US" w:bidi="ar-SA"/>
      </w:rPr>
    </w:lvl>
    <w:lvl w:ilvl="7" w:tplc="77206462">
      <w:numFmt w:val="bullet"/>
      <w:lvlText w:val="•"/>
      <w:lvlJc w:val="left"/>
      <w:pPr>
        <w:ind w:left="7787" w:hanging="300"/>
      </w:pPr>
      <w:rPr>
        <w:rFonts w:hint="default"/>
        <w:lang w:val="en-GB" w:eastAsia="en-US" w:bidi="ar-SA"/>
      </w:rPr>
    </w:lvl>
    <w:lvl w:ilvl="8" w:tplc="A45A850C">
      <w:numFmt w:val="bullet"/>
      <w:lvlText w:val="•"/>
      <w:lvlJc w:val="left"/>
      <w:pPr>
        <w:ind w:left="8840" w:hanging="300"/>
      </w:pPr>
      <w:rPr>
        <w:rFonts w:hint="default"/>
        <w:lang w:val="en-GB" w:eastAsia="en-US" w:bidi="ar-SA"/>
      </w:rPr>
    </w:lvl>
  </w:abstractNum>
  <w:num w:numId="1" w16cid:durableId="1218276648">
    <w:abstractNumId w:val="45"/>
  </w:num>
  <w:num w:numId="2" w16cid:durableId="1109424914">
    <w:abstractNumId w:val="27"/>
  </w:num>
  <w:num w:numId="3" w16cid:durableId="595023879">
    <w:abstractNumId w:val="20"/>
  </w:num>
  <w:num w:numId="4" w16cid:durableId="124087497">
    <w:abstractNumId w:val="15"/>
  </w:num>
  <w:num w:numId="5" w16cid:durableId="914127018">
    <w:abstractNumId w:val="5"/>
  </w:num>
  <w:num w:numId="6" w16cid:durableId="1287618281">
    <w:abstractNumId w:val="42"/>
  </w:num>
  <w:num w:numId="7" w16cid:durableId="390009698">
    <w:abstractNumId w:val="38"/>
  </w:num>
  <w:num w:numId="8" w16cid:durableId="1157722454">
    <w:abstractNumId w:val="39"/>
  </w:num>
  <w:num w:numId="9" w16cid:durableId="25984793">
    <w:abstractNumId w:val="41"/>
  </w:num>
  <w:num w:numId="10" w16cid:durableId="771364033">
    <w:abstractNumId w:val="3"/>
  </w:num>
  <w:num w:numId="11" w16cid:durableId="1908227811">
    <w:abstractNumId w:val="22"/>
  </w:num>
  <w:num w:numId="12" w16cid:durableId="602147766">
    <w:abstractNumId w:val="40"/>
  </w:num>
  <w:num w:numId="13" w16cid:durableId="1036390419">
    <w:abstractNumId w:val="35"/>
  </w:num>
  <w:num w:numId="14" w16cid:durableId="444925904">
    <w:abstractNumId w:val="2"/>
  </w:num>
  <w:num w:numId="15" w16cid:durableId="1703355786">
    <w:abstractNumId w:val="19"/>
  </w:num>
  <w:num w:numId="16" w16cid:durableId="195311047">
    <w:abstractNumId w:val="16"/>
  </w:num>
  <w:num w:numId="17" w16cid:durableId="935022829">
    <w:abstractNumId w:val="43"/>
  </w:num>
  <w:num w:numId="18" w16cid:durableId="913125461">
    <w:abstractNumId w:val="8"/>
  </w:num>
  <w:num w:numId="19" w16cid:durableId="2106072137">
    <w:abstractNumId w:val="13"/>
  </w:num>
  <w:num w:numId="20" w16cid:durableId="699745356">
    <w:abstractNumId w:val="36"/>
  </w:num>
  <w:num w:numId="21" w16cid:durableId="1515459692">
    <w:abstractNumId w:val="37"/>
  </w:num>
  <w:num w:numId="22" w16cid:durableId="143006363">
    <w:abstractNumId w:val="12"/>
  </w:num>
  <w:num w:numId="23" w16cid:durableId="808085581">
    <w:abstractNumId w:val="10"/>
  </w:num>
  <w:num w:numId="24" w16cid:durableId="248585447">
    <w:abstractNumId w:val="4"/>
  </w:num>
  <w:num w:numId="25" w16cid:durableId="440882360">
    <w:abstractNumId w:val="31"/>
  </w:num>
  <w:num w:numId="26" w16cid:durableId="8141005">
    <w:abstractNumId w:val="9"/>
  </w:num>
  <w:num w:numId="27" w16cid:durableId="1872379938">
    <w:abstractNumId w:val="17"/>
  </w:num>
  <w:num w:numId="28" w16cid:durableId="227035408">
    <w:abstractNumId w:val="7"/>
  </w:num>
  <w:num w:numId="29" w16cid:durableId="907764528">
    <w:abstractNumId w:val="18"/>
  </w:num>
  <w:num w:numId="30" w16cid:durableId="1472208441">
    <w:abstractNumId w:val="1"/>
  </w:num>
  <w:num w:numId="31" w16cid:durableId="1556505847">
    <w:abstractNumId w:val="29"/>
  </w:num>
  <w:num w:numId="32" w16cid:durableId="897785425">
    <w:abstractNumId w:val="30"/>
  </w:num>
  <w:num w:numId="33" w16cid:durableId="508714467">
    <w:abstractNumId w:val="44"/>
  </w:num>
  <w:num w:numId="34" w16cid:durableId="246572895">
    <w:abstractNumId w:val="24"/>
  </w:num>
  <w:num w:numId="35" w16cid:durableId="621427748">
    <w:abstractNumId w:val="6"/>
  </w:num>
  <w:num w:numId="36" w16cid:durableId="457333553">
    <w:abstractNumId w:val="34"/>
  </w:num>
  <w:num w:numId="37" w16cid:durableId="1778254379">
    <w:abstractNumId w:val="0"/>
  </w:num>
  <w:num w:numId="38" w16cid:durableId="966277049">
    <w:abstractNumId w:val="11"/>
  </w:num>
  <w:num w:numId="39" w16cid:durableId="595483652">
    <w:abstractNumId w:val="26"/>
  </w:num>
  <w:num w:numId="40" w16cid:durableId="301888896">
    <w:abstractNumId w:val="21"/>
  </w:num>
  <w:num w:numId="41" w16cid:durableId="226111666">
    <w:abstractNumId w:val="28"/>
  </w:num>
  <w:num w:numId="42" w16cid:durableId="1415130065">
    <w:abstractNumId w:val="23"/>
  </w:num>
  <w:num w:numId="43" w16cid:durableId="1065374138">
    <w:abstractNumId w:val="25"/>
  </w:num>
  <w:num w:numId="44" w16cid:durableId="582105981">
    <w:abstractNumId w:val="33"/>
  </w:num>
  <w:num w:numId="45" w16cid:durableId="1127815460">
    <w:abstractNumId w:val="32"/>
  </w:num>
  <w:num w:numId="46" w16cid:durableId="8951605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DF"/>
    <w:rsid w:val="0003501F"/>
    <w:rsid w:val="00040A7D"/>
    <w:rsid w:val="000445EA"/>
    <w:rsid w:val="00051DB8"/>
    <w:rsid w:val="00052D53"/>
    <w:rsid w:val="00053A7D"/>
    <w:rsid w:val="000676AA"/>
    <w:rsid w:val="0007607C"/>
    <w:rsid w:val="00087638"/>
    <w:rsid w:val="000919D1"/>
    <w:rsid w:val="000A1DB8"/>
    <w:rsid w:val="000A1EB8"/>
    <w:rsid w:val="000A4068"/>
    <w:rsid w:val="000C4518"/>
    <w:rsid w:val="00151934"/>
    <w:rsid w:val="001573FC"/>
    <w:rsid w:val="00163CC8"/>
    <w:rsid w:val="00164BE9"/>
    <w:rsid w:val="001849DB"/>
    <w:rsid w:val="001B29F3"/>
    <w:rsid w:val="001C291E"/>
    <w:rsid w:val="001C7976"/>
    <w:rsid w:val="001D1284"/>
    <w:rsid w:val="001F0421"/>
    <w:rsid w:val="001F28EB"/>
    <w:rsid w:val="00212556"/>
    <w:rsid w:val="002243E0"/>
    <w:rsid w:val="00231E30"/>
    <w:rsid w:val="00270030"/>
    <w:rsid w:val="0028057F"/>
    <w:rsid w:val="0028306A"/>
    <w:rsid w:val="00284386"/>
    <w:rsid w:val="00286647"/>
    <w:rsid w:val="00287462"/>
    <w:rsid w:val="00290E73"/>
    <w:rsid w:val="00291455"/>
    <w:rsid w:val="00293208"/>
    <w:rsid w:val="00297D20"/>
    <w:rsid w:val="002B7031"/>
    <w:rsid w:val="002C038B"/>
    <w:rsid w:val="002D44AD"/>
    <w:rsid w:val="002D5A93"/>
    <w:rsid w:val="002D6B55"/>
    <w:rsid w:val="00310A03"/>
    <w:rsid w:val="00311322"/>
    <w:rsid w:val="00317A38"/>
    <w:rsid w:val="00341777"/>
    <w:rsid w:val="00364888"/>
    <w:rsid w:val="003662FE"/>
    <w:rsid w:val="003675E8"/>
    <w:rsid w:val="003679C5"/>
    <w:rsid w:val="003721C9"/>
    <w:rsid w:val="00376D53"/>
    <w:rsid w:val="00383A54"/>
    <w:rsid w:val="003A0939"/>
    <w:rsid w:val="003A0AA7"/>
    <w:rsid w:val="003A3E0B"/>
    <w:rsid w:val="003B1091"/>
    <w:rsid w:val="003B42C3"/>
    <w:rsid w:val="003F1A3A"/>
    <w:rsid w:val="00432265"/>
    <w:rsid w:val="00433C32"/>
    <w:rsid w:val="00436283"/>
    <w:rsid w:val="00447DF4"/>
    <w:rsid w:val="00472798"/>
    <w:rsid w:val="00487D30"/>
    <w:rsid w:val="004A08AE"/>
    <w:rsid w:val="004B3656"/>
    <w:rsid w:val="004B7D44"/>
    <w:rsid w:val="004C6BED"/>
    <w:rsid w:val="004D2801"/>
    <w:rsid w:val="004E5F2D"/>
    <w:rsid w:val="004F4F2C"/>
    <w:rsid w:val="00521D47"/>
    <w:rsid w:val="00560ADF"/>
    <w:rsid w:val="005617A9"/>
    <w:rsid w:val="00562B5A"/>
    <w:rsid w:val="00566C50"/>
    <w:rsid w:val="005B1A2C"/>
    <w:rsid w:val="005B6E51"/>
    <w:rsid w:val="005C0229"/>
    <w:rsid w:val="005C3CE2"/>
    <w:rsid w:val="005F5C08"/>
    <w:rsid w:val="00623832"/>
    <w:rsid w:val="00630CB4"/>
    <w:rsid w:val="00646CBD"/>
    <w:rsid w:val="0067124F"/>
    <w:rsid w:val="00674875"/>
    <w:rsid w:val="0068542C"/>
    <w:rsid w:val="00686FE4"/>
    <w:rsid w:val="006B4F2B"/>
    <w:rsid w:val="006D4B89"/>
    <w:rsid w:val="006E3D7B"/>
    <w:rsid w:val="006E665B"/>
    <w:rsid w:val="006F093A"/>
    <w:rsid w:val="00712AD4"/>
    <w:rsid w:val="00726EEF"/>
    <w:rsid w:val="00732CE6"/>
    <w:rsid w:val="00734652"/>
    <w:rsid w:val="0079078F"/>
    <w:rsid w:val="007909C3"/>
    <w:rsid w:val="007A31AE"/>
    <w:rsid w:val="007A6E02"/>
    <w:rsid w:val="007D5B59"/>
    <w:rsid w:val="007F044F"/>
    <w:rsid w:val="007F1855"/>
    <w:rsid w:val="008072D2"/>
    <w:rsid w:val="00842E14"/>
    <w:rsid w:val="008606FE"/>
    <w:rsid w:val="00862815"/>
    <w:rsid w:val="00885EE2"/>
    <w:rsid w:val="00894352"/>
    <w:rsid w:val="00897F5D"/>
    <w:rsid w:val="008C0B9E"/>
    <w:rsid w:val="008D6DE1"/>
    <w:rsid w:val="009108ED"/>
    <w:rsid w:val="00922D21"/>
    <w:rsid w:val="00931096"/>
    <w:rsid w:val="009440BC"/>
    <w:rsid w:val="0095030D"/>
    <w:rsid w:val="00960163"/>
    <w:rsid w:val="00983E23"/>
    <w:rsid w:val="009846C4"/>
    <w:rsid w:val="00985184"/>
    <w:rsid w:val="009A721C"/>
    <w:rsid w:val="009C1AA0"/>
    <w:rsid w:val="009C318B"/>
    <w:rsid w:val="009C5057"/>
    <w:rsid w:val="009E5F4F"/>
    <w:rsid w:val="009F1555"/>
    <w:rsid w:val="00A01100"/>
    <w:rsid w:val="00A12F07"/>
    <w:rsid w:val="00A17C46"/>
    <w:rsid w:val="00A3020A"/>
    <w:rsid w:val="00A550E2"/>
    <w:rsid w:val="00A55F26"/>
    <w:rsid w:val="00A9155E"/>
    <w:rsid w:val="00AA2250"/>
    <w:rsid w:val="00AA7BB9"/>
    <w:rsid w:val="00AC6922"/>
    <w:rsid w:val="00AF1D87"/>
    <w:rsid w:val="00AF7C38"/>
    <w:rsid w:val="00AF7FFC"/>
    <w:rsid w:val="00B1322F"/>
    <w:rsid w:val="00B16D53"/>
    <w:rsid w:val="00B221D6"/>
    <w:rsid w:val="00B3576A"/>
    <w:rsid w:val="00B4247C"/>
    <w:rsid w:val="00B43BEE"/>
    <w:rsid w:val="00B47BFE"/>
    <w:rsid w:val="00B53501"/>
    <w:rsid w:val="00B6100A"/>
    <w:rsid w:val="00B624BB"/>
    <w:rsid w:val="00B65BEA"/>
    <w:rsid w:val="00B73289"/>
    <w:rsid w:val="00B83148"/>
    <w:rsid w:val="00B900B4"/>
    <w:rsid w:val="00BB4FF3"/>
    <w:rsid w:val="00BB66B6"/>
    <w:rsid w:val="00BC02E9"/>
    <w:rsid w:val="00BC5B4D"/>
    <w:rsid w:val="00BF1D6B"/>
    <w:rsid w:val="00C00E0A"/>
    <w:rsid w:val="00C05997"/>
    <w:rsid w:val="00C13E92"/>
    <w:rsid w:val="00C20E88"/>
    <w:rsid w:val="00C4153E"/>
    <w:rsid w:val="00C43079"/>
    <w:rsid w:val="00C84BB0"/>
    <w:rsid w:val="00C8733F"/>
    <w:rsid w:val="00C87597"/>
    <w:rsid w:val="00C966D9"/>
    <w:rsid w:val="00C97823"/>
    <w:rsid w:val="00CA13FA"/>
    <w:rsid w:val="00CA6426"/>
    <w:rsid w:val="00CC2256"/>
    <w:rsid w:val="00CC4392"/>
    <w:rsid w:val="00CD18E2"/>
    <w:rsid w:val="00CE2CD0"/>
    <w:rsid w:val="00CE2F6D"/>
    <w:rsid w:val="00D23196"/>
    <w:rsid w:val="00D41C86"/>
    <w:rsid w:val="00D56C5C"/>
    <w:rsid w:val="00D66D34"/>
    <w:rsid w:val="00D771F7"/>
    <w:rsid w:val="00D77342"/>
    <w:rsid w:val="00DE1560"/>
    <w:rsid w:val="00DF6DD1"/>
    <w:rsid w:val="00E11EB4"/>
    <w:rsid w:val="00E364E4"/>
    <w:rsid w:val="00E36C52"/>
    <w:rsid w:val="00E55444"/>
    <w:rsid w:val="00E7173A"/>
    <w:rsid w:val="00E73516"/>
    <w:rsid w:val="00E80933"/>
    <w:rsid w:val="00E83736"/>
    <w:rsid w:val="00E94048"/>
    <w:rsid w:val="00EA5257"/>
    <w:rsid w:val="00EB2F2B"/>
    <w:rsid w:val="00EB7C56"/>
    <w:rsid w:val="00EC091D"/>
    <w:rsid w:val="00EC48E4"/>
    <w:rsid w:val="00ED412F"/>
    <w:rsid w:val="00ED4F43"/>
    <w:rsid w:val="00ED7717"/>
    <w:rsid w:val="00EF6D1B"/>
    <w:rsid w:val="00EF74D1"/>
    <w:rsid w:val="00F07C92"/>
    <w:rsid w:val="00F1389B"/>
    <w:rsid w:val="00F13B08"/>
    <w:rsid w:val="00F44F36"/>
    <w:rsid w:val="00F52BBA"/>
    <w:rsid w:val="00F54CB1"/>
    <w:rsid w:val="00F81187"/>
    <w:rsid w:val="00FB2049"/>
    <w:rsid w:val="00FC005D"/>
    <w:rsid w:val="00FD45B9"/>
    <w:rsid w:val="00FE2842"/>
    <w:rsid w:val="00FE3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63"/>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8"/>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3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styleId="UnresolvedMention">
    <w:name w:val="Unresolved Mention"/>
    <w:basedOn w:val="DefaultParagraphFont"/>
    <w:uiPriority w:val="99"/>
    <w:semiHidden/>
    <w:unhideWhenUsed/>
    <w:rsid w:val="007D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uth.hnyapc@nhs.ne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twitter.com/RDTC_Rx"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10" Type="http://schemas.openxmlformats.org/officeDocument/2006/relationships/hyperlink" Target="https://humberandnorthyorkshire.org.uk/area-prescribing-committee-apc-minutes-from-meeting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humberandnorthyorkshire.org.uk/area-prescribing-committee-ap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F921-D629-4A0E-8206-58C28A5B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629</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 (THE NEWCASTLE UPON TYNE HOSPITALS NHS FOUNDATION TRUST)</cp:lastModifiedBy>
  <cp:revision>5</cp:revision>
  <dcterms:created xsi:type="dcterms:W3CDTF">2025-03-14T11:45:00Z</dcterms:created>
  <dcterms:modified xsi:type="dcterms:W3CDTF">2025-03-21T12:41:00Z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