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8EA1C" w14:textId="5F168A91" w:rsidR="003C21D1" w:rsidRDefault="003C21D1"/>
    <w:p w14:paraId="4427FDFF" w14:textId="69901CE0" w:rsidR="004532C6" w:rsidRPr="004532C6" w:rsidRDefault="004532C6" w:rsidP="009F793C">
      <w:pPr>
        <w:pStyle w:val="Heading2"/>
        <w:numPr>
          <w:ilvl w:val="0"/>
          <w:numId w:val="0"/>
        </w:numPr>
        <w:ind w:left="357" w:hanging="357"/>
        <w:jc w:val="center"/>
        <w:rPr>
          <w:sz w:val="28"/>
          <w:szCs w:val="32"/>
        </w:rPr>
      </w:pPr>
      <w:r w:rsidRPr="004532C6">
        <w:rPr>
          <w:sz w:val="28"/>
          <w:szCs w:val="32"/>
        </w:rPr>
        <w:t>Amiodarone for patients within adult services</w:t>
      </w:r>
    </w:p>
    <w:tbl>
      <w:tblPr>
        <w:tblStyle w:val="TableGrid"/>
        <w:tblW w:w="0" w:type="auto"/>
        <w:tblLook w:val="04A0" w:firstRow="1" w:lastRow="0" w:firstColumn="1" w:lastColumn="0" w:noHBand="0" w:noVBand="1"/>
      </w:tblPr>
      <w:tblGrid>
        <w:gridCol w:w="3256"/>
        <w:gridCol w:w="2305"/>
        <w:gridCol w:w="2447"/>
        <w:gridCol w:w="2448"/>
      </w:tblGrid>
      <w:tr w:rsidR="00812579" w14:paraId="117D375B" w14:textId="77777777" w:rsidTr="00812579">
        <w:tc>
          <w:tcPr>
            <w:tcW w:w="3256" w:type="dxa"/>
          </w:tcPr>
          <w:p w14:paraId="1FC4E973" w14:textId="4E19234A" w:rsidR="00812579" w:rsidRDefault="00812579" w:rsidP="00BF1406">
            <w:pPr>
              <w:rPr>
                <w:rFonts w:cs="Arial"/>
              </w:rPr>
            </w:pPr>
            <w:r>
              <w:rPr>
                <w:rFonts w:cs="Arial"/>
              </w:rPr>
              <w:t>Version:</w:t>
            </w:r>
          </w:p>
        </w:tc>
        <w:tc>
          <w:tcPr>
            <w:tcW w:w="2305" w:type="dxa"/>
          </w:tcPr>
          <w:p w14:paraId="1B35B75E" w14:textId="02F50B5C" w:rsidR="00812579" w:rsidRDefault="00E76C93" w:rsidP="00BF1406">
            <w:pPr>
              <w:rPr>
                <w:rFonts w:cs="Arial"/>
              </w:rPr>
            </w:pPr>
            <w:r>
              <w:rPr>
                <w:rFonts w:cs="Arial"/>
              </w:rPr>
              <w:t xml:space="preserve">HNY </w:t>
            </w:r>
            <w:r w:rsidR="0064598F">
              <w:rPr>
                <w:rFonts w:cs="Arial"/>
              </w:rPr>
              <w:t>v1.0</w:t>
            </w:r>
          </w:p>
        </w:tc>
        <w:tc>
          <w:tcPr>
            <w:tcW w:w="2447" w:type="dxa"/>
          </w:tcPr>
          <w:p w14:paraId="76C84DC3" w14:textId="7BC745AD" w:rsidR="00812579" w:rsidRDefault="00812579" w:rsidP="00BF1406">
            <w:pPr>
              <w:rPr>
                <w:rFonts w:cs="Arial"/>
              </w:rPr>
            </w:pPr>
            <w:r>
              <w:rPr>
                <w:rFonts w:cs="Arial"/>
              </w:rPr>
              <w:t>Replaces version:</w:t>
            </w:r>
          </w:p>
        </w:tc>
        <w:tc>
          <w:tcPr>
            <w:tcW w:w="2448" w:type="dxa"/>
          </w:tcPr>
          <w:p w14:paraId="603CA470" w14:textId="620C4512" w:rsidR="00812579" w:rsidRDefault="00E76C93" w:rsidP="00BF1406">
            <w:pPr>
              <w:rPr>
                <w:rFonts w:cs="Arial"/>
              </w:rPr>
            </w:pPr>
            <w:r>
              <w:rPr>
                <w:rFonts w:cs="Arial"/>
              </w:rPr>
              <w:t>RDTC v1.0</w:t>
            </w:r>
          </w:p>
        </w:tc>
      </w:tr>
      <w:tr w:rsidR="00812579" w14:paraId="69C53677" w14:textId="77777777" w:rsidTr="00812579">
        <w:tc>
          <w:tcPr>
            <w:tcW w:w="3256" w:type="dxa"/>
          </w:tcPr>
          <w:p w14:paraId="0BC1494C" w14:textId="356B9B36" w:rsidR="00812579" w:rsidRDefault="00812579" w:rsidP="00BF1406">
            <w:pPr>
              <w:rPr>
                <w:rFonts w:cs="Arial"/>
              </w:rPr>
            </w:pPr>
            <w:r>
              <w:rPr>
                <w:rFonts w:cs="Arial"/>
              </w:rPr>
              <w:t>Clinical content last reviewed:</w:t>
            </w:r>
          </w:p>
        </w:tc>
        <w:tc>
          <w:tcPr>
            <w:tcW w:w="2305" w:type="dxa"/>
          </w:tcPr>
          <w:p w14:paraId="456B394F" w14:textId="4D3BF3CA" w:rsidR="00812579" w:rsidRDefault="003F0113" w:rsidP="00BF1406">
            <w:pPr>
              <w:rPr>
                <w:rFonts w:cs="Arial"/>
              </w:rPr>
            </w:pPr>
            <w:r>
              <w:rPr>
                <w:rFonts w:cs="Arial"/>
              </w:rPr>
              <w:t xml:space="preserve">October 2023. </w:t>
            </w:r>
          </w:p>
        </w:tc>
        <w:tc>
          <w:tcPr>
            <w:tcW w:w="2447" w:type="dxa"/>
          </w:tcPr>
          <w:p w14:paraId="3D826204" w14:textId="26C8FFED" w:rsidR="00812579" w:rsidRDefault="00812579" w:rsidP="00BF1406">
            <w:pPr>
              <w:rPr>
                <w:rFonts w:cs="Arial"/>
              </w:rPr>
            </w:pPr>
            <w:r>
              <w:rPr>
                <w:rFonts w:cs="Arial"/>
              </w:rPr>
              <w:t>Next review date:</w:t>
            </w:r>
          </w:p>
        </w:tc>
        <w:tc>
          <w:tcPr>
            <w:tcW w:w="2448" w:type="dxa"/>
          </w:tcPr>
          <w:p w14:paraId="112594AC" w14:textId="4628FF6A" w:rsidR="00812579" w:rsidRDefault="003F0113" w:rsidP="00BF1406">
            <w:pPr>
              <w:rPr>
                <w:rFonts w:cs="Arial"/>
              </w:rPr>
            </w:pPr>
            <w:r>
              <w:rPr>
                <w:rFonts w:cs="Arial"/>
              </w:rPr>
              <w:t xml:space="preserve">October </w:t>
            </w:r>
            <w:r w:rsidRPr="00F51737">
              <w:rPr>
                <w:rFonts w:cs="Arial"/>
              </w:rPr>
              <w:t>202</w:t>
            </w:r>
            <w:r w:rsidR="00F51737" w:rsidRPr="00F51737">
              <w:rPr>
                <w:rFonts w:cs="Arial"/>
              </w:rPr>
              <w:t>5</w:t>
            </w:r>
          </w:p>
        </w:tc>
      </w:tr>
    </w:tbl>
    <w:p w14:paraId="530E612C" w14:textId="77777777" w:rsidR="00BF1406" w:rsidRDefault="00BF1406">
      <w:pPr>
        <w:rPr>
          <w:rFonts w:cs="Arial"/>
        </w:rPr>
      </w:pPr>
    </w:p>
    <w:tbl>
      <w:tblPr>
        <w:tblStyle w:val="TableGrid"/>
        <w:tblW w:w="0" w:type="auto"/>
        <w:tblLook w:val="04A0" w:firstRow="1" w:lastRow="0" w:firstColumn="1" w:lastColumn="0" w:noHBand="0" w:noVBand="1"/>
      </w:tblPr>
      <w:tblGrid>
        <w:gridCol w:w="1413"/>
        <w:gridCol w:w="1843"/>
        <w:gridCol w:w="7200"/>
      </w:tblGrid>
      <w:tr w:rsidR="00812579" w:rsidRPr="00812579" w14:paraId="34CF4584" w14:textId="77777777" w:rsidTr="005A7119">
        <w:tc>
          <w:tcPr>
            <w:tcW w:w="1413" w:type="dxa"/>
          </w:tcPr>
          <w:p w14:paraId="61CA52AD" w14:textId="62A0E277" w:rsidR="00812579" w:rsidRPr="00812579" w:rsidRDefault="00812579" w:rsidP="00812579">
            <w:pPr>
              <w:rPr>
                <w:rFonts w:cs="Arial"/>
                <w:b/>
                <w:bCs/>
              </w:rPr>
            </w:pPr>
            <w:r w:rsidRPr="00812579">
              <w:rPr>
                <w:rFonts w:cs="Arial"/>
                <w:b/>
                <w:bCs/>
              </w:rPr>
              <w:t>Version</w:t>
            </w:r>
          </w:p>
        </w:tc>
        <w:tc>
          <w:tcPr>
            <w:tcW w:w="1843" w:type="dxa"/>
          </w:tcPr>
          <w:p w14:paraId="29D2AD29" w14:textId="1CDE1ADD" w:rsidR="00812579" w:rsidRPr="00812579" w:rsidRDefault="00812579" w:rsidP="00812579">
            <w:pPr>
              <w:rPr>
                <w:rFonts w:cs="Arial"/>
                <w:b/>
                <w:bCs/>
              </w:rPr>
            </w:pPr>
            <w:r w:rsidRPr="00812579">
              <w:rPr>
                <w:rFonts w:cs="Arial"/>
                <w:b/>
                <w:bCs/>
              </w:rPr>
              <w:t>Date published</w:t>
            </w:r>
          </w:p>
        </w:tc>
        <w:tc>
          <w:tcPr>
            <w:tcW w:w="7200" w:type="dxa"/>
          </w:tcPr>
          <w:p w14:paraId="1249D078" w14:textId="0D4735C0" w:rsidR="00812579" w:rsidRPr="00812579" w:rsidRDefault="00812579" w:rsidP="00812579">
            <w:pPr>
              <w:rPr>
                <w:rFonts w:cs="Arial"/>
                <w:b/>
                <w:bCs/>
              </w:rPr>
            </w:pPr>
            <w:r w:rsidRPr="00812579">
              <w:rPr>
                <w:rFonts w:cs="Arial"/>
                <w:b/>
                <w:bCs/>
              </w:rPr>
              <w:t>Changes</w:t>
            </w:r>
            <w:r>
              <w:rPr>
                <w:rFonts w:cs="Arial"/>
                <w:b/>
                <w:bCs/>
              </w:rPr>
              <w:t xml:space="preserve"> since previous version</w:t>
            </w:r>
          </w:p>
        </w:tc>
      </w:tr>
      <w:tr w:rsidR="00812579" w14:paraId="752F6420" w14:textId="77777777" w:rsidTr="005A7119">
        <w:tc>
          <w:tcPr>
            <w:tcW w:w="1413" w:type="dxa"/>
          </w:tcPr>
          <w:p w14:paraId="0EAA9C18" w14:textId="74562A36" w:rsidR="00812579" w:rsidRDefault="005A7119" w:rsidP="00812579">
            <w:pPr>
              <w:rPr>
                <w:rFonts w:cs="Arial"/>
              </w:rPr>
            </w:pPr>
            <w:r>
              <w:rPr>
                <w:rFonts w:cs="Arial"/>
              </w:rPr>
              <w:t>RDTC v</w:t>
            </w:r>
            <w:r w:rsidR="00812579">
              <w:rPr>
                <w:rFonts w:cs="Arial"/>
              </w:rPr>
              <w:t>1.0</w:t>
            </w:r>
          </w:p>
        </w:tc>
        <w:tc>
          <w:tcPr>
            <w:tcW w:w="1843" w:type="dxa"/>
          </w:tcPr>
          <w:p w14:paraId="4232EE9B" w14:textId="10AE70E5" w:rsidR="00812579" w:rsidRDefault="003950CB" w:rsidP="00812579">
            <w:pPr>
              <w:rPr>
                <w:rFonts w:cs="Arial"/>
              </w:rPr>
            </w:pPr>
            <w:r>
              <w:rPr>
                <w:rFonts w:cs="Arial"/>
              </w:rPr>
              <w:t>7</w:t>
            </w:r>
            <w:r w:rsidRPr="003950CB">
              <w:rPr>
                <w:rFonts w:cs="Arial"/>
                <w:vertAlign w:val="superscript"/>
              </w:rPr>
              <w:t>th</w:t>
            </w:r>
            <w:r>
              <w:rPr>
                <w:rFonts w:cs="Arial"/>
              </w:rPr>
              <w:t xml:space="preserve"> December 2023</w:t>
            </w:r>
          </w:p>
        </w:tc>
        <w:tc>
          <w:tcPr>
            <w:tcW w:w="7200" w:type="dxa"/>
          </w:tcPr>
          <w:p w14:paraId="1F44C5E1" w14:textId="77777777" w:rsidR="00641F7D" w:rsidRDefault="00641F7D" w:rsidP="00812579">
            <w:pPr>
              <w:rPr>
                <w:rFonts w:cs="Arial"/>
              </w:rPr>
            </w:pPr>
            <w:r>
              <w:rPr>
                <w:rFonts w:cs="Arial"/>
              </w:rPr>
              <w:t>Hyperlinks updated to link to current resources. Minor amendments to wording and grammar, for clarity. Advice added:</w:t>
            </w:r>
          </w:p>
          <w:p w14:paraId="23375A4E" w14:textId="09037195" w:rsidR="00641F7D" w:rsidRDefault="00641F7D" w:rsidP="00641F7D">
            <w:pPr>
              <w:pStyle w:val="ListParagraph"/>
              <w:numPr>
                <w:ilvl w:val="0"/>
                <w:numId w:val="41"/>
              </w:numPr>
              <w:rPr>
                <w:rFonts w:cs="Arial"/>
              </w:rPr>
            </w:pPr>
            <w:r>
              <w:rPr>
                <w:rFonts w:cs="Arial"/>
              </w:rPr>
              <w:t>C</w:t>
            </w:r>
            <w:r w:rsidRPr="00641F7D">
              <w:rPr>
                <w:rFonts w:cs="Arial"/>
              </w:rPr>
              <w:t>onsider tests for thyroid peroxidase antibodies at baseline</w:t>
            </w:r>
            <w:r w:rsidR="001B694A">
              <w:rPr>
                <w:rFonts w:cs="Arial"/>
              </w:rPr>
              <w:t>;</w:t>
            </w:r>
            <w:r w:rsidRPr="00641F7D">
              <w:rPr>
                <w:rFonts w:cs="Arial"/>
              </w:rPr>
              <w:t xml:space="preserve"> monitor TFTs until stable at initiation</w:t>
            </w:r>
            <w:r w:rsidR="001B694A">
              <w:rPr>
                <w:rFonts w:cs="Arial"/>
              </w:rPr>
              <w:t>;</w:t>
            </w:r>
            <w:r w:rsidRPr="00641F7D">
              <w:rPr>
                <w:rFonts w:cs="Arial"/>
              </w:rPr>
              <w:t xml:space="preserve"> monitor INR for at least 7 weeks in warfarinised patients</w:t>
            </w:r>
            <w:r>
              <w:rPr>
                <w:rFonts w:cs="Arial"/>
              </w:rPr>
              <w:t xml:space="preserve"> and more regularly thereafter</w:t>
            </w:r>
            <w:r w:rsidR="001B694A">
              <w:rPr>
                <w:rFonts w:cs="Arial"/>
              </w:rPr>
              <w:t>; consider checking transfer factor i</w:t>
            </w:r>
            <w:r w:rsidR="00BB48AA">
              <w:rPr>
                <w:rFonts w:cs="Arial"/>
              </w:rPr>
              <w:t>f</w:t>
            </w:r>
            <w:r w:rsidR="001B694A">
              <w:rPr>
                <w:rFonts w:cs="Arial"/>
              </w:rPr>
              <w:t xml:space="preserve"> respiratory symptoms occur</w:t>
            </w:r>
            <w:r w:rsidRPr="00641F7D">
              <w:rPr>
                <w:rFonts w:cs="Arial"/>
              </w:rPr>
              <w:t xml:space="preserve">. </w:t>
            </w:r>
          </w:p>
          <w:p w14:paraId="5A413D47" w14:textId="371F80E6" w:rsidR="00641F7D" w:rsidRDefault="00641F7D" w:rsidP="00641F7D">
            <w:pPr>
              <w:pStyle w:val="ListParagraph"/>
              <w:numPr>
                <w:ilvl w:val="0"/>
                <w:numId w:val="41"/>
              </w:numPr>
              <w:rPr>
                <w:rFonts w:cs="Arial"/>
              </w:rPr>
            </w:pPr>
            <w:r w:rsidRPr="00641F7D">
              <w:rPr>
                <w:rFonts w:cs="Arial"/>
              </w:rPr>
              <w:t xml:space="preserve">Advice from MHRA Drug Safety Update (March 2022), particularly </w:t>
            </w:r>
            <w:r>
              <w:rPr>
                <w:rFonts w:cs="Arial"/>
              </w:rPr>
              <w:t xml:space="preserve">to consider </w:t>
            </w:r>
            <w:r w:rsidRPr="00641F7D">
              <w:rPr>
                <w:rFonts w:cs="Arial"/>
              </w:rPr>
              <w:t>CT scan in patients with respiratory symptoms</w:t>
            </w:r>
            <w:r>
              <w:rPr>
                <w:rFonts w:cs="Arial"/>
              </w:rPr>
              <w:t xml:space="preserve"> and link to patient card</w:t>
            </w:r>
            <w:r w:rsidRPr="00641F7D">
              <w:rPr>
                <w:rFonts w:cs="Arial"/>
              </w:rPr>
              <w:t xml:space="preserve">. </w:t>
            </w:r>
          </w:p>
          <w:p w14:paraId="4743E54D" w14:textId="77777777" w:rsidR="00641F7D" w:rsidRDefault="00641F7D" w:rsidP="0064598F">
            <w:pPr>
              <w:pStyle w:val="ListParagraph"/>
              <w:numPr>
                <w:ilvl w:val="0"/>
                <w:numId w:val="41"/>
              </w:numPr>
              <w:rPr>
                <w:rFonts w:cs="Arial"/>
              </w:rPr>
            </w:pPr>
            <w:r>
              <w:rPr>
                <w:rFonts w:cs="Arial"/>
              </w:rPr>
              <w:t>Additional clarity on which drugs affecting QTc interval are contraindicated.</w:t>
            </w:r>
          </w:p>
          <w:p w14:paraId="36F87864" w14:textId="1D11C362" w:rsidR="0064598F" w:rsidRPr="00641F7D" w:rsidRDefault="0064598F" w:rsidP="0064598F">
            <w:pPr>
              <w:pStyle w:val="ListParagraph"/>
              <w:numPr>
                <w:ilvl w:val="0"/>
                <w:numId w:val="41"/>
              </w:numPr>
              <w:rPr>
                <w:rFonts w:cs="Arial"/>
              </w:rPr>
            </w:pPr>
            <w:r>
              <w:rPr>
                <w:rFonts w:cs="Arial"/>
              </w:rPr>
              <w:t>Updated advice on management of thyroid dysfunction to align with guidance from the Association of Clinical Biochemistry, British Thyroid Association, and British Thyroid Foundation.</w:t>
            </w:r>
          </w:p>
        </w:tc>
      </w:tr>
      <w:tr w:rsidR="00812579" w14:paraId="120F2CF5" w14:textId="77777777" w:rsidTr="005A7119">
        <w:tc>
          <w:tcPr>
            <w:tcW w:w="1413" w:type="dxa"/>
          </w:tcPr>
          <w:p w14:paraId="36E8A0C3" w14:textId="74FCF74F" w:rsidR="00812579" w:rsidRDefault="005F4329" w:rsidP="00812579">
            <w:pPr>
              <w:rPr>
                <w:rFonts w:cs="Arial"/>
              </w:rPr>
            </w:pPr>
            <w:r>
              <w:rPr>
                <w:rFonts w:cs="Arial"/>
              </w:rPr>
              <w:t xml:space="preserve">HNY </w:t>
            </w:r>
            <w:r w:rsidR="00E441D8">
              <w:rPr>
                <w:rFonts w:cs="Arial"/>
              </w:rPr>
              <w:t>v1.0</w:t>
            </w:r>
          </w:p>
        </w:tc>
        <w:tc>
          <w:tcPr>
            <w:tcW w:w="1843" w:type="dxa"/>
          </w:tcPr>
          <w:p w14:paraId="156C2558" w14:textId="6A364481" w:rsidR="00812579" w:rsidRDefault="00177EE9" w:rsidP="00812579">
            <w:pPr>
              <w:rPr>
                <w:rFonts w:cs="Arial"/>
              </w:rPr>
            </w:pPr>
            <w:r>
              <w:rPr>
                <w:rFonts w:cs="Arial"/>
              </w:rPr>
              <w:t>April 2025</w:t>
            </w:r>
          </w:p>
        </w:tc>
        <w:tc>
          <w:tcPr>
            <w:tcW w:w="7200" w:type="dxa"/>
          </w:tcPr>
          <w:p w14:paraId="673B4195" w14:textId="07343390" w:rsidR="00812579" w:rsidRDefault="006F216C" w:rsidP="00EE54D4">
            <w:pPr>
              <w:pStyle w:val="ListParagraph"/>
              <w:numPr>
                <w:ilvl w:val="0"/>
                <w:numId w:val="44"/>
              </w:numPr>
              <w:rPr>
                <w:rFonts w:cs="Arial"/>
              </w:rPr>
            </w:pPr>
            <w:r>
              <w:rPr>
                <w:rFonts w:cs="Arial"/>
              </w:rPr>
              <w:t>HNY</w:t>
            </w:r>
            <w:r w:rsidR="00994B90">
              <w:rPr>
                <w:rFonts w:cs="Arial"/>
              </w:rPr>
              <w:t xml:space="preserve"> logo</w:t>
            </w:r>
            <w:r w:rsidR="00DE4D19">
              <w:rPr>
                <w:rFonts w:cs="Arial"/>
              </w:rPr>
              <w:t>s</w:t>
            </w:r>
            <w:r w:rsidR="00994B90">
              <w:rPr>
                <w:rFonts w:cs="Arial"/>
              </w:rPr>
              <w:t xml:space="preserve"> added</w:t>
            </w:r>
          </w:p>
          <w:p w14:paraId="3CB47B9A" w14:textId="77777777" w:rsidR="006A3C6A" w:rsidRPr="006A3C6A" w:rsidRDefault="00D3719F" w:rsidP="006A3C6A">
            <w:pPr>
              <w:pStyle w:val="ListParagraph"/>
              <w:numPr>
                <w:ilvl w:val="0"/>
                <w:numId w:val="44"/>
              </w:numPr>
              <w:rPr>
                <w:i/>
                <w:iCs/>
              </w:rPr>
            </w:pPr>
            <w:r>
              <w:rPr>
                <w:rFonts w:cs="Arial"/>
              </w:rPr>
              <w:t xml:space="preserve">Section 4: </w:t>
            </w:r>
            <w:r w:rsidR="00B72AC4">
              <w:rPr>
                <w:rFonts w:cs="Arial"/>
              </w:rPr>
              <w:t xml:space="preserve">Transfer of monitoring and prescribing updated as per NHSE document - </w:t>
            </w:r>
            <w:hyperlink r:id="rId11" w:history="1">
              <w:r w:rsidR="00B72AC4" w:rsidRPr="00DF73F9">
                <w:rPr>
                  <w:rStyle w:val="Hyperlink"/>
                  <w:rFonts w:cs="Arial"/>
                </w:rPr>
                <w:t>https://www.england.nhs.uk/wp-content/uploads/2018/03/responsibility-prescribing-between-primary-secondary-care-v2.pdf</w:t>
              </w:r>
            </w:hyperlink>
            <w:r w:rsidR="009D58BA">
              <w:t xml:space="preserve"> and following wording added: </w:t>
            </w:r>
            <w:r w:rsidR="006A3C6A" w:rsidRPr="00B6384A">
              <w:t>Transfer of monitoring and prescribing for most shared care medicines is usually suggested to be after 12 weeks. To transfer from the specialist to primary care, the patient must be a) stable, i.e. the condition/indication is 'managed' appropriately, monitoring is within normal parameters, and b) the patient remains on the same dose that the specialist recommended.</w:t>
            </w:r>
          </w:p>
          <w:p w14:paraId="07DFDDB6" w14:textId="3371B2DC" w:rsidR="008B0E0B" w:rsidRPr="008B0E0B" w:rsidRDefault="008B0E0B" w:rsidP="00B6384A">
            <w:pPr>
              <w:pStyle w:val="ListParagraph"/>
              <w:numPr>
                <w:ilvl w:val="0"/>
                <w:numId w:val="44"/>
              </w:numPr>
              <w:rPr>
                <w:rFonts w:cs="Arial"/>
              </w:rPr>
            </w:pPr>
            <w:r w:rsidRPr="008B0E0B">
              <w:rPr>
                <w:rFonts w:cs="Arial"/>
              </w:rPr>
              <w:t xml:space="preserve">Section 4: added - However, for amiodarone, transfer of monitoring and prescribing to primary care may take place after 8 weeks as long as the patient's dose has been optimised and the patient has satisfactory investigation results. </w:t>
            </w:r>
          </w:p>
          <w:p w14:paraId="66063877" w14:textId="77777777" w:rsidR="0003097B" w:rsidRDefault="0003097B" w:rsidP="00EE54D4">
            <w:pPr>
              <w:pStyle w:val="ListParagraph"/>
              <w:numPr>
                <w:ilvl w:val="0"/>
                <w:numId w:val="44"/>
              </w:numPr>
              <w:rPr>
                <w:rFonts w:cs="Arial"/>
              </w:rPr>
            </w:pPr>
            <w:r>
              <w:rPr>
                <w:rFonts w:cs="Arial"/>
              </w:rPr>
              <w:t xml:space="preserve">Section 5: For patients taking warfarin – wording changed from </w:t>
            </w:r>
            <w:r w:rsidR="00506517">
              <w:rPr>
                <w:rFonts w:cs="Arial"/>
              </w:rPr>
              <w:t>"monitor INR" to "ensure INR is monitored"</w:t>
            </w:r>
          </w:p>
          <w:p w14:paraId="74EAEFC4" w14:textId="77777777" w:rsidR="00253736" w:rsidRDefault="00253736" w:rsidP="00EE54D4">
            <w:pPr>
              <w:pStyle w:val="ListParagraph"/>
              <w:numPr>
                <w:ilvl w:val="0"/>
                <w:numId w:val="44"/>
              </w:numPr>
              <w:rPr>
                <w:rFonts w:cs="Arial"/>
              </w:rPr>
            </w:pPr>
            <w:r>
              <w:rPr>
                <w:rFonts w:cs="Arial"/>
              </w:rPr>
              <w:t xml:space="preserve">Section 5: </w:t>
            </w:r>
            <w:r w:rsidR="00A1326D">
              <w:rPr>
                <w:rFonts w:cs="Arial"/>
              </w:rPr>
              <w:t>Ongoing monitoring – removed ECG at least annually</w:t>
            </w:r>
          </w:p>
          <w:p w14:paraId="223E2BCF" w14:textId="60448624" w:rsidR="00EE54D4" w:rsidRPr="00EE54D4" w:rsidRDefault="00EE54D4" w:rsidP="00EE54D4">
            <w:pPr>
              <w:pStyle w:val="ListParagraph"/>
              <w:numPr>
                <w:ilvl w:val="0"/>
                <w:numId w:val="44"/>
              </w:numPr>
              <w:rPr>
                <w:rFonts w:cs="Arial"/>
              </w:rPr>
            </w:pPr>
            <w:r>
              <w:rPr>
                <w:rFonts w:cs="Arial"/>
              </w:rPr>
              <w:t>Section 5: Ongoing monitoring – added "</w:t>
            </w:r>
            <w:r w:rsidRPr="00504F30">
              <w:t xml:space="preserve"> At initiation of shared care, communication to primary care should include current and ongoing dose, any relevant test results, and date the next monitoring is required.</w:t>
            </w:r>
            <w:r>
              <w:t>"</w:t>
            </w:r>
          </w:p>
          <w:p w14:paraId="78F7D827" w14:textId="77777777" w:rsidR="002F448F" w:rsidRDefault="002F448F" w:rsidP="00EE54D4">
            <w:pPr>
              <w:pStyle w:val="ListParagraph"/>
              <w:numPr>
                <w:ilvl w:val="0"/>
                <w:numId w:val="44"/>
              </w:numPr>
              <w:rPr>
                <w:rFonts w:cs="Arial"/>
              </w:rPr>
            </w:pPr>
            <w:r>
              <w:rPr>
                <w:rFonts w:cs="Arial"/>
              </w:rPr>
              <w:t xml:space="preserve">Section 6: </w:t>
            </w:r>
            <w:r w:rsidR="004175CD">
              <w:rPr>
                <w:rFonts w:cs="Arial"/>
              </w:rPr>
              <w:t>Monitoring – Thyroid Function Tests</w:t>
            </w:r>
            <w:r w:rsidR="00AF3BD9">
              <w:rPr>
                <w:rFonts w:cs="Arial"/>
              </w:rPr>
              <w:t xml:space="preserve"> - </w:t>
            </w:r>
            <w:r w:rsidR="00B205B1">
              <w:rPr>
                <w:rFonts w:cs="Arial"/>
              </w:rPr>
              <w:t xml:space="preserve">Changed from free </w:t>
            </w:r>
            <w:r w:rsidR="00AF3BD9">
              <w:rPr>
                <w:rFonts w:cs="Arial"/>
              </w:rPr>
              <w:t xml:space="preserve">T4, free T3 and TSH to TSH. If abnormal, refer to SPS monitoring </w:t>
            </w:r>
            <w:r w:rsidR="00E6605D">
              <w:rPr>
                <w:rFonts w:cs="Arial"/>
              </w:rPr>
              <w:t>for amiodarone</w:t>
            </w:r>
          </w:p>
          <w:p w14:paraId="29D2CE82" w14:textId="77777777" w:rsidR="00DF1372" w:rsidRDefault="00DF1372" w:rsidP="00EE54D4">
            <w:pPr>
              <w:pStyle w:val="ListParagraph"/>
              <w:numPr>
                <w:ilvl w:val="0"/>
                <w:numId w:val="44"/>
              </w:numPr>
              <w:rPr>
                <w:rFonts w:cs="Arial"/>
              </w:rPr>
            </w:pPr>
            <w:r>
              <w:rPr>
                <w:rFonts w:cs="Arial"/>
              </w:rPr>
              <w:lastRenderedPageBreak/>
              <w:t xml:space="preserve">Section 6: </w:t>
            </w:r>
            <w:r w:rsidR="00BB59D7">
              <w:rPr>
                <w:rFonts w:cs="Arial"/>
              </w:rPr>
              <w:t>Magnesium now listed separately as not part of routine U&amp;E's</w:t>
            </w:r>
          </w:p>
          <w:p w14:paraId="374EEC2E" w14:textId="77777777" w:rsidR="00BB59D7" w:rsidRDefault="00BB59D7" w:rsidP="00EE54D4">
            <w:pPr>
              <w:pStyle w:val="ListParagraph"/>
              <w:numPr>
                <w:ilvl w:val="0"/>
                <w:numId w:val="44"/>
              </w:numPr>
              <w:rPr>
                <w:rFonts w:cs="Arial"/>
              </w:rPr>
            </w:pPr>
            <w:r>
              <w:rPr>
                <w:rFonts w:cs="Arial"/>
              </w:rPr>
              <w:t xml:space="preserve">Section 6: ECG – removed "Monitoring </w:t>
            </w:r>
            <w:r w:rsidR="00D13E2B">
              <w:rPr>
                <w:rFonts w:cs="Arial"/>
              </w:rPr>
              <w:t>may be conducted in primary care where this service is available"</w:t>
            </w:r>
          </w:p>
          <w:p w14:paraId="1A9B345E" w14:textId="77777777" w:rsidR="00D13E2B" w:rsidRDefault="00D13E2B" w:rsidP="00EE54D4">
            <w:pPr>
              <w:pStyle w:val="ListParagraph"/>
              <w:numPr>
                <w:ilvl w:val="0"/>
                <w:numId w:val="44"/>
              </w:numPr>
              <w:rPr>
                <w:rFonts w:cs="Arial"/>
              </w:rPr>
            </w:pPr>
            <w:r>
              <w:rPr>
                <w:rFonts w:cs="Arial"/>
              </w:rPr>
              <w:t>Section 6: Added</w:t>
            </w:r>
            <w:r w:rsidR="00754B37">
              <w:rPr>
                <w:rFonts w:cs="Arial"/>
              </w:rPr>
              <w:t xml:space="preserve"> "For further information re monitoring see SPS website and link"</w:t>
            </w:r>
          </w:p>
          <w:p w14:paraId="6C5DBA78" w14:textId="77777777" w:rsidR="005C32D8" w:rsidRDefault="005C32D8" w:rsidP="00EE54D4">
            <w:pPr>
              <w:pStyle w:val="ListParagraph"/>
              <w:numPr>
                <w:ilvl w:val="0"/>
                <w:numId w:val="44"/>
              </w:numPr>
              <w:rPr>
                <w:rFonts w:cs="Arial"/>
              </w:rPr>
            </w:pPr>
            <w:r>
              <w:rPr>
                <w:rFonts w:cs="Arial"/>
              </w:rPr>
              <w:t xml:space="preserve">Section 8: </w:t>
            </w:r>
            <w:r w:rsidR="0045244A">
              <w:rPr>
                <w:rFonts w:cs="Arial"/>
              </w:rPr>
              <w:t xml:space="preserve">Changed wording to lithium, </w:t>
            </w:r>
            <w:r w:rsidR="0045244A" w:rsidRPr="00A851AF">
              <w:rPr>
                <w:rFonts w:cs="Arial"/>
                <w:b/>
                <w:bCs/>
              </w:rPr>
              <w:t>most</w:t>
            </w:r>
            <w:r w:rsidR="0045244A">
              <w:rPr>
                <w:rFonts w:cs="Arial"/>
              </w:rPr>
              <w:t xml:space="preserve"> anti-psychotics</w:t>
            </w:r>
            <w:r w:rsidR="00107E8A">
              <w:rPr>
                <w:rFonts w:cs="Arial"/>
              </w:rPr>
              <w:t xml:space="preserve">, </w:t>
            </w:r>
            <w:r w:rsidR="0045244A">
              <w:rPr>
                <w:rFonts w:cs="Arial"/>
              </w:rPr>
              <w:t>added quetiapine</w:t>
            </w:r>
            <w:r w:rsidR="00107E8A">
              <w:rPr>
                <w:rFonts w:cs="Arial"/>
              </w:rPr>
              <w:t xml:space="preserve">, </w:t>
            </w:r>
            <w:r w:rsidR="00107E8A" w:rsidRPr="00A851AF">
              <w:rPr>
                <w:rFonts w:cs="Arial"/>
                <w:b/>
                <w:bCs/>
              </w:rPr>
              <w:t>some</w:t>
            </w:r>
            <w:r w:rsidR="00107E8A">
              <w:rPr>
                <w:rFonts w:cs="Arial"/>
              </w:rPr>
              <w:t xml:space="preserve"> anti-depressants </w:t>
            </w:r>
            <w:r w:rsidR="00BB74DE">
              <w:rPr>
                <w:rFonts w:cs="Arial"/>
              </w:rPr>
              <w:t>e.g. tricyclics</w:t>
            </w:r>
            <w:r w:rsidR="001C1905">
              <w:rPr>
                <w:rFonts w:cs="Arial"/>
              </w:rPr>
              <w:t xml:space="preserve"> </w:t>
            </w:r>
            <w:r w:rsidR="00107E8A">
              <w:rPr>
                <w:rFonts w:cs="Arial"/>
              </w:rPr>
              <w:t xml:space="preserve">and added </w:t>
            </w:r>
            <w:r w:rsidR="00BB74DE">
              <w:rPr>
                <w:rFonts w:cs="Arial"/>
              </w:rPr>
              <w:t>escitalopram and citalopram</w:t>
            </w:r>
          </w:p>
          <w:p w14:paraId="0ACAF245" w14:textId="77777777" w:rsidR="001978DE" w:rsidRDefault="001978DE" w:rsidP="00EE54D4">
            <w:pPr>
              <w:pStyle w:val="ListParagraph"/>
              <w:numPr>
                <w:ilvl w:val="0"/>
                <w:numId w:val="44"/>
              </w:numPr>
              <w:rPr>
                <w:rFonts w:cs="Arial"/>
              </w:rPr>
            </w:pPr>
            <w:r>
              <w:rPr>
                <w:rFonts w:cs="Arial"/>
              </w:rPr>
              <w:t>Section 9: Added lithium, most anti-psychotics and some anti-depressants to other medicines that prolong the QT interval</w:t>
            </w:r>
          </w:p>
          <w:p w14:paraId="5391C23B" w14:textId="77777777" w:rsidR="0074146A" w:rsidRDefault="0074146A" w:rsidP="00EE54D4">
            <w:pPr>
              <w:pStyle w:val="ListParagraph"/>
              <w:numPr>
                <w:ilvl w:val="0"/>
                <w:numId w:val="44"/>
              </w:numPr>
              <w:rPr>
                <w:rFonts w:cs="Arial"/>
              </w:rPr>
            </w:pPr>
            <w:r>
              <w:rPr>
                <w:rFonts w:cs="Arial"/>
              </w:rPr>
              <w:t xml:space="preserve">Section 10: </w:t>
            </w:r>
            <w:r w:rsidR="003B0970">
              <w:rPr>
                <w:rFonts w:cs="Arial"/>
              </w:rPr>
              <w:t>Hypokalaemia / Hypomagnesaemia – added "or SPS" and hyperlink to SPS guidelines</w:t>
            </w:r>
          </w:p>
          <w:p w14:paraId="2191036A" w14:textId="12B3C7E2" w:rsidR="00317A68" w:rsidRDefault="00317A68" w:rsidP="00EE54D4">
            <w:pPr>
              <w:pStyle w:val="ListParagraph"/>
              <w:numPr>
                <w:ilvl w:val="0"/>
                <w:numId w:val="44"/>
              </w:numPr>
              <w:rPr>
                <w:rFonts w:cs="Arial"/>
              </w:rPr>
            </w:pPr>
            <w:r>
              <w:rPr>
                <w:rFonts w:cs="Arial"/>
              </w:rPr>
              <w:t>S</w:t>
            </w:r>
            <w:r>
              <w:t xml:space="preserve">ection 13: </w:t>
            </w:r>
            <w:r w:rsidR="00013A73" w:rsidRPr="00CD6693">
              <w:rPr>
                <w:rFonts w:cs="Arial"/>
              </w:rPr>
              <w:t>Contact information updated to "</w:t>
            </w:r>
            <w:r w:rsidR="00013A73" w:rsidRPr="00377B31">
              <w:rPr>
                <w:rFonts w:cs="Arial"/>
                <w:i/>
                <w:iCs/>
              </w:rPr>
              <w:t xml:space="preserve"> </w:t>
            </w:r>
            <w:r w:rsidR="00013A73" w:rsidRPr="00377B31">
              <w:rPr>
                <w:rFonts w:cs="Arial"/>
              </w:rPr>
              <w:t>Details</w:t>
            </w:r>
            <w:r w:rsidR="00013A73" w:rsidRPr="00377B31">
              <w:rPr>
                <w:rFonts w:cs="Arial"/>
                <w:i/>
                <w:iCs/>
              </w:rPr>
              <w:t xml:space="preserve"> </w:t>
            </w:r>
            <w:r w:rsidR="00013A73" w:rsidRPr="00370D0C">
              <w:rPr>
                <w:rFonts w:cs="Arial"/>
              </w:rPr>
              <w:t>for contacting specialist must be included on clinic letter"</w:t>
            </w:r>
          </w:p>
          <w:p w14:paraId="70E165E6" w14:textId="1460466C" w:rsidR="00A94F8D" w:rsidRPr="006F216C" w:rsidRDefault="00A94F8D" w:rsidP="00A851AF">
            <w:pPr>
              <w:pStyle w:val="ListParagraph"/>
              <w:numPr>
                <w:ilvl w:val="0"/>
                <w:numId w:val="44"/>
              </w:numPr>
              <w:rPr>
                <w:rFonts w:cs="Arial"/>
              </w:rPr>
            </w:pPr>
            <w:r>
              <w:rPr>
                <w:rFonts w:cs="Arial"/>
              </w:rPr>
              <w:t>Section 16: Hyperlink to Shared Care for Medicines Guidance updated</w:t>
            </w:r>
          </w:p>
        </w:tc>
      </w:tr>
    </w:tbl>
    <w:p w14:paraId="3EC6F559" w14:textId="77777777" w:rsidR="00812579" w:rsidRDefault="00812579">
      <w:pPr>
        <w:rPr>
          <w:rFonts w:cs="Arial"/>
        </w:rPr>
      </w:pPr>
    </w:p>
    <w:p w14:paraId="461A042C" w14:textId="77777777" w:rsidR="005432DD" w:rsidRPr="007815A0" w:rsidRDefault="005432DD" w:rsidP="005432DD">
      <w:pPr>
        <w:rPr>
          <w:rFonts w:cs="Arial"/>
          <w:b/>
          <w:bCs/>
        </w:rPr>
      </w:pPr>
      <w:r w:rsidRPr="007815A0">
        <w:rPr>
          <w:rFonts w:cs="Arial"/>
          <w:b/>
          <w:bCs/>
        </w:rPr>
        <w:t>Local review and adoption</w:t>
      </w:r>
    </w:p>
    <w:tbl>
      <w:tblPr>
        <w:tblStyle w:val="TableGrid"/>
        <w:tblW w:w="0" w:type="auto"/>
        <w:tblLook w:val="04A0" w:firstRow="1" w:lastRow="0" w:firstColumn="1" w:lastColumn="0" w:noHBand="0" w:noVBand="1"/>
      </w:tblPr>
      <w:tblGrid>
        <w:gridCol w:w="4248"/>
        <w:gridCol w:w="4365"/>
      </w:tblGrid>
      <w:tr w:rsidR="005432DD" w:rsidRPr="00812579" w14:paraId="6220F19C" w14:textId="77777777" w:rsidTr="006077B3">
        <w:tc>
          <w:tcPr>
            <w:tcW w:w="4248" w:type="dxa"/>
          </w:tcPr>
          <w:p w14:paraId="6F1EF854" w14:textId="77777777" w:rsidR="005432DD" w:rsidRPr="00812579" w:rsidRDefault="005432DD" w:rsidP="006077B3">
            <w:pPr>
              <w:rPr>
                <w:rFonts w:cs="Arial"/>
                <w:b/>
                <w:bCs/>
              </w:rPr>
            </w:pPr>
            <w:r>
              <w:rPr>
                <w:rFonts w:cs="Arial"/>
                <w:b/>
                <w:bCs/>
              </w:rPr>
              <w:t>Local approval</w:t>
            </w:r>
          </w:p>
        </w:tc>
        <w:tc>
          <w:tcPr>
            <w:tcW w:w="4365" w:type="dxa"/>
          </w:tcPr>
          <w:p w14:paraId="1229A162" w14:textId="77777777" w:rsidR="005432DD" w:rsidRPr="00812579" w:rsidRDefault="005432DD" w:rsidP="006077B3">
            <w:pPr>
              <w:rPr>
                <w:rFonts w:cs="Arial"/>
                <w:b/>
                <w:bCs/>
              </w:rPr>
            </w:pPr>
            <w:r>
              <w:rPr>
                <w:rFonts w:cs="Arial"/>
                <w:b/>
                <w:bCs/>
              </w:rPr>
              <w:t>Date</w:t>
            </w:r>
          </w:p>
        </w:tc>
      </w:tr>
      <w:tr w:rsidR="005A7119" w14:paraId="141E8B71" w14:textId="77777777" w:rsidTr="006077B3">
        <w:tc>
          <w:tcPr>
            <w:tcW w:w="4248" w:type="dxa"/>
          </w:tcPr>
          <w:p w14:paraId="24E1D2AD" w14:textId="782ABC1D" w:rsidR="005A7119" w:rsidRDefault="005A7119" w:rsidP="005A7119">
            <w:pPr>
              <w:rPr>
                <w:rFonts w:cs="Arial"/>
              </w:rPr>
            </w:pPr>
            <w:r>
              <w:rPr>
                <w:rFonts w:cs="Arial"/>
              </w:rPr>
              <w:t>Local content added</w:t>
            </w:r>
          </w:p>
        </w:tc>
        <w:tc>
          <w:tcPr>
            <w:tcW w:w="4365" w:type="dxa"/>
          </w:tcPr>
          <w:p w14:paraId="065C0AFF" w14:textId="46123153" w:rsidR="005A7119" w:rsidRDefault="006F216C" w:rsidP="005A7119">
            <w:pPr>
              <w:rPr>
                <w:rFonts w:cs="Arial"/>
              </w:rPr>
            </w:pPr>
            <w:r>
              <w:rPr>
                <w:rFonts w:cs="Arial"/>
              </w:rPr>
              <w:t>March 2025</w:t>
            </w:r>
          </w:p>
        </w:tc>
      </w:tr>
      <w:tr w:rsidR="005A7119" w14:paraId="5274CE57" w14:textId="77777777" w:rsidTr="006077B3">
        <w:tc>
          <w:tcPr>
            <w:tcW w:w="4248" w:type="dxa"/>
          </w:tcPr>
          <w:p w14:paraId="72D8275E" w14:textId="0285207C" w:rsidR="005A7119" w:rsidRDefault="005A7119" w:rsidP="005A7119">
            <w:pPr>
              <w:rPr>
                <w:rFonts w:cs="Arial"/>
              </w:rPr>
            </w:pPr>
            <w:r>
              <w:rPr>
                <w:rFonts w:cs="Arial"/>
              </w:rPr>
              <w:t xml:space="preserve">Approved for use by </w:t>
            </w:r>
            <w:r w:rsidR="00DF7FB3">
              <w:rPr>
                <w:rFonts w:cs="Arial"/>
              </w:rPr>
              <w:t xml:space="preserve">Humber and North Yorkshire </w:t>
            </w:r>
            <w:r>
              <w:rPr>
                <w:rFonts w:cs="Arial"/>
              </w:rPr>
              <w:t xml:space="preserve">ICB </w:t>
            </w:r>
          </w:p>
        </w:tc>
        <w:tc>
          <w:tcPr>
            <w:tcW w:w="4365" w:type="dxa"/>
          </w:tcPr>
          <w:p w14:paraId="696B3FA0" w14:textId="36C584CA" w:rsidR="005A7119" w:rsidRDefault="003C0B49" w:rsidP="005A7119">
            <w:pPr>
              <w:rPr>
                <w:rFonts w:cs="Arial"/>
              </w:rPr>
            </w:pPr>
            <w:r>
              <w:rPr>
                <w:rFonts w:cs="Arial"/>
              </w:rPr>
              <w:t>2</w:t>
            </w:r>
            <w:r w:rsidRPr="00B6384A">
              <w:rPr>
                <w:rFonts w:cs="Arial"/>
                <w:vertAlign w:val="superscript"/>
              </w:rPr>
              <w:t>nd</w:t>
            </w:r>
            <w:r>
              <w:rPr>
                <w:rFonts w:cs="Arial"/>
              </w:rPr>
              <w:t xml:space="preserve"> April </w:t>
            </w:r>
            <w:r w:rsidR="00116048">
              <w:rPr>
                <w:rFonts w:cs="Arial"/>
              </w:rPr>
              <w:t>2025</w:t>
            </w:r>
          </w:p>
        </w:tc>
      </w:tr>
    </w:tbl>
    <w:p w14:paraId="4E87CD01" w14:textId="77777777" w:rsidR="00812579" w:rsidRDefault="00812579">
      <w:pPr>
        <w:rPr>
          <w:rFonts w:cs="Arial"/>
        </w:rPr>
      </w:pPr>
    </w:p>
    <w:p w14:paraId="2EA3AED0" w14:textId="63F0C4B9" w:rsidR="005A7119" w:rsidRDefault="005A7119" w:rsidP="005A7119">
      <w:pPr>
        <w:rPr>
          <w:rFonts w:cs="Arial"/>
          <w:sz w:val="24"/>
          <w:szCs w:val="24"/>
        </w:rPr>
      </w:pPr>
      <w:r w:rsidRPr="005A633C">
        <w:rPr>
          <w:rFonts w:cs="Arial"/>
          <w:sz w:val="24"/>
          <w:szCs w:val="24"/>
        </w:rPr>
        <w:t>Clinical content has been reviewed and updated by the RDTC on the date indicated above.</w:t>
      </w:r>
      <w:r>
        <w:rPr>
          <w:rFonts w:cs="Arial"/>
          <w:sz w:val="24"/>
          <w:szCs w:val="24"/>
        </w:rPr>
        <w:t xml:space="preserve"> Every effort is made to keep the content up to date</w:t>
      </w:r>
      <w:r w:rsidRPr="005A633C">
        <w:rPr>
          <w:rFonts w:cs="Arial"/>
          <w:sz w:val="24"/>
          <w:szCs w:val="24"/>
        </w:rPr>
        <w:t xml:space="preserve">. </w:t>
      </w:r>
      <w:r>
        <w:rPr>
          <w:rFonts w:cs="Arial"/>
          <w:sz w:val="24"/>
          <w:szCs w:val="24"/>
        </w:rPr>
        <w:t xml:space="preserve">These templates are provided to the North West and North East and Yorkshire ICBs for localisation and approval through standard ICB processes. The most recent version is available on the RDTC website at </w:t>
      </w:r>
      <w:hyperlink r:id="rId12" w:history="1">
        <w:r w:rsidR="00D13B20" w:rsidRPr="004F1AD9">
          <w:rPr>
            <w:rStyle w:val="Hyperlink"/>
            <w:rFonts w:cs="Arial"/>
            <w:sz w:val="24"/>
            <w:szCs w:val="24"/>
          </w:rPr>
          <w:t>https://rdtc.nhs.uk/publication-type/shared-care/</w:t>
        </w:r>
      </w:hyperlink>
      <w:r w:rsidR="00D13B20">
        <w:rPr>
          <w:rFonts w:cs="Arial"/>
          <w:sz w:val="24"/>
          <w:szCs w:val="24"/>
        </w:rPr>
        <w:t xml:space="preserve">. </w:t>
      </w:r>
    </w:p>
    <w:p w14:paraId="58762991" w14:textId="77777777" w:rsidR="005A7119" w:rsidRDefault="005A7119" w:rsidP="005A7119">
      <w:pPr>
        <w:rPr>
          <w:rFonts w:cs="Arial"/>
          <w:sz w:val="24"/>
          <w:szCs w:val="24"/>
        </w:rPr>
      </w:pPr>
    </w:p>
    <w:p w14:paraId="48258EDF" w14:textId="1E4DA091" w:rsidR="005A7119" w:rsidRDefault="005A7119" w:rsidP="005A7119">
      <w:pPr>
        <w:rPr>
          <w:rFonts w:cs="Arial"/>
          <w:sz w:val="24"/>
          <w:szCs w:val="24"/>
        </w:rPr>
      </w:pPr>
    </w:p>
    <w:p w14:paraId="1966D306" w14:textId="77777777" w:rsidR="005A633C" w:rsidRDefault="005A633C">
      <w:pPr>
        <w:rPr>
          <w:rFonts w:cs="Arial"/>
          <w:sz w:val="24"/>
          <w:szCs w:val="24"/>
        </w:rPr>
      </w:pPr>
    </w:p>
    <w:p w14:paraId="56B90C64" w14:textId="26B7D463" w:rsidR="006179D7" w:rsidRDefault="005A633C" w:rsidP="00D13B20">
      <w:pPr>
        <w:rPr>
          <w:rFonts w:cs="Arial"/>
          <w:sz w:val="24"/>
          <w:szCs w:val="24"/>
        </w:rPr>
      </w:pPr>
      <w:r w:rsidRPr="005A633C">
        <w:rPr>
          <w:rFonts w:cs="Arial"/>
          <w:sz w:val="24"/>
          <w:szCs w:val="24"/>
        </w:rPr>
        <w:t xml:space="preserve">This document is intended for use by </w:t>
      </w:r>
      <w:r>
        <w:rPr>
          <w:rFonts w:cs="Arial"/>
          <w:sz w:val="24"/>
          <w:szCs w:val="24"/>
        </w:rPr>
        <w:t>NHS</w:t>
      </w:r>
      <w:r w:rsidRPr="005A633C">
        <w:rPr>
          <w:rFonts w:cs="Arial"/>
          <w:sz w:val="24"/>
          <w:szCs w:val="24"/>
        </w:rPr>
        <w:t xml:space="preserve"> healthcare professionals and cannot be used for commercial or marketing purposes</w:t>
      </w:r>
      <w:r>
        <w:rPr>
          <w:rFonts w:cs="Arial"/>
          <w:sz w:val="24"/>
          <w:szCs w:val="24"/>
        </w:rPr>
        <w:t>.</w:t>
      </w:r>
      <w:r w:rsidR="006179D7">
        <w:rPr>
          <w:rFonts w:cs="Arial"/>
          <w:sz w:val="24"/>
          <w:szCs w:val="24"/>
        </w:rPr>
        <w:br w:type="page"/>
      </w:r>
    </w:p>
    <w:p w14:paraId="2EBD1324" w14:textId="007BFF97" w:rsidR="00F321FC" w:rsidRPr="00812579" w:rsidRDefault="00F321FC">
      <w:pPr>
        <w:rPr>
          <w:rFonts w:cs="Arial"/>
          <w:b/>
          <w:bCs/>
          <w:sz w:val="24"/>
          <w:szCs w:val="24"/>
        </w:rPr>
      </w:pPr>
      <w:r w:rsidRPr="00812579">
        <w:rPr>
          <w:rFonts w:cs="Arial"/>
          <w:b/>
          <w:bCs/>
          <w:sz w:val="24"/>
          <w:szCs w:val="24"/>
        </w:rPr>
        <w:lastRenderedPageBreak/>
        <w:t>Shared Care Protocol</w:t>
      </w:r>
    </w:p>
    <w:p w14:paraId="0E304D85" w14:textId="64178DD3" w:rsidR="00F321FC" w:rsidRPr="00812579" w:rsidRDefault="00946787" w:rsidP="004532C6">
      <w:pPr>
        <w:pStyle w:val="Heading2"/>
        <w:numPr>
          <w:ilvl w:val="0"/>
          <w:numId w:val="0"/>
        </w:numPr>
        <w:ind w:left="357" w:hanging="357"/>
      </w:pPr>
      <w:r>
        <w:t>Amiodarone</w:t>
      </w:r>
      <w:r w:rsidR="00F321FC" w:rsidRPr="00812579">
        <w:t xml:space="preserve"> for patients within adult services</w:t>
      </w:r>
    </w:p>
    <w:tbl>
      <w:tblPr>
        <w:tblStyle w:val="TableGridLight1"/>
        <w:tblW w:w="0" w:type="auto"/>
        <w:tblInd w:w="-5" w:type="dxa"/>
        <w:tblCellMar>
          <w:top w:w="57" w:type="dxa"/>
          <w:bottom w:w="57" w:type="dxa"/>
        </w:tblCellMar>
        <w:tblLook w:val="0480" w:firstRow="0" w:lastRow="0" w:firstColumn="1" w:lastColumn="0" w:noHBand="0" w:noVBand="1"/>
      </w:tblPr>
      <w:tblGrid>
        <w:gridCol w:w="2199"/>
        <w:gridCol w:w="8262"/>
      </w:tblGrid>
      <w:tr w:rsidR="00C72861" w:rsidRPr="00F321FC" w14:paraId="3FF50130" w14:textId="77777777" w:rsidTr="06AC947B">
        <w:tc>
          <w:tcPr>
            <w:tcW w:w="2199" w:type="dxa"/>
            <w:tcBorders>
              <w:top w:val="single" w:sz="4" w:space="0" w:color="BFBFBF" w:themeColor="background1" w:themeShade="BF"/>
            </w:tcBorders>
          </w:tcPr>
          <w:p w14:paraId="60850D61" w14:textId="74515AEE" w:rsidR="00C72861" w:rsidRPr="00F321FC" w:rsidRDefault="00721E7A" w:rsidP="00413F90">
            <w:pPr>
              <w:pStyle w:val="Heading2"/>
              <w:rPr>
                <w:rFonts w:cs="Arial"/>
              </w:rPr>
            </w:pPr>
            <w:bookmarkStart w:id="0" w:name="one_background"/>
            <w:bookmarkStart w:id="1" w:name="_Toc149231785"/>
            <w:r w:rsidRPr="00F321FC">
              <w:rPr>
                <w:rFonts w:cs="Arial"/>
              </w:rPr>
              <w:t>Background</w:t>
            </w:r>
            <w:bookmarkEnd w:id="0"/>
            <w:bookmarkEnd w:id="1"/>
          </w:p>
        </w:tc>
        <w:tc>
          <w:tcPr>
            <w:tcW w:w="8262" w:type="dxa"/>
            <w:tcBorders>
              <w:top w:val="single" w:sz="4" w:space="0" w:color="BFBFBF" w:themeColor="background1" w:themeShade="BF"/>
            </w:tcBorders>
          </w:tcPr>
          <w:p w14:paraId="3B7DD1EF" w14:textId="47FD8D2A" w:rsidR="00946787" w:rsidRPr="00946787" w:rsidRDefault="00946787" w:rsidP="00946787">
            <w:pPr>
              <w:rPr>
                <w:rFonts w:cs="Arial"/>
              </w:rPr>
            </w:pPr>
            <w:r w:rsidRPr="00946787">
              <w:rPr>
                <w:rFonts w:cs="Arial"/>
              </w:rPr>
              <w:t xml:space="preserve">Amiodarone is used in the treatment of arrhythmias, as detailed in </w:t>
            </w:r>
            <w:hyperlink w:anchor="two_indications" w:history="1">
              <w:r w:rsidRPr="00946787">
                <w:rPr>
                  <w:rStyle w:val="Hyperlink"/>
                  <w:rFonts w:cs="Arial"/>
                </w:rPr>
                <w:t>section 2</w:t>
              </w:r>
            </w:hyperlink>
            <w:r w:rsidRPr="00946787">
              <w:rPr>
                <w:rFonts w:cs="Arial"/>
              </w:rPr>
              <w:t xml:space="preserve">.  It has an important place in the treatment of severe cardiac rhythm disorders where other treatments either cannot be used or have failed. Amiodarone has potentially serious adverse effects and its use requires regular monitoring.  </w:t>
            </w:r>
          </w:p>
          <w:p w14:paraId="64EB842E" w14:textId="0601BB0D" w:rsidR="00946787" w:rsidRPr="00946787" w:rsidRDefault="00946787" w:rsidP="00946787">
            <w:pPr>
              <w:rPr>
                <w:rFonts w:cs="Arial"/>
              </w:rPr>
            </w:pPr>
            <w:r w:rsidRPr="00946787">
              <w:rPr>
                <w:rFonts w:cs="Arial"/>
              </w:rPr>
              <w:t xml:space="preserve">Due to the significant safety concerns, NHS England (NHSE) </w:t>
            </w:r>
            <w:hyperlink r:id="rId13" w:history="1">
              <w:r w:rsidRPr="00946787">
                <w:rPr>
                  <w:rStyle w:val="Hyperlink"/>
                  <w:rFonts w:cs="Arial"/>
                </w:rPr>
                <w:t>guidance</w:t>
              </w:r>
            </w:hyperlink>
            <w:r w:rsidRPr="00946787">
              <w:rPr>
                <w:rFonts w:cs="Arial"/>
              </w:rPr>
              <w:t xml:space="preserve"> advises that prescribers should not initiate amiodarone in primary care for any new patients. In exceptional circumstances, if there is a clinical need for amiodarone to be prescribed, this must be initiated by a specialist and only continued under a shared care arrangement</w:t>
            </w:r>
            <w:r w:rsidR="002B318E">
              <w:rPr>
                <w:rFonts w:cs="Arial"/>
              </w:rPr>
              <w:t>. Amiodarone should only be prescribed when other treatment cannot be used or have failed, or is</w:t>
            </w:r>
            <w:r w:rsidRPr="00946787">
              <w:rPr>
                <w:rFonts w:cs="Arial"/>
              </w:rPr>
              <w:t xml:space="preserve"> in line with NICE clinical guidance </w:t>
            </w:r>
            <w:hyperlink r:id="rId14" w:history="1">
              <w:r w:rsidRPr="00946787">
                <w:rPr>
                  <w:rStyle w:val="Hyperlink"/>
                  <w:rFonts w:cs="Arial"/>
                </w:rPr>
                <w:t>Atrial fibrillation: NG196</w:t>
              </w:r>
            </w:hyperlink>
            <w:r w:rsidRPr="00946787">
              <w:rPr>
                <w:rFonts w:cs="Arial"/>
              </w:rPr>
              <w:t xml:space="preserve">.  NICE defines the place in therapy of amiodarone in NG196, and has made a “Do not do” recommendation: “Do not offer amiodarone for long-term rate control”. </w:t>
            </w:r>
          </w:p>
          <w:p w14:paraId="3A3AC80E" w14:textId="77777777" w:rsidR="00946787" w:rsidRPr="00946787" w:rsidRDefault="00946787" w:rsidP="00946787">
            <w:pPr>
              <w:rPr>
                <w:rFonts w:cs="Arial"/>
              </w:rPr>
            </w:pPr>
            <w:r w:rsidRPr="00946787">
              <w:rPr>
                <w:rFonts w:cs="Arial"/>
              </w:rPr>
              <w:t xml:space="preserve">Where there is an existing cohort of patients taking amiodarone who are not currently under shared care, it is recommended that these patients be reviewed to ensure that prescribing remains safe and appropriate and a shared care arrangement is introduced. </w:t>
            </w:r>
          </w:p>
          <w:p w14:paraId="6B5F3EB1" w14:textId="7C1997C6" w:rsidR="0065325B" w:rsidRPr="00B87200" w:rsidRDefault="00946787" w:rsidP="00946787">
            <w:pPr>
              <w:rPr>
                <w:rFonts w:cs="Arial"/>
              </w:rPr>
            </w:pPr>
            <w:r w:rsidRPr="00946787">
              <w:rPr>
                <w:rFonts w:cs="Arial"/>
              </w:rPr>
              <w:t>This document applies to adults aged 18 and over.</w:t>
            </w:r>
          </w:p>
        </w:tc>
      </w:tr>
      <w:tr w:rsidR="00C72861" w:rsidRPr="00F321FC" w14:paraId="700AF380" w14:textId="77777777" w:rsidTr="06AC947B">
        <w:tc>
          <w:tcPr>
            <w:tcW w:w="2199" w:type="dxa"/>
          </w:tcPr>
          <w:p w14:paraId="353B7610" w14:textId="421AD839" w:rsidR="00C72861" w:rsidRPr="00F321FC" w:rsidRDefault="00A93496" w:rsidP="00D31D08">
            <w:pPr>
              <w:pStyle w:val="Heading2"/>
              <w:rPr>
                <w:rFonts w:cs="Arial"/>
              </w:rPr>
            </w:pPr>
            <w:bookmarkStart w:id="2" w:name="two_indications"/>
            <w:bookmarkStart w:id="3" w:name="_Toc149231786"/>
            <w:r w:rsidRPr="00F321FC">
              <w:rPr>
                <w:rFonts w:cs="Arial"/>
              </w:rPr>
              <w:t xml:space="preserve">Licensed </w:t>
            </w:r>
            <w:r w:rsidR="00035AE8">
              <w:rPr>
                <w:rFonts w:cs="Arial"/>
              </w:rPr>
              <w:t xml:space="preserve">and agreed off-label </w:t>
            </w:r>
            <w:r w:rsidRPr="00F321FC">
              <w:rPr>
                <w:rFonts w:cs="Arial"/>
              </w:rPr>
              <w:t>indications</w:t>
            </w:r>
            <w:bookmarkEnd w:id="2"/>
            <w:bookmarkEnd w:id="3"/>
          </w:p>
        </w:tc>
        <w:tc>
          <w:tcPr>
            <w:tcW w:w="8262" w:type="dxa"/>
          </w:tcPr>
          <w:p w14:paraId="372AF8B5" w14:textId="77777777" w:rsidR="00946787" w:rsidRPr="00946787" w:rsidRDefault="00946787" w:rsidP="00946787">
            <w:pPr>
              <w:rPr>
                <w:rFonts w:cs="Arial"/>
              </w:rPr>
            </w:pPr>
            <w:r w:rsidRPr="00946787">
              <w:rPr>
                <w:rFonts w:cs="Arial"/>
              </w:rPr>
              <w:t>Licensed indications:</w:t>
            </w:r>
          </w:p>
          <w:p w14:paraId="069404C9" w14:textId="36DC3968" w:rsidR="00946787" w:rsidRPr="00946787" w:rsidRDefault="00946787" w:rsidP="00946787">
            <w:pPr>
              <w:pStyle w:val="ListParagraph"/>
              <w:numPr>
                <w:ilvl w:val="0"/>
                <w:numId w:val="26"/>
              </w:numPr>
              <w:rPr>
                <w:rFonts w:cs="Arial"/>
              </w:rPr>
            </w:pPr>
            <w:r w:rsidRPr="00946787">
              <w:rPr>
                <w:rFonts w:cs="Arial"/>
              </w:rPr>
              <w:t>Tachyarrhythmias associated with Wolff-Parkinson-White Syndrome.</w:t>
            </w:r>
          </w:p>
          <w:p w14:paraId="77884777" w14:textId="5E6388C0" w:rsidR="00946787" w:rsidRPr="00946787" w:rsidRDefault="00946787" w:rsidP="00946787">
            <w:pPr>
              <w:pStyle w:val="ListParagraph"/>
              <w:numPr>
                <w:ilvl w:val="0"/>
                <w:numId w:val="26"/>
              </w:numPr>
              <w:rPr>
                <w:rFonts w:cs="Arial"/>
              </w:rPr>
            </w:pPr>
            <w:r w:rsidRPr="00946787">
              <w:rPr>
                <w:rFonts w:cs="Arial"/>
              </w:rPr>
              <w:t>Atrial flutter fibrillation / atrial fibrillation when other drugs cannot be used.</w:t>
            </w:r>
          </w:p>
          <w:p w14:paraId="452D25AB" w14:textId="372A94DD" w:rsidR="00C72861" w:rsidRPr="00946787" w:rsidRDefault="00946787" w:rsidP="00946787">
            <w:pPr>
              <w:pStyle w:val="ListParagraph"/>
              <w:numPr>
                <w:ilvl w:val="0"/>
                <w:numId w:val="26"/>
              </w:numPr>
              <w:rPr>
                <w:rFonts w:cs="Arial"/>
              </w:rPr>
            </w:pPr>
            <w:r w:rsidRPr="00946787">
              <w:rPr>
                <w:rFonts w:cs="Arial"/>
              </w:rPr>
              <w:t>All types of tachyarrhythmias of paroxysmal nature including: supraventricular, nodal and ventricular tachycardias and ventricular fibrillation when other drugs cannot be used.</w:t>
            </w:r>
          </w:p>
        </w:tc>
      </w:tr>
      <w:tr w:rsidR="00C72861" w:rsidRPr="00F321FC" w14:paraId="36B1B999" w14:textId="77777777" w:rsidTr="06AC947B">
        <w:tc>
          <w:tcPr>
            <w:tcW w:w="2199" w:type="dxa"/>
          </w:tcPr>
          <w:p w14:paraId="6F2C624B" w14:textId="515A3B01" w:rsidR="00C72861" w:rsidRPr="00F321FC" w:rsidRDefault="00A93496" w:rsidP="00D31D08">
            <w:pPr>
              <w:pStyle w:val="Heading2"/>
              <w:rPr>
                <w:rFonts w:cs="Arial"/>
              </w:rPr>
            </w:pPr>
            <w:bookmarkStart w:id="4" w:name="three_local_indications"/>
            <w:bookmarkStart w:id="5" w:name="_Toc149231787"/>
            <w:r w:rsidRPr="00F321FC">
              <w:rPr>
                <w:rFonts w:cs="Arial"/>
              </w:rPr>
              <w:t xml:space="preserve">Locally agreed </w:t>
            </w:r>
            <w:r w:rsidR="00EC0326">
              <w:rPr>
                <w:rFonts w:cs="Arial"/>
              </w:rPr>
              <w:t>indications</w:t>
            </w:r>
            <w:bookmarkEnd w:id="4"/>
            <w:bookmarkEnd w:id="5"/>
          </w:p>
        </w:tc>
        <w:tc>
          <w:tcPr>
            <w:tcW w:w="8262" w:type="dxa"/>
          </w:tcPr>
          <w:p w14:paraId="14C3CD90" w14:textId="059004A1" w:rsidR="00C72861" w:rsidRPr="00FB7C6B" w:rsidRDefault="000E16B2" w:rsidP="00FB404F">
            <w:pPr>
              <w:rPr>
                <w:rFonts w:cs="Arial"/>
              </w:rPr>
            </w:pPr>
            <w:r w:rsidRPr="00FB7C6B">
              <w:rPr>
                <w:rFonts w:cs="Arial"/>
              </w:rPr>
              <w:t>As per section 2</w:t>
            </w:r>
          </w:p>
        </w:tc>
      </w:tr>
      <w:tr w:rsidR="00C72861" w:rsidRPr="00F321FC" w14:paraId="6823BC14" w14:textId="77777777" w:rsidTr="06AC947B">
        <w:tc>
          <w:tcPr>
            <w:tcW w:w="2199" w:type="dxa"/>
          </w:tcPr>
          <w:p w14:paraId="5B29E378" w14:textId="09C1A858" w:rsidR="00C72861" w:rsidRPr="00F321FC" w:rsidRDefault="00F132AA" w:rsidP="00D31D08">
            <w:pPr>
              <w:pStyle w:val="Heading2"/>
              <w:rPr>
                <w:rFonts w:cs="Arial"/>
              </w:rPr>
            </w:pPr>
            <w:bookmarkStart w:id="6" w:name="four_dosing"/>
            <w:bookmarkStart w:id="7" w:name="_Toc149231788"/>
            <w:r w:rsidRPr="00F321FC">
              <w:rPr>
                <w:rFonts w:cs="Arial"/>
              </w:rPr>
              <w:t>Initiation and ongoing dose regime</w:t>
            </w:r>
            <w:bookmarkEnd w:id="6"/>
            <w:bookmarkEnd w:id="7"/>
          </w:p>
        </w:tc>
        <w:tc>
          <w:tcPr>
            <w:tcW w:w="8262" w:type="dxa"/>
          </w:tcPr>
          <w:p w14:paraId="260E8B76" w14:textId="77777777" w:rsidR="003C0B49" w:rsidRDefault="006A3C6A" w:rsidP="00FB404F">
            <w:pPr>
              <w:rPr>
                <w:rFonts w:cs="Arial"/>
              </w:rPr>
            </w:pPr>
            <w:r w:rsidRPr="00B6384A">
              <w:t>Transfer of monitoring and prescribing for most shared care medicines is usually suggested to be after 12 weeks. To transfer from the specialist to primary care, the patient must be a) stable, i.e. the condition/indication is 'managed' appropriately, monitoring is within normal parameters, and b) the patient remains on the same dose that the specialist recommended.</w:t>
            </w:r>
          </w:p>
          <w:p w14:paraId="7AB5F9FB" w14:textId="01D2F51E" w:rsidR="00FB404F" w:rsidRPr="00FB404F" w:rsidRDefault="008128B6" w:rsidP="00FB404F">
            <w:pPr>
              <w:rPr>
                <w:rFonts w:cs="Arial"/>
              </w:rPr>
            </w:pPr>
            <w:r>
              <w:rPr>
                <w:rFonts w:cs="Arial"/>
              </w:rPr>
              <w:t xml:space="preserve">However, </w:t>
            </w:r>
            <w:r w:rsidR="005B4298">
              <w:rPr>
                <w:rFonts w:cs="Arial"/>
              </w:rPr>
              <w:t xml:space="preserve">for amiodarone, transfer of monitoring and prescribing to primary care may take place after 8 weeks </w:t>
            </w:r>
            <w:r w:rsidR="00CD2BDA">
              <w:rPr>
                <w:rFonts w:cs="Arial"/>
              </w:rPr>
              <w:t xml:space="preserve">as long as the patient's dose has been optimised and the patient has satisfactory investigation results. </w:t>
            </w:r>
          </w:p>
          <w:p w14:paraId="3243FEE8" w14:textId="4FE667AD" w:rsidR="00FB404F" w:rsidRPr="00FB404F" w:rsidRDefault="00FB404F" w:rsidP="00FB404F">
            <w:pPr>
              <w:rPr>
                <w:rFonts w:cs="Arial"/>
              </w:rPr>
            </w:pPr>
            <w:r w:rsidRPr="00FB404F">
              <w:rPr>
                <w:rFonts w:cs="Arial"/>
              </w:rPr>
              <w:t>The duration of treatment &amp; frequency of review will be determined by the specialist, based on clinical response and tolerability.</w:t>
            </w:r>
          </w:p>
          <w:p w14:paraId="7596D355" w14:textId="0B719FB1" w:rsidR="00FB404F" w:rsidRPr="00FB404F" w:rsidRDefault="00FB404F" w:rsidP="00FB404F">
            <w:pPr>
              <w:rPr>
                <w:rFonts w:cs="Arial"/>
              </w:rPr>
            </w:pPr>
            <w:r w:rsidRPr="00FB404F">
              <w:rPr>
                <w:rFonts w:cs="Arial"/>
              </w:rPr>
              <w:t>All dose or formulation adjustments will be the responsibility of the specialist unless directions have been discussed and agreed with the primary care clinician.</w:t>
            </w:r>
          </w:p>
          <w:p w14:paraId="78E31A93" w14:textId="0476360E" w:rsidR="00C72861" w:rsidRPr="00FB404F" w:rsidRDefault="00FB404F" w:rsidP="00FB404F">
            <w:pPr>
              <w:rPr>
                <w:rFonts w:cs="Arial"/>
              </w:rPr>
            </w:pPr>
            <w:r w:rsidRPr="00FB404F">
              <w:rPr>
                <w:rFonts w:cs="Arial"/>
              </w:rPr>
              <w:t>Termination of treatment will be the responsibility of the specialist.</w:t>
            </w:r>
          </w:p>
          <w:p w14:paraId="7FAC74DC" w14:textId="77777777" w:rsidR="00FB404F" w:rsidRPr="00FB404F" w:rsidRDefault="00FB404F" w:rsidP="00FB404F">
            <w:pPr>
              <w:rPr>
                <w:rFonts w:cs="Arial"/>
              </w:rPr>
            </w:pPr>
          </w:p>
          <w:p w14:paraId="6555FAD1" w14:textId="2C9BA274" w:rsidR="00891257" w:rsidRPr="0051526F" w:rsidRDefault="00FB404F" w:rsidP="0051526F">
            <w:pPr>
              <w:rPr>
                <w:b/>
                <w:bCs/>
                <w:u w:val="single"/>
              </w:rPr>
            </w:pPr>
            <w:r w:rsidRPr="0051526F">
              <w:rPr>
                <w:b/>
                <w:bCs/>
                <w:u w:val="single"/>
              </w:rPr>
              <w:t xml:space="preserve">Initial </w:t>
            </w:r>
            <w:r w:rsidR="00946787" w:rsidRPr="0051526F">
              <w:rPr>
                <w:b/>
                <w:bCs/>
                <w:u w:val="single"/>
              </w:rPr>
              <w:t>stabilisation</w:t>
            </w:r>
            <w:r w:rsidRPr="0051526F">
              <w:rPr>
                <w:b/>
                <w:bCs/>
                <w:u w:val="single"/>
              </w:rPr>
              <w:t xml:space="preserve">: </w:t>
            </w:r>
          </w:p>
          <w:p w14:paraId="473A49B1" w14:textId="77777777" w:rsidR="00946787" w:rsidRPr="00946787" w:rsidRDefault="00946787" w:rsidP="00946787">
            <w:pPr>
              <w:rPr>
                <w:rFonts w:cs="Arial"/>
              </w:rPr>
            </w:pPr>
            <w:r w:rsidRPr="00946787">
              <w:rPr>
                <w:rFonts w:cs="Arial"/>
              </w:rPr>
              <w:t xml:space="preserve">200mg three times per day for one week, then reduce to 200mg twice per day for one week.  </w:t>
            </w:r>
          </w:p>
          <w:p w14:paraId="2229E9DD" w14:textId="77777777" w:rsidR="00946787" w:rsidRPr="00946787" w:rsidRDefault="00946787" w:rsidP="00946787">
            <w:pPr>
              <w:rPr>
                <w:rFonts w:cs="Arial"/>
              </w:rPr>
            </w:pPr>
            <w:r w:rsidRPr="00946787">
              <w:rPr>
                <w:rFonts w:cs="Arial"/>
              </w:rPr>
              <w:t>Amiodarone is initiated with a loading dose in order to achieve adequate tissue levels rapidly. Rarely, the specialist team may use an alternative loading regimen.</w:t>
            </w:r>
          </w:p>
          <w:p w14:paraId="46BB63EB" w14:textId="3CFD7F9A" w:rsidR="003558F4" w:rsidRDefault="00946787" w:rsidP="00946787">
            <w:pPr>
              <w:rPr>
                <w:rFonts w:cs="Arial"/>
                <w:b/>
                <w:bCs/>
              </w:rPr>
            </w:pPr>
            <w:r w:rsidRPr="00946787">
              <w:rPr>
                <w:rFonts w:cs="Arial"/>
                <w:b/>
                <w:bCs/>
              </w:rPr>
              <w:t>The loading period must be prescribed by the initiating specialist.</w:t>
            </w:r>
          </w:p>
          <w:p w14:paraId="6039515C" w14:textId="77777777" w:rsidR="00062885" w:rsidRPr="00946787" w:rsidRDefault="00062885" w:rsidP="00946787">
            <w:pPr>
              <w:rPr>
                <w:rFonts w:cs="Arial"/>
                <w:b/>
                <w:bCs/>
              </w:rPr>
            </w:pPr>
          </w:p>
          <w:p w14:paraId="2F92A165" w14:textId="46DA1473" w:rsidR="000F4219" w:rsidRPr="0051526F" w:rsidRDefault="00FB404F" w:rsidP="0051526F">
            <w:pPr>
              <w:rPr>
                <w:b/>
                <w:bCs/>
                <w:u w:val="single"/>
              </w:rPr>
            </w:pPr>
            <w:r w:rsidRPr="0051526F">
              <w:rPr>
                <w:b/>
                <w:bCs/>
                <w:u w:val="single"/>
              </w:rPr>
              <w:lastRenderedPageBreak/>
              <w:t>Maintenance dose (following initial stabilisation):</w:t>
            </w:r>
          </w:p>
          <w:p w14:paraId="784BF002" w14:textId="77777777" w:rsidR="001A51F3" w:rsidRPr="001A51F3" w:rsidRDefault="001A51F3" w:rsidP="001A51F3">
            <w:pPr>
              <w:rPr>
                <w:rFonts w:cs="Arial"/>
              </w:rPr>
            </w:pPr>
            <w:r w:rsidRPr="001A51F3">
              <w:rPr>
                <w:rFonts w:cs="Arial"/>
              </w:rPr>
              <w:t xml:space="preserve">200mg per day, or less if appropriate.  The minimum dose required to control the arrhythmia should be used.  </w:t>
            </w:r>
          </w:p>
          <w:p w14:paraId="14438805" w14:textId="77777777" w:rsidR="001A51F3" w:rsidRPr="001A51F3" w:rsidRDefault="001A51F3" w:rsidP="001A51F3">
            <w:pPr>
              <w:rPr>
                <w:rFonts w:cs="Arial"/>
              </w:rPr>
            </w:pPr>
            <w:r w:rsidRPr="001A51F3">
              <w:rPr>
                <w:rFonts w:cs="Arial"/>
              </w:rPr>
              <w:t xml:space="preserve">Rarely, a higher maintenance dose may be required. The maintenance dose should be reviewed regularly, particularly if it exceeds 200mg per day. </w:t>
            </w:r>
          </w:p>
          <w:p w14:paraId="7AA3AEC4" w14:textId="7DC5F510" w:rsidR="00FB404F" w:rsidRPr="001A51F3" w:rsidRDefault="001A51F3" w:rsidP="001A51F3">
            <w:pPr>
              <w:rPr>
                <w:rFonts w:cs="Arial"/>
                <w:b/>
                <w:bCs/>
              </w:rPr>
            </w:pPr>
            <w:r w:rsidRPr="001A51F3">
              <w:rPr>
                <w:rFonts w:cs="Arial"/>
                <w:b/>
                <w:bCs/>
              </w:rPr>
              <w:t>The initial maintenance dose must be prescribed by the initiating specialist.</w:t>
            </w:r>
          </w:p>
          <w:p w14:paraId="6BA7644C" w14:textId="77777777" w:rsidR="001A51F3" w:rsidRPr="00FB404F" w:rsidRDefault="001A51F3" w:rsidP="001A51F3">
            <w:pPr>
              <w:rPr>
                <w:rFonts w:cs="Arial"/>
              </w:rPr>
            </w:pPr>
          </w:p>
          <w:p w14:paraId="35304426" w14:textId="5CF2C7C6" w:rsidR="00FB404F" w:rsidRPr="00FB404F" w:rsidRDefault="00FB404F" w:rsidP="00FB404F">
            <w:pPr>
              <w:rPr>
                <w:rFonts w:eastAsiaTheme="majorEastAsia" w:cs="Arial"/>
                <w:b/>
                <w:szCs w:val="24"/>
              </w:rPr>
            </w:pPr>
            <w:r w:rsidRPr="00FB404F">
              <w:rPr>
                <w:rFonts w:eastAsiaTheme="majorEastAsia" w:cs="Arial"/>
                <w:b/>
                <w:szCs w:val="24"/>
              </w:rPr>
              <w:t>Condi</w:t>
            </w:r>
            <w:r>
              <w:rPr>
                <w:rFonts w:eastAsiaTheme="majorEastAsia" w:cs="Arial"/>
                <w:b/>
                <w:szCs w:val="24"/>
              </w:rPr>
              <w:t>tions requiring dose adjustment:</w:t>
            </w:r>
          </w:p>
          <w:p w14:paraId="710857F8" w14:textId="6BE84630" w:rsidR="000F4219" w:rsidRPr="00FB404F" w:rsidRDefault="001A51F3" w:rsidP="00FB404F">
            <w:pPr>
              <w:rPr>
                <w:rFonts w:cs="Arial"/>
              </w:rPr>
            </w:pPr>
            <w:r w:rsidRPr="001A51F3">
              <w:rPr>
                <w:rFonts w:cs="Arial"/>
              </w:rPr>
              <w:t>Although there is no evidence that dose requirements for elderly patients are lower, they may be more susceptible to bradycardia and conduction defects if too high a dose is prescribed. The minimum effective dose should be used. Particular attention should be paid to monitoring thyroid function.</w:t>
            </w:r>
          </w:p>
        </w:tc>
      </w:tr>
      <w:tr w:rsidR="00C72861" w:rsidRPr="00F321FC" w14:paraId="68FCED24" w14:textId="77777777" w:rsidTr="06AC947B">
        <w:tc>
          <w:tcPr>
            <w:tcW w:w="2199" w:type="dxa"/>
          </w:tcPr>
          <w:p w14:paraId="3DF33630" w14:textId="4E2865B1" w:rsidR="00C72861" w:rsidRPr="00F321FC" w:rsidRDefault="00AE0E89" w:rsidP="00AE0E89">
            <w:pPr>
              <w:pStyle w:val="Heading2"/>
              <w:rPr>
                <w:rFonts w:cs="Arial"/>
              </w:rPr>
            </w:pPr>
            <w:bookmarkStart w:id="8" w:name="five_initial_monitoring"/>
            <w:bookmarkStart w:id="9" w:name="_Toc149231789"/>
            <w:r w:rsidRPr="00F321FC">
              <w:rPr>
                <w:rFonts w:cs="Arial"/>
              </w:rPr>
              <w:lastRenderedPageBreak/>
              <w:t xml:space="preserve">Baseline investigations, initial </w:t>
            </w:r>
            <w:r w:rsidR="00005FC7" w:rsidRPr="00F321FC">
              <w:rPr>
                <w:rFonts w:cs="Arial"/>
              </w:rPr>
              <w:t>monitoring,</w:t>
            </w:r>
            <w:r w:rsidRPr="00F321FC">
              <w:rPr>
                <w:rFonts w:cs="Arial"/>
              </w:rPr>
              <w:t xml:space="preserve"> and </w:t>
            </w:r>
            <w:r w:rsidR="00FB404F">
              <w:rPr>
                <w:rFonts w:cs="Arial"/>
              </w:rPr>
              <w:t xml:space="preserve">ongoing monitoring </w:t>
            </w:r>
            <w:r w:rsidRPr="00F321FC">
              <w:rPr>
                <w:rFonts w:cs="Arial"/>
              </w:rPr>
              <w:t>to be undertaken by specialist</w:t>
            </w:r>
            <w:bookmarkEnd w:id="8"/>
            <w:bookmarkEnd w:id="9"/>
          </w:p>
        </w:tc>
        <w:tc>
          <w:tcPr>
            <w:tcW w:w="8262" w:type="dxa"/>
          </w:tcPr>
          <w:p w14:paraId="0226882F" w14:textId="432B5CFF" w:rsidR="00FB404F" w:rsidRDefault="00FB404F" w:rsidP="00003E35">
            <w:pPr>
              <w:rPr>
                <w:b/>
                <w:lang w:eastAsia="en-GB"/>
              </w:rPr>
            </w:pPr>
            <w:r w:rsidRPr="00FB404F">
              <w:rPr>
                <w:lang w:eastAsia="en-GB"/>
              </w:rPr>
              <w:t>Monitoring at baseline and during initiation is the responsibility of the specialist; only once the patient is optimised on the chosen medication with no anticipated further changes expected in</w:t>
            </w:r>
            <w:r>
              <w:rPr>
                <w:lang w:eastAsia="en-GB"/>
              </w:rPr>
              <w:t xml:space="preserve"> the</w:t>
            </w:r>
            <w:r w:rsidRPr="00FB404F">
              <w:rPr>
                <w:lang w:eastAsia="en-GB"/>
              </w:rPr>
              <w:t xml:space="preserve"> immediate future will prescribing and monitoring be transferred to primary care.</w:t>
            </w:r>
          </w:p>
          <w:p w14:paraId="3E25A637" w14:textId="77777777" w:rsidR="00FB404F" w:rsidRPr="00FB404F" w:rsidRDefault="00FB404F" w:rsidP="00003E35">
            <w:pPr>
              <w:rPr>
                <w:lang w:eastAsia="en-GB"/>
              </w:rPr>
            </w:pPr>
          </w:p>
          <w:p w14:paraId="706B6366" w14:textId="77777777" w:rsidR="0041687B" w:rsidRPr="0051526F" w:rsidRDefault="0041687B" w:rsidP="0051526F">
            <w:pPr>
              <w:rPr>
                <w:b/>
                <w:bCs/>
                <w:u w:val="single"/>
              </w:rPr>
            </w:pPr>
            <w:r w:rsidRPr="0051526F">
              <w:rPr>
                <w:b/>
                <w:bCs/>
                <w:u w:val="single"/>
              </w:rPr>
              <w:t>Baseline investigations:</w:t>
            </w:r>
          </w:p>
          <w:p w14:paraId="277287E2" w14:textId="186C1C22" w:rsidR="001A51F3" w:rsidRPr="001A51F3" w:rsidRDefault="001A51F3" w:rsidP="001A51F3">
            <w:pPr>
              <w:pStyle w:val="ListParagraph"/>
              <w:numPr>
                <w:ilvl w:val="0"/>
                <w:numId w:val="27"/>
              </w:numPr>
            </w:pPr>
            <w:r w:rsidRPr="001A51F3">
              <w:t>Thyroid function tests (</w:t>
            </w:r>
            <w:r w:rsidR="0085244E">
              <w:t xml:space="preserve">TFTs; </w:t>
            </w:r>
            <w:r w:rsidRPr="001A51F3">
              <w:t>free T4, free T3 and TSH)</w:t>
            </w:r>
            <w:r w:rsidR="004D5B8A">
              <w:t xml:space="preserve">. Consider </w:t>
            </w:r>
            <w:r w:rsidR="00F465B4">
              <w:t xml:space="preserve">testing for </w:t>
            </w:r>
            <w:r w:rsidR="004D5B8A">
              <w:t>thyroid peroxidase antibodies</w:t>
            </w:r>
            <w:r w:rsidR="00DE6B93">
              <w:t xml:space="preserve"> for people with elevated TSH</w:t>
            </w:r>
            <w:r w:rsidR="004D5B8A">
              <w:t xml:space="preserve">. </w:t>
            </w:r>
          </w:p>
          <w:p w14:paraId="6FD3B022" w14:textId="14E5159D" w:rsidR="001A51F3" w:rsidRPr="001A51F3" w:rsidRDefault="001A51F3" w:rsidP="001A51F3">
            <w:pPr>
              <w:pStyle w:val="ListParagraph"/>
              <w:numPr>
                <w:ilvl w:val="0"/>
                <w:numId w:val="27"/>
              </w:numPr>
            </w:pPr>
            <w:r w:rsidRPr="001A51F3">
              <w:t>Liver function tests (LFTs, particularly transaminases)</w:t>
            </w:r>
          </w:p>
          <w:p w14:paraId="2718E9AF" w14:textId="0D54EA78" w:rsidR="001A51F3" w:rsidRPr="001A51F3" w:rsidRDefault="001A51F3" w:rsidP="001A51F3">
            <w:pPr>
              <w:pStyle w:val="ListParagraph"/>
              <w:numPr>
                <w:ilvl w:val="0"/>
                <w:numId w:val="27"/>
              </w:numPr>
            </w:pPr>
            <w:r w:rsidRPr="001A51F3">
              <w:t>Urea and electrolytes (U&amp;Es, including magnesium and potassium)</w:t>
            </w:r>
          </w:p>
          <w:p w14:paraId="01C9B69E" w14:textId="42E48278" w:rsidR="001A51F3" w:rsidRPr="001A51F3" w:rsidRDefault="001A51F3" w:rsidP="001A51F3">
            <w:pPr>
              <w:pStyle w:val="ListParagraph"/>
              <w:numPr>
                <w:ilvl w:val="0"/>
                <w:numId w:val="27"/>
              </w:numPr>
            </w:pPr>
            <w:r w:rsidRPr="001A51F3">
              <w:t xml:space="preserve">Electrocardiogram (ECG) </w:t>
            </w:r>
          </w:p>
          <w:p w14:paraId="326F8F49" w14:textId="3ED77811" w:rsidR="001A51F3" w:rsidRPr="001A51F3" w:rsidRDefault="001A51F3" w:rsidP="001A51F3">
            <w:pPr>
              <w:pStyle w:val="ListParagraph"/>
              <w:numPr>
                <w:ilvl w:val="0"/>
                <w:numId w:val="27"/>
              </w:numPr>
            </w:pPr>
            <w:r w:rsidRPr="001A51F3">
              <w:t xml:space="preserve">Chest X-ray </w:t>
            </w:r>
          </w:p>
          <w:p w14:paraId="7CD8ACB9" w14:textId="33D54A16" w:rsidR="001A51F3" w:rsidRPr="001A51F3" w:rsidRDefault="001A51F3" w:rsidP="001A51F3">
            <w:pPr>
              <w:pStyle w:val="ListParagraph"/>
              <w:numPr>
                <w:ilvl w:val="0"/>
                <w:numId w:val="27"/>
              </w:numPr>
            </w:pPr>
            <w:r w:rsidRPr="001A51F3">
              <w:t xml:space="preserve">For patients taking warfarin: </w:t>
            </w:r>
            <w:r w:rsidR="009E2B63">
              <w:t xml:space="preserve">ensure </w:t>
            </w:r>
            <w:r w:rsidRPr="001A51F3">
              <w:t xml:space="preserve">international normalised ratio </w:t>
            </w:r>
            <w:r w:rsidR="009E2B63" w:rsidRPr="001A51F3">
              <w:t xml:space="preserve">(INR) </w:t>
            </w:r>
            <w:r w:rsidR="009E2B63">
              <w:t xml:space="preserve">is monitored </w:t>
            </w:r>
            <w:r w:rsidRPr="001A51F3">
              <w:t>at baseline and during dose stabilisation period</w:t>
            </w:r>
            <w:r w:rsidR="00B02888">
              <w:t xml:space="preserve">, </w:t>
            </w:r>
            <w:r w:rsidR="00B02888" w:rsidRPr="00A218D8">
              <w:t>in close collaboration with the anticoagulant clinic or other appropriate service</w:t>
            </w:r>
            <w:r w:rsidR="002B318E">
              <w:t>.</w:t>
            </w:r>
          </w:p>
          <w:p w14:paraId="4C377D47" w14:textId="4AEAC8A4" w:rsidR="0041687B" w:rsidRDefault="001A51F3" w:rsidP="001A51F3">
            <w:pPr>
              <w:pStyle w:val="ListParagraph"/>
              <w:numPr>
                <w:ilvl w:val="0"/>
                <w:numId w:val="27"/>
              </w:numPr>
            </w:pPr>
            <w:r w:rsidRPr="001A51F3">
              <w:t>For patients taking digoxin: clinical monitoring is recommended and the digoxin dose should be halved. Digoxin levels should be monitored appropriately</w:t>
            </w:r>
            <w:r w:rsidR="002E2BA7">
              <w:t xml:space="preserve"> and the dose titrated</w:t>
            </w:r>
            <w:r w:rsidRPr="001A51F3">
              <w:t>.</w:t>
            </w:r>
          </w:p>
          <w:p w14:paraId="1B12F5F9" w14:textId="77777777" w:rsidR="001A51F3" w:rsidRDefault="001A51F3" w:rsidP="001A51F3"/>
          <w:p w14:paraId="5C41EF28" w14:textId="4BB8419C" w:rsidR="001A51F3" w:rsidRDefault="001A51F3" w:rsidP="00BF174A">
            <w:r w:rsidRPr="00BF174A">
              <w:rPr>
                <w:b/>
                <w:bCs/>
                <w:u w:val="single"/>
              </w:rPr>
              <w:t xml:space="preserve">Initial monitoring: </w:t>
            </w:r>
          </w:p>
          <w:p w14:paraId="1111CCD6" w14:textId="5D33D2CD" w:rsidR="0085244E" w:rsidRDefault="0085244E" w:rsidP="000F68E2">
            <w:pPr>
              <w:pStyle w:val="ListParagraph"/>
              <w:numPr>
                <w:ilvl w:val="0"/>
                <w:numId w:val="40"/>
              </w:numPr>
            </w:pPr>
            <w:r>
              <w:t>Where results are borderline, monitor TFTs every six weeks until stable.</w:t>
            </w:r>
          </w:p>
          <w:p w14:paraId="2D85A9DD" w14:textId="3F3661DF" w:rsidR="000F68E2" w:rsidRDefault="000F68E2" w:rsidP="0064598F">
            <w:pPr>
              <w:pStyle w:val="ListParagraph"/>
              <w:numPr>
                <w:ilvl w:val="0"/>
                <w:numId w:val="40"/>
              </w:numPr>
            </w:pPr>
            <w:r>
              <w:t xml:space="preserve">For patients taking warfarin: </w:t>
            </w:r>
            <w:r w:rsidR="009E2B63">
              <w:t xml:space="preserve">ensure INR is </w:t>
            </w:r>
            <w:r>
              <w:t>monitor</w:t>
            </w:r>
            <w:r w:rsidR="009E2B63">
              <w:t>ed</w:t>
            </w:r>
            <w:r>
              <w:t xml:space="preserve"> for at least 7 weeks, </w:t>
            </w:r>
            <w:r w:rsidRPr="00A218D8">
              <w:t>in close collaboration wi</w:t>
            </w:r>
            <w:r w:rsidR="001D0190" w:rsidRPr="00A218D8">
              <w:t>th</w:t>
            </w:r>
            <w:r w:rsidRPr="00A218D8">
              <w:t xml:space="preserve"> the anticoagulant clinic or other appropriate service.</w:t>
            </w:r>
            <w:r>
              <w:t xml:space="preserve"> </w:t>
            </w:r>
          </w:p>
          <w:p w14:paraId="1C3B3B05" w14:textId="77777777" w:rsidR="001A51F3" w:rsidRPr="001A51F3" w:rsidRDefault="001A51F3" w:rsidP="001A51F3"/>
          <w:p w14:paraId="07CDEB35" w14:textId="77777777" w:rsidR="0041687B" w:rsidRDefault="0041687B" w:rsidP="0051526F">
            <w:pPr>
              <w:rPr>
                <w:b/>
                <w:bCs/>
                <w:u w:val="single"/>
              </w:rPr>
            </w:pPr>
            <w:r w:rsidRPr="0051526F">
              <w:rPr>
                <w:b/>
                <w:bCs/>
                <w:u w:val="single"/>
              </w:rPr>
              <w:t>Ongoing monitoring:</w:t>
            </w:r>
          </w:p>
          <w:p w14:paraId="2B2ECDCF" w14:textId="25364E91" w:rsidR="005A0949" w:rsidRPr="0051526F" w:rsidRDefault="00EE54D4" w:rsidP="0051526F">
            <w:pPr>
              <w:rPr>
                <w:b/>
                <w:bCs/>
                <w:u w:val="single"/>
              </w:rPr>
            </w:pPr>
            <w:r w:rsidRPr="00504F30">
              <w:t>At initiation of shared care, communication to primary care should include current and ongoing dose, any relevant test results, and date the next monitoring is required.</w:t>
            </w:r>
          </w:p>
          <w:p w14:paraId="41FF0CDA" w14:textId="229BD586" w:rsidR="001A51F3" w:rsidRPr="001A51F3" w:rsidRDefault="0085244E" w:rsidP="001A51F3">
            <w:pPr>
              <w:pStyle w:val="ListParagraph"/>
              <w:numPr>
                <w:ilvl w:val="0"/>
                <w:numId w:val="28"/>
              </w:numPr>
              <w:rPr>
                <w:rFonts w:cs="Arial"/>
              </w:rPr>
            </w:pPr>
            <w:r>
              <w:rPr>
                <w:rFonts w:cs="Arial"/>
              </w:rPr>
              <w:t>I</w:t>
            </w:r>
            <w:r w:rsidRPr="001A51F3">
              <w:rPr>
                <w:rFonts w:cs="Arial"/>
              </w:rPr>
              <w:t>f respiratory symptoms or toxicity suspected</w:t>
            </w:r>
            <w:r>
              <w:rPr>
                <w:rFonts w:cs="Arial"/>
              </w:rPr>
              <w:t>:</w:t>
            </w:r>
            <w:r w:rsidRPr="001A51F3">
              <w:rPr>
                <w:rFonts w:cs="Arial"/>
              </w:rPr>
              <w:t xml:space="preserve"> </w:t>
            </w:r>
            <w:r>
              <w:rPr>
                <w:rFonts w:cs="Arial"/>
              </w:rPr>
              <w:t>c</w:t>
            </w:r>
            <w:r w:rsidR="001A51F3" w:rsidRPr="001A51F3">
              <w:rPr>
                <w:rFonts w:cs="Arial"/>
              </w:rPr>
              <w:t>hest X-ray</w:t>
            </w:r>
            <w:r>
              <w:rPr>
                <w:rFonts w:cs="Arial"/>
              </w:rPr>
              <w:t>,</w:t>
            </w:r>
            <w:r w:rsidR="004D5B8A">
              <w:rPr>
                <w:rFonts w:cs="Arial"/>
              </w:rPr>
              <w:t xml:space="preserve"> </w:t>
            </w:r>
            <w:r w:rsidR="001D0190">
              <w:rPr>
                <w:rFonts w:cs="Arial"/>
              </w:rPr>
              <w:t xml:space="preserve">high resolution CT scan, and </w:t>
            </w:r>
            <w:r w:rsidR="001A51F3" w:rsidRPr="001A51F3">
              <w:rPr>
                <w:rFonts w:cs="Arial"/>
              </w:rPr>
              <w:t>pulmonary function tests</w:t>
            </w:r>
            <w:r w:rsidR="001D0190">
              <w:rPr>
                <w:rFonts w:cs="Arial"/>
              </w:rPr>
              <w:t xml:space="preserve"> including,</w:t>
            </w:r>
            <w:r>
              <w:rPr>
                <w:rFonts w:cs="Arial"/>
              </w:rPr>
              <w:t xml:space="preserve"> where possible, transfer factor. </w:t>
            </w:r>
          </w:p>
          <w:p w14:paraId="3672B0FF" w14:textId="08F57BA3" w:rsidR="003263E8" w:rsidRPr="0041687B" w:rsidRDefault="001A51F3" w:rsidP="001A51F3">
            <w:pPr>
              <w:rPr>
                <w:rFonts w:cs="Arial"/>
              </w:rPr>
            </w:pPr>
            <w:r w:rsidRPr="001A51F3">
              <w:rPr>
                <w:rFonts w:cs="Arial"/>
              </w:rPr>
              <w:t xml:space="preserve">After each review, advise primary care whether treatment should be continued, confirm the ongoing dose, and whether the ongoing monitoring outlined in </w:t>
            </w:r>
            <w:hyperlink w:anchor="six_monitoring" w:history="1">
              <w:r w:rsidRPr="001A51F3">
                <w:rPr>
                  <w:rStyle w:val="Hyperlink"/>
                  <w:rFonts w:cs="Arial"/>
                </w:rPr>
                <w:t>section 6</w:t>
              </w:r>
            </w:hyperlink>
            <w:r w:rsidRPr="001A51F3">
              <w:rPr>
                <w:rFonts w:cs="Arial"/>
              </w:rPr>
              <w:t xml:space="preserve"> remains appropriate.</w:t>
            </w:r>
          </w:p>
        </w:tc>
      </w:tr>
    </w:tbl>
    <w:p w14:paraId="7BD95E7B" w14:textId="31B26BC9" w:rsidR="003C0B49" w:rsidRDefault="003C0B49"/>
    <w:p w14:paraId="24DDBB3D" w14:textId="77777777" w:rsidR="003C0B49" w:rsidRDefault="003C0B49">
      <w:pPr>
        <w:spacing w:before="0" w:after="160"/>
      </w:pPr>
      <w:r>
        <w:br w:type="page"/>
      </w:r>
    </w:p>
    <w:p w14:paraId="576AA7C1" w14:textId="77777777" w:rsidR="0051526F" w:rsidRDefault="0051526F"/>
    <w:p w14:paraId="39805D5C" w14:textId="77777777" w:rsidR="0051526F" w:rsidRDefault="0051526F" w:rsidP="0051526F">
      <w:pPr>
        <w:pStyle w:val="Heading2"/>
        <w:rPr>
          <w:rFonts w:cs="Arial"/>
        </w:rPr>
      </w:pPr>
      <w:bookmarkStart w:id="10" w:name="_Toc149231790"/>
      <w:bookmarkStart w:id="11" w:name="six_monitoring"/>
      <w:r w:rsidRPr="00F321FC">
        <w:rPr>
          <w:rFonts w:cs="Arial"/>
        </w:rPr>
        <w:t>Ongoing monitoring requirements to be undertaken by primary care</w:t>
      </w:r>
      <w:bookmarkEnd w:id="10"/>
    </w:p>
    <w:bookmarkEnd w:id="11"/>
    <w:p w14:paraId="390251ED" w14:textId="1BF22BCF" w:rsidR="0051526F" w:rsidRDefault="0051526F">
      <w:r w:rsidRPr="00EC0326">
        <w:rPr>
          <w:rFonts w:cs="Arial"/>
        </w:rPr>
        <w:t>If monitoring results are forwarded to the specialist team, please include clear clinical information on the reason for sending, to inform action to be taken by secondary care.</w:t>
      </w:r>
    </w:p>
    <w:tbl>
      <w:tblPr>
        <w:tblStyle w:val="TableGridLight1"/>
        <w:tblW w:w="0" w:type="auto"/>
        <w:tblInd w:w="-5" w:type="dxa"/>
        <w:tblCellMar>
          <w:top w:w="57" w:type="dxa"/>
          <w:bottom w:w="57" w:type="dxa"/>
        </w:tblCellMar>
        <w:tblLook w:val="0480" w:firstRow="0" w:lastRow="0" w:firstColumn="1" w:lastColumn="0" w:noHBand="0" w:noVBand="1"/>
      </w:tblPr>
      <w:tblGrid>
        <w:gridCol w:w="5032"/>
        <w:gridCol w:w="5033"/>
      </w:tblGrid>
      <w:tr w:rsidR="0051526F" w:rsidRPr="00F321FC" w14:paraId="3DB248E9" w14:textId="77777777" w:rsidTr="0C9E8CE2">
        <w:trPr>
          <w:tblHeader/>
        </w:trPr>
        <w:tc>
          <w:tcPr>
            <w:tcW w:w="5032" w:type="dxa"/>
            <w:shd w:val="clear" w:color="auto" w:fill="F2F2F2" w:themeFill="background1" w:themeFillShade="F2"/>
          </w:tcPr>
          <w:p w14:paraId="1DAB6EDA" w14:textId="153D4D99" w:rsidR="0051526F" w:rsidRPr="00BF174A" w:rsidRDefault="0051526F" w:rsidP="00BF174A">
            <w:pPr>
              <w:rPr>
                <w:b/>
                <w:bCs/>
                <w:u w:val="single"/>
              </w:rPr>
            </w:pPr>
            <w:r w:rsidRPr="00BF174A">
              <w:rPr>
                <w:b/>
                <w:bCs/>
                <w:u w:val="single"/>
              </w:rPr>
              <w:t>Monitoring</w:t>
            </w:r>
          </w:p>
        </w:tc>
        <w:tc>
          <w:tcPr>
            <w:tcW w:w="5033" w:type="dxa"/>
            <w:shd w:val="clear" w:color="auto" w:fill="F2F2F2" w:themeFill="background1" w:themeFillShade="F2"/>
          </w:tcPr>
          <w:p w14:paraId="779C2E8A" w14:textId="1265EEED" w:rsidR="0051526F" w:rsidRPr="00BF174A" w:rsidRDefault="0051526F" w:rsidP="00BF174A">
            <w:pPr>
              <w:rPr>
                <w:b/>
                <w:bCs/>
                <w:u w:val="single"/>
              </w:rPr>
            </w:pPr>
            <w:r w:rsidRPr="00BF174A">
              <w:rPr>
                <w:b/>
                <w:bCs/>
                <w:u w:val="single"/>
              </w:rPr>
              <w:t>Frequency</w:t>
            </w:r>
          </w:p>
        </w:tc>
      </w:tr>
      <w:tr w:rsidR="0051526F" w:rsidRPr="00F321FC" w14:paraId="33418424" w14:textId="77777777" w:rsidTr="0C9E8CE2">
        <w:tc>
          <w:tcPr>
            <w:tcW w:w="5032" w:type="dxa"/>
          </w:tcPr>
          <w:p w14:paraId="7D66078F" w14:textId="19732B06" w:rsidR="0051526F" w:rsidRDefault="0051526F" w:rsidP="001A51F3">
            <w:pPr>
              <w:pStyle w:val="ListParagraph"/>
              <w:numPr>
                <w:ilvl w:val="0"/>
                <w:numId w:val="29"/>
              </w:numPr>
              <w:spacing w:before="0"/>
              <w:contextualSpacing/>
              <w:rPr>
                <w:rFonts w:eastAsia="Times New Roman" w:cstheme="minorHAnsi"/>
                <w:iCs/>
                <w:color w:val="000000"/>
                <w:lang w:eastAsia="en-GB"/>
              </w:rPr>
            </w:pPr>
            <w:r>
              <w:rPr>
                <w:rFonts w:eastAsia="Times New Roman" w:cstheme="minorHAnsi"/>
                <w:iCs/>
                <w:color w:val="000000"/>
                <w:lang w:eastAsia="en-GB"/>
              </w:rPr>
              <w:t xml:space="preserve">Thyroid function tests </w:t>
            </w:r>
            <w:r w:rsidR="0063597C">
              <w:rPr>
                <w:rFonts w:eastAsia="Times New Roman" w:cstheme="minorHAnsi"/>
                <w:iCs/>
                <w:color w:val="000000"/>
                <w:lang w:eastAsia="en-GB"/>
              </w:rPr>
              <w:t xml:space="preserve">– </w:t>
            </w:r>
            <w:r w:rsidR="009B4751">
              <w:rPr>
                <w:rFonts w:eastAsia="Times New Roman" w:cstheme="minorHAnsi"/>
                <w:iCs/>
                <w:color w:val="000000"/>
                <w:lang w:eastAsia="en-GB"/>
              </w:rPr>
              <w:t xml:space="preserve">TSH. If abnormal, refer to </w:t>
            </w:r>
            <w:hyperlink r:id="rId15" w:anchor="id-abnormal-results__hypothyroidism" w:history="1">
              <w:r w:rsidR="0063597C" w:rsidRPr="0027153B">
                <w:rPr>
                  <w:rStyle w:val="Hyperlink"/>
                  <w:rFonts w:eastAsia="Times New Roman" w:cstheme="minorHAnsi"/>
                  <w:iCs/>
                  <w:lang w:eastAsia="en-GB"/>
                </w:rPr>
                <w:t xml:space="preserve">SPS monitoring </w:t>
              </w:r>
              <w:r w:rsidR="00314E78" w:rsidRPr="0027153B">
                <w:rPr>
                  <w:rStyle w:val="Hyperlink"/>
                  <w:rFonts w:eastAsia="Times New Roman" w:cstheme="minorHAnsi"/>
                  <w:iCs/>
                  <w:lang w:eastAsia="en-GB"/>
                </w:rPr>
                <w:t>for amiodarone</w:t>
              </w:r>
            </w:hyperlink>
            <w:r w:rsidR="00314E78">
              <w:rPr>
                <w:rFonts w:eastAsia="Times New Roman" w:cstheme="minorHAnsi"/>
                <w:iCs/>
                <w:color w:val="000000"/>
                <w:lang w:eastAsia="en-GB"/>
              </w:rPr>
              <w:t xml:space="preserve"> </w:t>
            </w:r>
          </w:p>
          <w:p w14:paraId="725BB3D8" w14:textId="77777777" w:rsidR="0051526F" w:rsidRPr="001A51F3" w:rsidRDefault="0051526F" w:rsidP="001A51F3">
            <w:pPr>
              <w:pStyle w:val="ListParagraph"/>
              <w:numPr>
                <w:ilvl w:val="0"/>
                <w:numId w:val="29"/>
              </w:numPr>
              <w:spacing w:before="0" w:after="0"/>
              <w:contextualSpacing/>
              <w:rPr>
                <w:rFonts w:cs="Arial"/>
              </w:rPr>
            </w:pPr>
            <w:r>
              <w:rPr>
                <w:rFonts w:eastAsia="Times New Roman" w:cstheme="minorHAnsi"/>
                <w:color w:val="000000"/>
                <w:lang w:eastAsia="en-GB"/>
              </w:rPr>
              <w:t>LFTs (particularly transaminases)</w:t>
            </w:r>
          </w:p>
          <w:p w14:paraId="3928C649" w14:textId="0B41DFC1" w:rsidR="0051526F" w:rsidRPr="00AA1FC8" w:rsidRDefault="0051526F" w:rsidP="001A51F3">
            <w:pPr>
              <w:pStyle w:val="ListParagraph"/>
              <w:numPr>
                <w:ilvl w:val="0"/>
                <w:numId w:val="29"/>
              </w:numPr>
              <w:spacing w:before="0" w:after="0"/>
              <w:contextualSpacing/>
              <w:rPr>
                <w:rFonts w:cs="Arial"/>
              </w:rPr>
            </w:pPr>
            <w:r>
              <w:rPr>
                <w:rFonts w:eastAsia="Times New Roman" w:cstheme="minorHAnsi"/>
                <w:color w:val="000000"/>
                <w:lang w:eastAsia="en-GB"/>
              </w:rPr>
              <w:t>U&amp;Es (including potassium)</w:t>
            </w:r>
          </w:p>
          <w:p w14:paraId="38C3A527" w14:textId="455C9160" w:rsidR="00AA1FC8" w:rsidRPr="00F321FC" w:rsidRDefault="00AA1FC8" w:rsidP="001A51F3">
            <w:pPr>
              <w:pStyle w:val="ListParagraph"/>
              <w:numPr>
                <w:ilvl w:val="0"/>
                <w:numId w:val="29"/>
              </w:numPr>
              <w:spacing w:before="0" w:after="0"/>
              <w:contextualSpacing/>
              <w:rPr>
                <w:rFonts w:cs="Arial"/>
              </w:rPr>
            </w:pPr>
            <w:r>
              <w:rPr>
                <w:rFonts w:eastAsia="Times New Roman" w:cstheme="minorHAnsi"/>
                <w:color w:val="000000"/>
                <w:lang w:eastAsia="en-GB"/>
              </w:rPr>
              <w:t>Magnesium</w:t>
            </w:r>
          </w:p>
        </w:tc>
        <w:tc>
          <w:tcPr>
            <w:tcW w:w="5033" w:type="dxa"/>
          </w:tcPr>
          <w:p w14:paraId="1A8B427C" w14:textId="77777777" w:rsidR="0051526F" w:rsidRDefault="0051526F" w:rsidP="001A51F3">
            <w:pPr>
              <w:rPr>
                <w:rFonts w:eastAsia="Times New Roman" w:cstheme="minorHAnsi"/>
                <w:iCs/>
                <w:color w:val="000000"/>
                <w:lang w:eastAsia="en-GB"/>
              </w:rPr>
            </w:pPr>
            <w:r>
              <w:rPr>
                <w:rFonts w:eastAsia="Times New Roman" w:cstheme="minorHAnsi"/>
                <w:iCs/>
                <w:color w:val="000000"/>
                <w:lang w:eastAsia="en-GB"/>
              </w:rPr>
              <w:t>Perform all tests every 6 months during treatment, and 6 months after discontinuation.</w:t>
            </w:r>
          </w:p>
          <w:p w14:paraId="460119A4" w14:textId="6B8248F7" w:rsidR="0051526F" w:rsidRPr="00F321FC" w:rsidRDefault="0051526F" w:rsidP="001A51F3">
            <w:pPr>
              <w:rPr>
                <w:rFonts w:cs="Arial"/>
              </w:rPr>
            </w:pPr>
            <w:r>
              <w:rPr>
                <w:rFonts w:eastAsia="Times New Roman" w:cstheme="minorHAnsi"/>
                <w:iCs/>
                <w:color w:val="000000"/>
                <w:lang w:eastAsia="en-GB"/>
              </w:rPr>
              <w:t>Thyroid function should continue to be monitored for up to 12 months after discontinuation, with frequency determined clinically.</w:t>
            </w:r>
          </w:p>
        </w:tc>
      </w:tr>
      <w:tr w:rsidR="0051526F" w:rsidRPr="00F321FC" w14:paraId="60A93057" w14:textId="77777777" w:rsidTr="0C9E8CE2">
        <w:tc>
          <w:tcPr>
            <w:tcW w:w="5032" w:type="dxa"/>
          </w:tcPr>
          <w:p w14:paraId="0C76948D" w14:textId="563BCAEE" w:rsidR="0051526F" w:rsidRPr="00F321FC" w:rsidRDefault="0051526F" w:rsidP="001A51F3">
            <w:pPr>
              <w:rPr>
                <w:rFonts w:cs="Arial"/>
              </w:rPr>
            </w:pPr>
            <w:r w:rsidRPr="0C9E8CE2">
              <w:rPr>
                <w:rFonts w:eastAsia="Times New Roman"/>
                <w:color w:val="000000" w:themeColor="text1"/>
                <w:lang w:eastAsia="en-GB"/>
              </w:rPr>
              <w:t xml:space="preserve">ECG </w:t>
            </w:r>
          </w:p>
        </w:tc>
        <w:tc>
          <w:tcPr>
            <w:tcW w:w="5033" w:type="dxa"/>
          </w:tcPr>
          <w:p w14:paraId="5A85F8DE" w14:textId="35D948AF" w:rsidR="0051526F" w:rsidRPr="00F321FC" w:rsidRDefault="0051526F" w:rsidP="001A51F3">
            <w:pPr>
              <w:rPr>
                <w:rFonts w:cs="Arial"/>
              </w:rPr>
            </w:pPr>
            <w:r>
              <w:rPr>
                <w:rFonts w:eastAsia="Times New Roman" w:cstheme="minorHAnsi"/>
                <w:iCs/>
                <w:color w:val="000000"/>
                <w:lang w:eastAsia="en-GB"/>
              </w:rPr>
              <w:t>At least annually</w:t>
            </w:r>
          </w:p>
        </w:tc>
      </w:tr>
      <w:tr w:rsidR="0051526F" w:rsidRPr="00F321FC" w14:paraId="50A88F0A" w14:textId="77777777" w:rsidTr="0C9E8CE2">
        <w:tc>
          <w:tcPr>
            <w:tcW w:w="5032" w:type="dxa"/>
          </w:tcPr>
          <w:p w14:paraId="0C5A175F" w14:textId="5E07C5C0" w:rsidR="0051526F" w:rsidRDefault="0051526F" w:rsidP="001A51F3">
            <w:pPr>
              <w:rPr>
                <w:rFonts w:eastAsia="Times New Roman" w:cstheme="minorHAnsi"/>
                <w:color w:val="000000"/>
                <w:lang w:eastAsia="en-GB"/>
              </w:rPr>
            </w:pPr>
            <w:r>
              <w:rPr>
                <w:rFonts w:eastAsia="Times New Roman" w:cstheme="minorHAnsi"/>
                <w:color w:val="000000"/>
                <w:lang w:eastAsia="en-GB"/>
              </w:rPr>
              <w:t xml:space="preserve">For patients taking warfarin: INR </w:t>
            </w:r>
          </w:p>
        </w:tc>
        <w:tc>
          <w:tcPr>
            <w:tcW w:w="5033" w:type="dxa"/>
          </w:tcPr>
          <w:p w14:paraId="773F40DE" w14:textId="00465E83" w:rsidR="0051526F" w:rsidRDefault="0051526F" w:rsidP="001A51F3">
            <w:pPr>
              <w:rPr>
                <w:rFonts w:eastAsia="Times New Roman" w:cstheme="minorHAnsi"/>
                <w:iCs/>
                <w:color w:val="000000"/>
                <w:lang w:eastAsia="en-GB"/>
              </w:rPr>
            </w:pPr>
            <w:r>
              <w:rPr>
                <w:rFonts w:eastAsia="Times New Roman" w:cstheme="minorHAnsi"/>
                <w:iCs/>
                <w:color w:val="000000"/>
                <w:lang w:eastAsia="en-GB"/>
              </w:rPr>
              <w:t>M</w:t>
            </w:r>
            <w:r w:rsidRPr="002E2BA7">
              <w:rPr>
                <w:rFonts w:eastAsia="Times New Roman" w:cstheme="minorHAnsi"/>
                <w:iCs/>
                <w:color w:val="000000"/>
                <w:lang w:eastAsia="en-GB"/>
              </w:rPr>
              <w:t>ore frequent INR monitoring is required by the patient's usual warfarin monitoring service during treatment and after discontinuation. The warfarin dose should be adjusted according to the INR as required.</w:t>
            </w:r>
          </w:p>
        </w:tc>
      </w:tr>
      <w:tr w:rsidR="001B31E9" w:rsidRPr="00F321FC" w14:paraId="7773E781" w14:textId="77777777" w:rsidTr="0C9E8CE2">
        <w:tc>
          <w:tcPr>
            <w:tcW w:w="5032" w:type="dxa"/>
          </w:tcPr>
          <w:p w14:paraId="5A7E6D81" w14:textId="44DF8E2A" w:rsidR="001B31E9" w:rsidRDefault="001B31E9" w:rsidP="001A51F3">
            <w:pPr>
              <w:rPr>
                <w:rFonts w:eastAsia="Times New Roman" w:cstheme="minorHAnsi"/>
                <w:color w:val="000000"/>
                <w:lang w:eastAsia="en-GB"/>
              </w:rPr>
            </w:pPr>
            <w:r>
              <w:rPr>
                <w:rFonts w:eastAsia="Times New Roman" w:cstheme="minorHAnsi"/>
                <w:color w:val="000000"/>
                <w:lang w:eastAsia="en-GB"/>
              </w:rPr>
              <w:t>For further information re monitoring see SPS</w:t>
            </w:r>
            <w:r w:rsidR="00907F01">
              <w:rPr>
                <w:rFonts w:eastAsia="Times New Roman" w:cstheme="minorHAnsi"/>
                <w:color w:val="000000"/>
                <w:lang w:eastAsia="en-GB"/>
              </w:rPr>
              <w:t xml:space="preserve"> website</w:t>
            </w:r>
          </w:p>
        </w:tc>
        <w:tc>
          <w:tcPr>
            <w:tcW w:w="5033" w:type="dxa"/>
          </w:tcPr>
          <w:p w14:paraId="3F3BE2AD" w14:textId="5DD77AEC" w:rsidR="001B31E9" w:rsidRDefault="00637EA6" w:rsidP="001A51F3">
            <w:pPr>
              <w:rPr>
                <w:rFonts w:eastAsia="Times New Roman" w:cstheme="minorHAnsi"/>
                <w:iCs/>
                <w:color w:val="000000"/>
                <w:lang w:eastAsia="en-GB"/>
              </w:rPr>
            </w:pPr>
            <w:hyperlink r:id="rId16" w:history="1">
              <w:r w:rsidRPr="00F32CAE">
                <w:rPr>
                  <w:rStyle w:val="Hyperlink"/>
                  <w:rFonts w:eastAsia="Times New Roman" w:cstheme="minorHAnsi"/>
                  <w:iCs/>
                  <w:lang w:eastAsia="en-GB"/>
                </w:rPr>
                <w:t>https://www.sps.nhs.uk/home/tools/drug-monitoring/</w:t>
              </w:r>
            </w:hyperlink>
            <w:r>
              <w:rPr>
                <w:rFonts w:eastAsia="Times New Roman" w:cstheme="minorHAnsi"/>
                <w:iCs/>
                <w:color w:val="000000"/>
                <w:lang w:eastAsia="en-GB"/>
              </w:rPr>
              <w:t xml:space="preserve"> </w:t>
            </w:r>
          </w:p>
        </w:tc>
      </w:tr>
    </w:tbl>
    <w:p w14:paraId="20855291" w14:textId="77777777" w:rsidR="0051526F" w:rsidRDefault="0051526F"/>
    <w:p w14:paraId="56152E6B" w14:textId="77777777" w:rsidR="0051526F" w:rsidRPr="00F321FC" w:rsidRDefault="0051526F" w:rsidP="0051526F">
      <w:pPr>
        <w:pStyle w:val="Heading2"/>
        <w:rPr>
          <w:rFonts w:cs="Arial"/>
        </w:rPr>
      </w:pPr>
      <w:bookmarkStart w:id="12" w:name="_Toc149231791"/>
      <w:r w:rsidRPr="00F321FC">
        <w:rPr>
          <w:rFonts w:cs="Arial"/>
        </w:rPr>
        <w:t>Pharmaceutical aspects</w:t>
      </w:r>
      <w:bookmarkEnd w:id="12"/>
    </w:p>
    <w:tbl>
      <w:tblPr>
        <w:tblStyle w:val="TableGridLight1"/>
        <w:tblW w:w="0" w:type="auto"/>
        <w:tblInd w:w="-5" w:type="dxa"/>
        <w:tblCellMar>
          <w:top w:w="57" w:type="dxa"/>
          <w:bottom w:w="57" w:type="dxa"/>
        </w:tblCellMar>
        <w:tblLook w:val="0480" w:firstRow="0" w:lastRow="0" w:firstColumn="1" w:lastColumn="0" w:noHBand="0" w:noVBand="1"/>
      </w:tblPr>
      <w:tblGrid>
        <w:gridCol w:w="2268"/>
        <w:gridCol w:w="7797"/>
      </w:tblGrid>
      <w:tr w:rsidR="0051526F" w:rsidRPr="00F321FC" w14:paraId="793C17AD" w14:textId="77777777" w:rsidTr="0051526F">
        <w:trPr>
          <w:cantSplit/>
        </w:trPr>
        <w:tc>
          <w:tcPr>
            <w:tcW w:w="2268" w:type="dxa"/>
          </w:tcPr>
          <w:p w14:paraId="435FCFFB" w14:textId="2404CE1C" w:rsidR="0051526F" w:rsidRPr="00F321FC" w:rsidRDefault="0051526F" w:rsidP="001A51F3">
            <w:pPr>
              <w:rPr>
                <w:rFonts w:cs="Arial"/>
              </w:rPr>
            </w:pPr>
            <w:r w:rsidRPr="00F321FC">
              <w:rPr>
                <w:rFonts w:cs="Arial"/>
              </w:rPr>
              <w:t>Route of administration:</w:t>
            </w:r>
          </w:p>
        </w:tc>
        <w:tc>
          <w:tcPr>
            <w:tcW w:w="7797" w:type="dxa"/>
            <w:vAlign w:val="center"/>
          </w:tcPr>
          <w:p w14:paraId="58A97D63" w14:textId="65DC26C7" w:rsidR="0051526F" w:rsidRPr="00F321FC" w:rsidRDefault="0051526F" w:rsidP="001A51F3">
            <w:pPr>
              <w:rPr>
                <w:rFonts w:cs="Arial"/>
              </w:rPr>
            </w:pPr>
            <w:r>
              <w:rPr>
                <w:rFonts w:eastAsia="Times New Roman" w:cstheme="minorHAnsi"/>
                <w:szCs w:val="24"/>
                <w:lang w:eastAsia="en-GB"/>
              </w:rPr>
              <w:t xml:space="preserve">Oral </w:t>
            </w:r>
          </w:p>
        </w:tc>
      </w:tr>
      <w:tr w:rsidR="0051526F" w:rsidRPr="00F321FC" w14:paraId="0E5DDFDD" w14:textId="77777777" w:rsidTr="0051526F">
        <w:trPr>
          <w:cantSplit/>
        </w:trPr>
        <w:tc>
          <w:tcPr>
            <w:tcW w:w="2268" w:type="dxa"/>
          </w:tcPr>
          <w:p w14:paraId="3B641692" w14:textId="6763D472" w:rsidR="0051526F" w:rsidRPr="00F321FC" w:rsidRDefault="0051526F" w:rsidP="001A51F3">
            <w:pPr>
              <w:rPr>
                <w:rFonts w:cs="Arial"/>
              </w:rPr>
            </w:pPr>
            <w:r w:rsidRPr="00F321FC">
              <w:rPr>
                <w:rFonts w:cs="Arial"/>
              </w:rPr>
              <w:t>Formulation:</w:t>
            </w:r>
          </w:p>
        </w:tc>
        <w:tc>
          <w:tcPr>
            <w:tcW w:w="7797" w:type="dxa"/>
            <w:vAlign w:val="center"/>
          </w:tcPr>
          <w:p w14:paraId="09C2B9C8" w14:textId="49C8860C" w:rsidR="0051526F" w:rsidRPr="00F321FC" w:rsidRDefault="0051526F" w:rsidP="001A51F3">
            <w:pPr>
              <w:rPr>
                <w:rFonts w:cs="Arial"/>
              </w:rPr>
            </w:pPr>
            <w:r>
              <w:rPr>
                <w:rFonts w:eastAsia="Times New Roman" w:cstheme="minorHAnsi"/>
                <w:iCs/>
                <w:noProof/>
                <w:color w:val="000000"/>
                <w:lang w:val="en-US" w:eastAsia="en-GB"/>
              </w:rPr>
              <w:t>Tablets;  100mg and 200mg</w:t>
            </w:r>
          </w:p>
        </w:tc>
      </w:tr>
      <w:tr w:rsidR="0051526F" w:rsidRPr="00F321FC" w14:paraId="4D08654E" w14:textId="77777777" w:rsidTr="0051526F">
        <w:trPr>
          <w:cantSplit/>
        </w:trPr>
        <w:tc>
          <w:tcPr>
            <w:tcW w:w="2268" w:type="dxa"/>
          </w:tcPr>
          <w:p w14:paraId="5807ABCD" w14:textId="7BDA162B" w:rsidR="0051526F" w:rsidRPr="00F321FC" w:rsidRDefault="0051526F" w:rsidP="001A51F3">
            <w:pPr>
              <w:rPr>
                <w:rFonts w:cs="Arial"/>
              </w:rPr>
            </w:pPr>
            <w:r w:rsidRPr="00F321FC">
              <w:rPr>
                <w:rFonts w:cs="Arial"/>
              </w:rPr>
              <w:t>Administration details:</w:t>
            </w:r>
          </w:p>
        </w:tc>
        <w:tc>
          <w:tcPr>
            <w:tcW w:w="7797" w:type="dxa"/>
            <w:vAlign w:val="center"/>
          </w:tcPr>
          <w:p w14:paraId="0D815030" w14:textId="77777777" w:rsidR="0051526F" w:rsidRDefault="0051526F" w:rsidP="001A51F3">
            <w:pPr>
              <w:rPr>
                <w:rFonts w:eastAsia="Times New Roman" w:cstheme="minorHAnsi"/>
                <w:lang w:eastAsia="en-GB"/>
              </w:rPr>
            </w:pPr>
            <w:r>
              <w:rPr>
                <w:rFonts w:eastAsia="Times New Roman" w:cstheme="minorHAnsi"/>
                <w:lang w:eastAsia="en-GB"/>
              </w:rPr>
              <w:t xml:space="preserve">Maintenance dose can be given once daily, however doses &gt;200 mg daily (including loading period) may be given as split doses to minimise nausea. </w:t>
            </w:r>
          </w:p>
          <w:p w14:paraId="3956ABC5" w14:textId="79187741" w:rsidR="0051526F" w:rsidRPr="00F321FC" w:rsidRDefault="0051526F" w:rsidP="001A51F3">
            <w:pPr>
              <w:rPr>
                <w:rFonts w:cs="Arial"/>
              </w:rPr>
            </w:pPr>
            <w:r>
              <w:rPr>
                <w:rFonts w:eastAsia="Times New Roman" w:cstheme="minorHAnsi"/>
                <w:lang w:eastAsia="en-GB"/>
              </w:rPr>
              <w:t xml:space="preserve">If necessary, tablets may be crushed and dispersed in water or fruit juice, but have a bitter taste (unlicensed). Different brands may disperse in water at notably different rates. The solution for injection is irritant and should not be given orally. </w:t>
            </w:r>
          </w:p>
        </w:tc>
      </w:tr>
      <w:tr w:rsidR="0051526F" w:rsidRPr="00F321FC" w14:paraId="1BF5C41D" w14:textId="77777777" w:rsidTr="0051526F">
        <w:trPr>
          <w:cantSplit/>
        </w:trPr>
        <w:tc>
          <w:tcPr>
            <w:tcW w:w="2268" w:type="dxa"/>
          </w:tcPr>
          <w:p w14:paraId="00D209C3" w14:textId="4AA020DB" w:rsidR="0051526F" w:rsidRPr="00F321FC" w:rsidRDefault="0051526F" w:rsidP="001A51F3">
            <w:pPr>
              <w:rPr>
                <w:rFonts w:cs="Arial"/>
              </w:rPr>
            </w:pPr>
            <w:r>
              <w:rPr>
                <w:rFonts w:cs="Arial"/>
              </w:rPr>
              <w:t xml:space="preserve">Other important information: </w:t>
            </w:r>
          </w:p>
        </w:tc>
        <w:tc>
          <w:tcPr>
            <w:tcW w:w="7797" w:type="dxa"/>
            <w:vAlign w:val="center"/>
          </w:tcPr>
          <w:p w14:paraId="29497621" w14:textId="77777777" w:rsidR="0051526F" w:rsidRDefault="0051526F" w:rsidP="001A51F3">
            <w:pPr>
              <w:rPr>
                <w:rFonts w:eastAsia="Times New Roman" w:cstheme="minorHAnsi"/>
                <w:szCs w:val="24"/>
                <w:lang w:eastAsia="en-GB"/>
              </w:rPr>
            </w:pPr>
            <w:r>
              <w:rPr>
                <w:rFonts w:eastAsia="Times New Roman" w:cstheme="minorHAnsi"/>
                <w:szCs w:val="24"/>
                <w:lang w:eastAsia="en-GB"/>
              </w:rPr>
              <w:t>The half-life of amiodarone is very long, with an average of 50 days (range 20-100 days). Side effects slowly disappear as tissue levels fall. Following drug withdrawal, residual tissue bound amiodarone may protect the patient for up to a month. However, the likelihood of recurrence of arrhythmia during this period should be considered.</w:t>
            </w:r>
          </w:p>
          <w:p w14:paraId="14CD1D9D" w14:textId="6B9BDEB4" w:rsidR="0051526F" w:rsidRPr="001A51F3" w:rsidRDefault="0051526F" w:rsidP="001A51F3">
            <w:pPr>
              <w:autoSpaceDE w:val="0"/>
              <w:autoSpaceDN w:val="0"/>
              <w:adjustRightInd w:val="0"/>
              <w:rPr>
                <w:rFonts w:eastAsia="Times New Roman" w:cstheme="minorHAnsi"/>
                <w:szCs w:val="24"/>
                <w:lang w:eastAsia="en-GB"/>
              </w:rPr>
            </w:pPr>
            <w:r>
              <w:rPr>
                <w:rFonts w:eastAsia="Times New Roman" w:cstheme="minorHAnsi"/>
                <w:szCs w:val="24"/>
                <w:lang w:eastAsia="en-GB"/>
              </w:rPr>
              <w:t xml:space="preserve">Grapefruit juice should be avoided during treatment with oral amiodarone and for several months after discontinuation (see </w:t>
            </w:r>
            <w:hyperlink w:anchor="nine_interactions" w:history="1">
              <w:r w:rsidRPr="001A51F3">
                <w:rPr>
                  <w:rStyle w:val="Hyperlink"/>
                  <w:rFonts w:eastAsia="Times New Roman" w:cstheme="minorHAnsi"/>
                  <w:szCs w:val="24"/>
                  <w:lang w:eastAsia="en-GB"/>
                </w:rPr>
                <w:t xml:space="preserve">section </w:t>
              </w:r>
              <w:r>
                <w:rPr>
                  <w:rStyle w:val="Hyperlink"/>
                  <w:rFonts w:eastAsia="Times New Roman" w:cstheme="minorHAnsi"/>
                  <w:szCs w:val="24"/>
                  <w:lang w:eastAsia="en-GB"/>
                </w:rPr>
                <w:t>9</w:t>
              </w:r>
            </w:hyperlink>
            <w:r>
              <w:rPr>
                <w:rFonts w:eastAsia="Times New Roman" w:cstheme="minorHAnsi"/>
                <w:szCs w:val="24"/>
                <w:lang w:eastAsia="en-GB"/>
              </w:rPr>
              <w:t xml:space="preserve">). </w:t>
            </w:r>
          </w:p>
        </w:tc>
      </w:tr>
    </w:tbl>
    <w:p w14:paraId="55B80F32" w14:textId="1938CE24" w:rsidR="00B6384A" w:rsidRDefault="00B6384A"/>
    <w:p w14:paraId="3348FCCB" w14:textId="77777777" w:rsidR="00B6384A" w:rsidRDefault="00B6384A">
      <w:pPr>
        <w:spacing w:before="0" w:after="160"/>
      </w:pPr>
      <w:r>
        <w:br w:type="page"/>
      </w:r>
    </w:p>
    <w:p w14:paraId="1EBECFDB"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2407"/>
        <w:gridCol w:w="8054"/>
      </w:tblGrid>
      <w:tr w:rsidR="00F132AA" w:rsidRPr="00F321FC" w14:paraId="4A999C67" w14:textId="77777777" w:rsidTr="045E97EE">
        <w:tc>
          <w:tcPr>
            <w:tcW w:w="2204" w:type="dxa"/>
          </w:tcPr>
          <w:p w14:paraId="6BB97933" w14:textId="5394937C" w:rsidR="00F132AA" w:rsidRPr="00F321FC" w:rsidRDefault="00BA2628" w:rsidP="00BA2628">
            <w:pPr>
              <w:pStyle w:val="Heading2"/>
              <w:rPr>
                <w:rFonts w:cs="Arial"/>
              </w:rPr>
            </w:pPr>
            <w:bookmarkStart w:id="13" w:name="eight_cautions_cx"/>
            <w:bookmarkStart w:id="14" w:name="_Toc149231792"/>
            <w:r w:rsidRPr="00F321FC">
              <w:rPr>
                <w:rFonts w:cs="Arial"/>
              </w:rPr>
              <w:t>C</w:t>
            </w:r>
            <w:r w:rsidR="0041687B">
              <w:rPr>
                <w:rFonts w:cs="Arial"/>
              </w:rPr>
              <w:t>autions and c</w:t>
            </w:r>
            <w:r w:rsidRPr="00F321FC">
              <w:rPr>
                <w:rFonts w:cs="Arial"/>
              </w:rPr>
              <w:t>ontraindications</w:t>
            </w:r>
            <w:bookmarkEnd w:id="13"/>
            <w:bookmarkEnd w:id="14"/>
          </w:p>
        </w:tc>
        <w:tc>
          <w:tcPr>
            <w:tcW w:w="8257" w:type="dxa"/>
          </w:tcPr>
          <w:p w14:paraId="6C8F1AB5" w14:textId="3AA3DFDD" w:rsidR="00F132AA" w:rsidRDefault="00FB404F" w:rsidP="00FB404F">
            <w:pPr>
              <w:rPr>
                <w:rFonts w:cs="Arial"/>
              </w:rPr>
            </w:pPr>
            <w:r w:rsidRPr="00FB404F">
              <w:rPr>
                <w:rFonts w:cs="Arial"/>
              </w:rPr>
              <w:t xml:space="preserve">This information does not replace the Summary of Product Characteristics (SPC), and should be read in conjunction with it. Please see </w:t>
            </w:r>
            <w:hyperlink r:id="rId17" w:history="1">
              <w:r w:rsidRPr="00F34C5E">
                <w:rPr>
                  <w:rStyle w:val="Hyperlink"/>
                  <w:rFonts w:cs="Arial"/>
                </w:rPr>
                <w:t>BNF</w:t>
              </w:r>
            </w:hyperlink>
            <w:r w:rsidRPr="00FB404F">
              <w:rPr>
                <w:rFonts w:cs="Arial"/>
              </w:rPr>
              <w:t xml:space="preserve"> &amp; </w:t>
            </w:r>
            <w:hyperlink r:id="rId18" w:history="1">
              <w:r w:rsidRPr="00F34C5E">
                <w:rPr>
                  <w:rStyle w:val="Hyperlink"/>
                  <w:rFonts w:cs="Arial"/>
                </w:rPr>
                <w:t>SPC</w:t>
              </w:r>
            </w:hyperlink>
            <w:r w:rsidRPr="00FB404F">
              <w:rPr>
                <w:rFonts w:cs="Arial"/>
              </w:rPr>
              <w:t xml:space="preserve"> for comprehensive information.</w:t>
            </w:r>
          </w:p>
          <w:p w14:paraId="004A4D13" w14:textId="77777777" w:rsidR="00FB404F" w:rsidRDefault="00FB404F" w:rsidP="00FB404F">
            <w:pPr>
              <w:rPr>
                <w:rFonts w:cs="Arial"/>
              </w:rPr>
            </w:pPr>
          </w:p>
          <w:p w14:paraId="5074DDE0" w14:textId="77777777" w:rsidR="00FB404F" w:rsidRDefault="00FB404F" w:rsidP="00FB404F">
            <w:pPr>
              <w:rPr>
                <w:rFonts w:cs="Arial"/>
                <w:b/>
                <w:bCs/>
              </w:rPr>
            </w:pPr>
            <w:r>
              <w:rPr>
                <w:rFonts w:cs="Arial"/>
                <w:b/>
                <w:bCs/>
              </w:rPr>
              <w:t xml:space="preserve">Contraindications: </w:t>
            </w:r>
          </w:p>
          <w:p w14:paraId="1226F176" w14:textId="36A2381F" w:rsidR="001A51F3" w:rsidRPr="001A51F3" w:rsidRDefault="001A51F3" w:rsidP="001A51F3">
            <w:pPr>
              <w:pStyle w:val="ListParagraph"/>
              <w:numPr>
                <w:ilvl w:val="0"/>
                <w:numId w:val="30"/>
              </w:numPr>
              <w:rPr>
                <w:rFonts w:cs="Arial"/>
              </w:rPr>
            </w:pPr>
            <w:r w:rsidRPr="001A51F3">
              <w:rPr>
                <w:rFonts w:cs="Arial"/>
              </w:rPr>
              <w:t>Sinus bradycardia and sino-atrial heart block</w:t>
            </w:r>
            <w:r w:rsidR="0002435C">
              <w:rPr>
                <w:rFonts w:cs="Arial"/>
              </w:rPr>
              <w:t>;</w:t>
            </w:r>
            <w:r w:rsidR="007F76B7">
              <w:rPr>
                <w:rFonts w:cs="Arial"/>
              </w:rPr>
              <w:t xml:space="preserve"> </w:t>
            </w:r>
            <w:r w:rsidRPr="001A51F3">
              <w:rPr>
                <w:rFonts w:cs="Arial"/>
              </w:rPr>
              <w:t>severe conduction disturbances (high grade AV block, bifascicular or trifascicular block)</w:t>
            </w:r>
            <w:r w:rsidR="0002435C">
              <w:rPr>
                <w:rFonts w:cs="Arial"/>
              </w:rPr>
              <w:t xml:space="preserve"> or</w:t>
            </w:r>
            <w:r w:rsidRPr="001A51F3">
              <w:rPr>
                <w:rFonts w:cs="Arial"/>
              </w:rPr>
              <w:t xml:space="preserve"> sinus node disease (unless pacemaker fitted)</w:t>
            </w:r>
          </w:p>
          <w:p w14:paraId="7B0A072B" w14:textId="5ACC0E18" w:rsidR="001A51F3" w:rsidRPr="001A51F3" w:rsidRDefault="001A51F3" w:rsidP="001A51F3">
            <w:pPr>
              <w:pStyle w:val="ListParagraph"/>
              <w:numPr>
                <w:ilvl w:val="0"/>
                <w:numId w:val="30"/>
              </w:numPr>
              <w:rPr>
                <w:rFonts w:cs="Arial"/>
              </w:rPr>
            </w:pPr>
            <w:r w:rsidRPr="001A51F3">
              <w:rPr>
                <w:rFonts w:cs="Arial"/>
              </w:rPr>
              <w:t xml:space="preserve">History of thyroid dysfunction. Use of amiodarone may be considered in patients who are euthyroid, after case-by-case assessment of the risks and benefits and with appropriate monitoring. </w:t>
            </w:r>
          </w:p>
          <w:p w14:paraId="4AC1EB84" w14:textId="3C114854" w:rsidR="001A51F3" w:rsidRPr="001A51F3" w:rsidRDefault="001A51F3" w:rsidP="001A51F3">
            <w:pPr>
              <w:pStyle w:val="ListParagraph"/>
              <w:numPr>
                <w:ilvl w:val="0"/>
                <w:numId w:val="30"/>
              </w:numPr>
              <w:rPr>
                <w:rFonts w:cs="Arial"/>
              </w:rPr>
            </w:pPr>
            <w:r w:rsidRPr="001A51F3">
              <w:rPr>
                <w:rFonts w:cs="Arial"/>
              </w:rPr>
              <w:t>Known hypersensitivity to iodine or amiodarone, or any of the excipients (including patients with galactose intolerance, Lapp lactase deficiency or glucose-galactose malabsorption)</w:t>
            </w:r>
          </w:p>
          <w:p w14:paraId="0C74FA34" w14:textId="72C4ACF2" w:rsidR="001A51F3" w:rsidRPr="001A51F3" w:rsidRDefault="001A51F3" w:rsidP="001A51F3">
            <w:pPr>
              <w:pStyle w:val="ListParagraph"/>
              <w:numPr>
                <w:ilvl w:val="0"/>
                <w:numId w:val="30"/>
              </w:numPr>
              <w:rPr>
                <w:rFonts w:cs="Arial"/>
              </w:rPr>
            </w:pPr>
            <w:r w:rsidRPr="045E97EE">
              <w:rPr>
                <w:rFonts w:cs="Arial"/>
              </w:rPr>
              <w:t xml:space="preserve">Concurrent use with </w:t>
            </w:r>
            <w:r w:rsidR="0002435C" w:rsidRPr="045E97EE">
              <w:rPr>
                <w:rFonts w:cs="Arial"/>
              </w:rPr>
              <w:t xml:space="preserve">certain </w:t>
            </w:r>
            <w:r w:rsidRPr="045E97EE">
              <w:rPr>
                <w:rFonts w:cs="Arial"/>
              </w:rPr>
              <w:t>medicines that may prolong the QT interval or increase the risk of Torsades de Pointes</w:t>
            </w:r>
            <w:r w:rsidR="00FE3EEF" w:rsidRPr="045E97EE">
              <w:rPr>
                <w:rFonts w:cs="Arial"/>
              </w:rPr>
              <w:t>, e.g. moxifloxacin, Class Ia anti-arrhythmic drugs such as quinidine, class III anti-arrhythmic drugs such as sotalol, intravenous erythromycin, co-trimoxazole or pentamidine injection,</w:t>
            </w:r>
            <w:r w:rsidR="576E615D" w:rsidRPr="045E97EE">
              <w:rPr>
                <w:rFonts w:cs="Arial"/>
              </w:rPr>
              <w:t xml:space="preserve"> lithium, most</w:t>
            </w:r>
            <w:r w:rsidR="00FE3EEF" w:rsidRPr="045E97EE">
              <w:rPr>
                <w:rFonts w:cs="Arial"/>
              </w:rPr>
              <w:t xml:space="preserve"> anti-psychotics e.g. </w:t>
            </w:r>
            <w:r w:rsidR="02CA3629" w:rsidRPr="045E97EE">
              <w:rPr>
                <w:rFonts w:cs="Arial"/>
              </w:rPr>
              <w:t xml:space="preserve">quetiapine, </w:t>
            </w:r>
            <w:r w:rsidR="00FE3EEF" w:rsidRPr="045E97EE">
              <w:rPr>
                <w:rFonts w:cs="Arial"/>
              </w:rPr>
              <w:t xml:space="preserve">chlorpromazine, fluphenazine, pimozide, haloperidol, amisulpride, and </w:t>
            </w:r>
            <w:r w:rsidR="31004419" w:rsidRPr="045E97EE">
              <w:rPr>
                <w:rFonts w:cs="Arial"/>
              </w:rPr>
              <w:t>some</w:t>
            </w:r>
            <w:r w:rsidR="00FE3EEF" w:rsidRPr="045E97EE">
              <w:rPr>
                <w:rFonts w:cs="Arial"/>
              </w:rPr>
              <w:t xml:space="preserve"> anti-depressants e.g. </w:t>
            </w:r>
            <w:r w:rsidR="5F65D1D4" w:rsidRPr="045E97EE">
              <w:rPr>
                <w:rFonts w:cs="Arial"/>
              </w:rPr>
              <w:t>tricyclics (</w:t>
            </w:r>
            <w:r w:rsidR="00FE3EEF" w:rsidRPr="045E97EE">
              <w:rPr>
                <w:rFonts w:cs="Arial"/>
              </w:rPr>
              <w:t>doxepin, amitriptyline</w:t>
            </w:r>
            <w:r w:rsidR="4BC05F1D" w:rsidRPr="045E97EE">
              <w:rPr>
                <w:rFonts w:cs="Arial"/>
              </w:rPr>
              <w:t>)</w:t>
            </w:r>
            <w:r w:rsidR="00FE3EEF" w:rsidRPr="045E97EE">
              <w:rPr>
                <w:rFonts w:cs="Arial"/>
              </w:rPr>
              <w:t xml:space="preserve">, </w:t>
            </w:r>
            <w:r w:rsidR="172C637A" w:rsidRPr="045E97EE">
              <w:rPr>
                <w:rFonts w:cs="Arial"/>
              </w:rPr>
              <w:t xml:space="preserve">citalopram, escitalopram, </w:t>
            </w:r>
            <w:r w:rsidR="00FE3EEF" w:rsidRPr="045E97EE">
              <w:rPr>
                <w:rFonts w:cs="Arial"/>
              </w:rPr>
              <w:t>certain antihistamines e.g. terfenadine, anti-malarials e.g. quinine, mefloquine, chloroquine</w:t>
            </w:r>
          </w:p>
          <w:p w14:paraId="7EAF48CC" w14:textId="7D1E57D4" w:rsidR="001A51F3" w:rsidRPr="001A51F3" w:rsidRDefault="001A51F3" w:rsidP="001A51F3">
            <w:pPr>
              <w:pStyle w:val="ListParagraph"/>
              <w:numPr>
                <w:ilvl w:val="0"/>
                <w:numId w:val="30"/>
              </w:numPr>
              <w:rPr>
                <w:rFonts w:cs="Arial"/>
              </w:rPr>
            </w:pPr>
            <w:r w:rsidRPr="001A51F3">
              <w:rPr>
                <w:rFonts w:cs="Arial"/>
              </w:rPr>
              <w:t xml:space="preserve">Pregnancy - except in exceptional circumstances (see </w:t>
            </w:r>
            <w:hyperlink w:anchor="twelve_pregnancy" w:history="1">
              <w:r w:rsidRPr="001A51F3">
                <w:rPr>
                  <w:rStyle w:val="Hyperlink"/>
                  <w:rFonts w:cs="Arial"/>
                </w:rPr>
                <w:t>section 12</w:t>
              </w:r>
            </w:hyperlink>
            <w:r w:rsidRPr="001A51F3">
              <w:rPr>
                <w:rFonts w:cs="Arial"/>
              </w:rPr>
              <w:t>)</w:t>
            </w:r>
          </w:p>
          <w:p w14:paraId="37311776" w14:textId="627DFFB2" w:rsidR="00FB404F" w:rsidRDefault="001A51F3" w:rsidP="001A51F3">
            <w:pPr>
              <w:pStyle w:val="ListParagraph"/>
              <w:numPr>
                <w:ilvl w:val="0"/>
                <w:numId w:val="30"/>
              </w:numPr>
              <w:rPr>
                <w:rFonts w:cs="Arial"/>
              </w:rPr>
            </w:pPr>
            <w:r w:rsidRPr="001A51F3">
              <w:rPr>
                <w:rFonts w:cs="Arial"/>
              </w:rPr>
              <w:t>Breastfeeding</w:t>
            </w:r>
          </w:p>
          <w:p w14:paraId="2C678D4C" w14:textId="77777777" w:rsidR="001A51F3" w:rsidRPr="001A51F3" w:rsidRDefault="001A51F3" w:rsidP="001A51F3">
            <w:pPr>
              <w:rPr>
                <w:rFonts w:cs="Arial"/>
              </w:rPr>
            </w:pPr>
          </w:p>
          <w:p w14:paraId="14A2CAB8" w14:textId="77777777" w:rsidR="00FB404F" w:rsidRPr="00FB404F" w:rsidRDefault="00FB404F" w:rsidP="00FB404F">
            <w:pPr>
              <w:rPr>
                <w:rFonts w:cs="Arial"/>
                <w:b/>
                <w:bCs/>
              </w:rPr>
            </w:pPr>
            <w:r w:rsidRPr="00FB404F">
              <w:rPr>
                <w:rFonts w:cs="Arial"/>
                <w:b/>
                <w:bCs/>
              </w:rPr>
              <w:t>Cautions:</w:t>
            </w:r>
          </w:p>
          <w:p w14:paraId="456B90AA" w14:textId="47ACC4C8" w:rsidR="00FE3EEF" w:rsidRPr="00FE3EEF" w:rsidRDefault="001A51F3" w:rsidP="00FE3EEF">
            <w:pPr>
              <w:pStyle w:val="ListParagraph"/>
              <w:numPr>
                <w:ilvl w:val="0"/>
                <w:numId w:val="31"/>
              </w:numPr>
              <w:rPr>
                <w:rFonts w:cs="Arial"/>
              </w:rPr>
            </w:pPr>
            <w:r w:rsidRPr="001A51F3">
              <w:rPr>
                <w:rFonts w:cs="Arial"/>
              </w:rPr>
              <w:t>Amiodarone can cause serious adverse reactions affecting the eyes, heart, lung, liver, thyroid gland, skin and peripheral nervous system; it is subject to a number of cautions. Because these reactions may be delayed, patients on long-term treatment should be carefully supervised. As undesirable effects are usually dose-related, the minimum effective maintenance dose should be given.</w:t>
            </w:r>
            <w:r w:rsidR="00FE3EEF">
              <w:rPr>
                <w:rFonts w:cs="Arial"/>
              </w:rPr>
              <w:t xml:space="preserve"> See </w:t>
            </w:r>
            <w:hyperlink r:id="rId19" w:history="1">
              <w:r w:rsidR="00FE3EEF">
                <w:rPr>
                  <w:rStyle w:val="Hyperlink"/>
                  <w:rFonts w:cs="Arial"/>
                </w:rPr>
                <w:t>MHRA advice</w:t>
              </w:r>
            </w:hyperlink>
            <w:r w:rsidR="00FE3EEF">
              <w:rPr>
                <w:rFonts w:cs="Arial"/>
              </w:rPr>
              <w:t>.</w:t>
            </w:r>
          </w:p>
        </w:tc>
      </w:tr>
      <w:tr w:rsidR="00F132AA" w:rsidRPr="00F321FC" w14:paraId="11E3D793" w14:textId="77777777" w:rsidTr="045E97EE">
        <w:tc>
          <w:tcPr>
            <w:tcW w:w="2204" w:type="dxa"/>
          </w:tcPr>
          <w:p w14:paraId="1E8C8FBF" w14:textId="3ED10190" w:rsidR="00F132AA" w:rsidRPr="00F321FC" w:rsidRDefault="0098487D" w:rsidP="0098487D">
            <w:pPr>
              <w:pStyle w:val="Heading2"/>
              <w:rPr>
                <w:rFonts w:cs="Arial"/>
              </w:rPr>
            </w:pPr>
            <w:bookmarkStart w:id="15" w:name="nine_interactions"/>
            <w:bookmarkStart w:id="16" w:name="_Toc149231793"/>
            <w:r w:rsidRPr="00F321FC">
              <w:rPr>
                <w:rFonts w:cs="Arial"/>
              </w:rPr>
              <w:t>Significant drug interactions</w:t>
            </w:r>
            <w:bookmarkEnd w:id="15"/>
            <w:bookmarkEnd w:id="16"/>
          </w:p>
        </w:tc>
        <w:tc>
          <w:tcPr>
            <w:tcW w:w="8257" w:type="dxa"/>
          </w:tcPr>
          <w:p w14:paraId="112C1849" w14:textId="36A29D3F" w:rsidR="00F132AA" w:rsidRDefault="00FB404F" w:rsidP="00FB404F">
            <w:pPr>
              <w:rPr>
                <w:rFonts w:cs="Arial"/>
              </w:rPr>
            </w:pPr>
            <w:r w:rsidRPr="00FB404F">
              <w:rPr>
                <w:rFonts w:cs="Arial"/>
              </w:rPr>
              <w:t xml:space="preserve">The following list is not exhaustive. Please see </w:t>
            </w:r>
            <w:hyperlink r:id="rId20" w:history="1">
              <w:r w:rsidRPr="007F76B7">
                <w:rPr>
                  <w:rStyle w:val="Hyperlink"/>
                  <w:rFonts w:cs="Arial"/>
                </w:rPr>
                <w:t>BNF</w:t>
              </w:r>
            </w:hyperlink>
            <w:r w:rsidRPr="00FB404F">
              <w:rPr>
                <w:rFonts w:cs="Arial"/>
              </w:rPr>
              <w:t xml:space="preserve"> </w:t>
            </w:r>
            <w:r>
              <w:rPr>
                <w:rFonts w:cs="Arial"/>
              </w:rPr>
              <w:t>&amp;</w:t>
            </w:r>
            <w:r w:rsidRPr="00FB404F">
              <w:rPr>
                <w:rFonts w:cs="Arial"/>
              </w:rPr>
              <w:t xml:space="preserve"> </w:t>
            </w:r>
            <w:hyperlink r:id="rId21" w:history="1">
              <w:r w:rsidRPr="007F76B7">
                <w:rPr>
                  <w:rStyle w:val="Hyperlink"/>
                  <w:rFonts w:cs="Arial"/>
                </w:rPr>
                <w:t>SPC</w:t>
              </w:r>
            </w:hyperlink>
            <w:r w:rsidRPr="00FB404F">
              <w:rPr>
                <w:rFonts w:cs="Arial"/>
              </w:rPr>
              <w:t xml:space="preserve"> for comprehensive information and recommended management.</w:t>
            </w:r>
          </w:p>
          <w:p w14:paraId="522DFD7A" w14:textId="77777777" w:rsidR="00FB404F" w:rsidRDefault="00FB404F" w:rsidP="00FB404F">
            <w:pPr>
              <w:rPr>
                <w:rFonts w:cs="Arial"/>
              </w:rPr>
            </w:pPr>
          </w:p>
          <w:p w14:paraId="527A5E77" w14:textId="3E19AEF9" w:rsidR="001A51F3" w:rsidRDefault="001A51F3" w:rsidP="001A51F3">
            <w:pPr>
              <w:rPr>
                <w:rFonts w:cs="Arial"/>
                <w:b/>
                <w:bCs/>
              </w:rPr>
            </w:pPr>
            <w:r w:rsidRPr="001A51F3">
              <w:rPr>
                <w:rFonts w:cs="Arial"/>
                <w:b/>
                <w:bCs/>
              </w:rPr>
              <w:t xml:space="preserve">Amiodarone is associated with a large number of interactions, some of which are significant enough to contraindicate concurrent use, require dose adjustment and/or additional monitoring (see </w:t>
            </w:r>
            <w:hyperlink w:anchor="eight_cautions_cx" w:history="1">
              <w:r w:rsidRPr="001A51F3">
                <w:rPr>
                  <w:rStyle w:val="Hyperlink"/>
                  <w:rFonts w:cs="Arial"/>
                  <w:b/>
                  <w:bCs/>
                </w:rPr>
                <w:t xml:space="preserve">section </w:t>
              </w:r>
              <w:r w:rsidR="00F34C5E">
                <w:rPr>
                  <w:rStyle w:val="Hyperlink"/>
                  <w:rFonts w:cs="Arial"/>
                  <w:b/>
                  <w:bCs/>
                </w:rPr>
                <w:t>8</w:t>
              </w:r>
            </w:hyperlink>
            <w:r w:rsidRPr="001A51F3">
              <w:rPr>
                <w:rFonts w:cs="Arial"/>
                <w:b/>
                <w:bCs/>
              </w:rPr>
              <w:t>).</w:t>
            </w:r>
          </w:p>
          <w:p w14:paraId="782195CC" w14:textId="77777777" w:rsidR="00F34C5E" w:rsidRPr="001A51F3" w:rsidRDefault="00F34C5E" w:rsidP="001A51F3">
            <w:pPr>
              <w:rPr>
                <w:rFonts w:cs="Arial"/>
                <w:b/>
                <w:bCs/>
              </w:rPr>
            </w:pPr>
          </w:p>
          <w:p w14:paraId="3B86CE07" w14:textId="77777777" w:rsidR="001A51F3" w:rsidRPr="001A51F3" w:rsidRDefault="001A51F3" w:rsidP="001A51F3">
            <w:pPr>
              <w:rPr>
                <w:rFonts w:cs="Arial"/>
              </w:rPr>
            </w:pPr>
            <w:r w:rsidRPr="001A51F3">
              <w:rPr>
                <w:rFonts w:cs="Arial"/>
              </w:rPr>
              <w:t>Amiodarone is an enzyme inhibitor and can increase exposure to a number of medicines including:</w:t>
            </w:r>
          </w:p>
          <w:p w14:paraId="3D9AB15E" w14:textId="36A4FC17" w:rsidR="001A51F3" w:rsidRPr="00F34C5E" w:rsidRDefault="001A51F3" w:rsidP="00F34C5E">
            <w:pPr>
              <w:pStyle w:val="ListParagraph"/>
              <w:numPr>
                <w:ilvl w:val="0"/>
                <w:numId w:val="31"/>
              </w:numPr>
              <w:rPr>
                <w:rFonts w:cs="Arial"/>
              </w:rPr>
            </w:pPr>
            <w:r w:rsidRPr="00F34C5E">
              <w:rPr>
                <w:rFonts w:cs="Arial"/>
              </w:rPr>
              <w:t>P-glycoprotein (PgP) substrates (e.g. digoxin, dabigatran)</w:t>
            </w:r>
          </w:p>
          <w:p w14:paraId="72934048" w14:textId="14ACEA0A" w:rsidR="001A51F3" w:rsidRPr="00F34C5E" w:rsidRDefault="001A51F3" w:rsidP="00F34C5E">
            <w:pPr>
              <w:pStyle w:val="ListParagraph"/>
              <w:numPr>
                <w:ilvl w:val="0"/>
                <w:numId w:val="31"/>
              </w:numPr>
              <w:rPr>
                <w:rFonts w:cs="Arial"/>
              </w:rPr>
            </w:pPr>
            <w:r w:rsidRPr="00F34C5E">
              <w:rPr>
                <w:rFonts w:cs="Arial"/>
              </w:rPr>
              <w:t>CYP2C9 substrates (e.g. warfarin, phenytoin)</w:t>
            </w:r>
          </w:p>
          <w:p w14:paraId="161601E5" w14:textId="04431101" w:rsidR="001A51F3" w:rsidRPr="00F34C5E" w:rsidRDefault="001A51F3" w:rsidP="00F34C5E">
            <w:pPr>
              <w:pStyle w:val="ListParagraph"/>
              <w:numPr>
                <w:ilvl w:val="0"/>
                <w:numId w:val="31"/>
              </w:numPr>
              <w:rPr>
                <w:rFonts w:cs="Arial"/>
              </w:rPr>
            </w:pPr>
            <w:r w:rsidRPr="00F34C5E">
              <w:rPr>
                <w:rFonts w:cs="Arial"/>
              </w:rPr>
              <w:t>CYP3A4 substrates (e.g. ciclosporin, statins, fentanyl, sildenafil, colchicine)</w:t>
            </w:r>
          </w:p>
          <w:p w14:paraId="65536BDB" w14:textId="62C1B216" w:rsidR="001A51F3" w:rsidRPr="00F34C5E" w:rsidRDefault="001A51F3" w:rsidP="00F34C5E">
            <w:pPr>
              <w:pStyle w:val="ListParagraph"/>
              <w:numPr>
                <w:ilvl w:val="0"/>
                <w:numId w:val="31"/>
              </w:numPr>
              <w:rPr>
                <w:rFonts w:cs="Arial"/>
              </w:rPr>
            </w:pPr>
            <w:r w:rsidRPr="00F34C5E">
              <w:rPr>
                <w:rFonts w:cs="Arial"/>
              </w:rPr>
              <w:t>CYP2D6 substrates (e.g. flecainide)</w:t>
            </w:r>
          </w:p>
          <w:p w14:paraId="4C5D9D34" w14:textId="77777777" w:rsidR="001A51F3" w:rsidRPr="001A51F3" w:rsidRDefault="001A51F3" w:rsidP="001A51F3">
            <w:pPr>
              <w:rPr>
                <w:rFonts w:cs="Arial"/>
              </w:rPr>
            </w:pPr>
          </w:p>
          <w:p w14:paraId="3E64BC44" w14:textId="77777777" w:rsidR="001A51F3" w:rsidRPr="001A51F3" w:rsidRDefault="001A51F3" w:rsidP="001A51F3">
            <w:pPr>
              <w:rPr>
                <w:rFonts w:cs="Arial"/>
              </w:rPr>
            </w:pPr>
            <w:r w:rsidRPr="001A51F3">
              <w:rPr>
                <w:rFonts w:cs="Arial"/>
              </w:rPr>
              <w:t>Amiodarone interacts with other medicines that:</w:t>
            </w:r>
          </w:p>
          <w:p w14:paraId="39975784" w14:textId="6F407F54" w:rsidR="001A51F3" w:rsidRPr="00FE3EEF" w:rsidRDefault="001A51F3" w:rsidP="00FE3EEF">
            <w:pPr>
              <w:pStyle w:val="ListParagraph"/>
              <w:numPr>
                <w:ilvl w:val="0"/>
                <w:numId w:val="32"/>
              </w:numPr>
              <w:rPr>
                <w:rFonts w:cs="Arial"/>
              </w:rPr>
            </w:pPr>
            <w:r w:rsidRPr="045E97EE">
              <w:rPr>
                <w:rFonts w:cs="Arial"/>
              </w:rPr>
              <w:lastRenderedPageBreak/>
              <w:t xml:space="preserve">prolong </w:t>
            </w:r>
            <w:r w:rsidR="00FE3EEF" w:rsidRPr="045E97EE">
              <w:rPr>
                <w:rFonts w:cs="Arial"/>
              </w:rPr>
              <w:t xml:space="preserve">the </w:t>
            </w:r>
            <w:r w:rsidRPr="045E97EE">
              <w:rPr>
                <w:rFonts w:cs="Arial"/>
              </w:rPr>
              <w:t xml:space="preserve">QT </w:t>
            </w:r>
            <w:r w:rsidR="00FE3EEF" w:rsidRPr="045E97EE">
              <w:rPr>
                <w:rFonts w:cs="Arial"/>
              </w:rPr>
              <w:t xml:space="preserve">interval </w:t>
            </w:r>
            <w:r w:rsidRPr="045E97EE">
              <w:rPr>
                <w:rFonts w:cs="Arial"/>
              </w:rPr>
              <w:t xml:space="preserve">(e.g. clarithromycin, </w:t>
            </w:r>
            <w:r w:rsidR="00FE3EEF" w:rsidRPr="045E97EE">
              <w:rPr>
                <w:rFonts w:cs="Arial"/>
              </w:rPr>
              <w:t>fluoroquinolones</w:t>
            </w:r>
            <w:r w:rsidRPr="045E97EE">
              <w:rPr>
                <w:rFonts w:cs="Arial"/>
              </w:rPr>
              <w:t>)</w:t>
            </w:r>
            <w:r w:rsidR="1FD56E4E" w:rsidRPr="045E97EE">
              <w:rPr>
                <w:rFonts w:cs="Arial"/>
              </w:rPr>
              <w:t>, lithium, most antipsychotics, some antidepressants,</w:t>
            </w:r>
            <w:r w:rsidR="005529B0" w:rsidRPr="045E97EE">
              <w:rPr>
                <w:rFonts w:cs="Arial"/>
              </w:rPr>
              <w:t xml:space="preserve"> and increase the risk of Torsades de Pointes (see </w:t>
            </w:r>
            <w:hyperlink w:anchor="eight_cautions_cx">
              <w:r w:rsidR="005529B0" w:rsidRPr="045E97EE">
                <w:rPr>
                  <w:rStyle w:val="Hyperlink"/>
                </w:rPr>
                <w:t>section 8</w:t>
              </w:r>
            </w:hyperlink>
            <w:r w:rsidR="005529B0" w:rsidRPr="045E97EE">
              <w:rPr>
                <w:rFonts w:cs="Arial"/>
              </w:rPr>
              <w:t>)</w:t>
            </w:r>
          </w:p>
          <w:p w14:paraId="7E05427C" w14:textId="35F0F63A" w:rsidR="001A51F3" w:rsidRPr="00F34C5E" w:rsidRDefault="001A51F3" w:rsidP="00F34C5E">
            <w:pPr>
              <w:pStyle w:val="ListParagraph"/>
              <w:numPr>
                <w:ilvl w:val="0"/>
                <w:numId w:val="32"/>
              </w:numPr>
              <w:rPr>
                <w:rFonts w:cs="Arial"/>
              </w:rPr>
            </w:pPr>
            <w:r w:rsidRPr="00F34C5E">
              <w:rPr>
                <w:rFonts w:cs="Arial"/>
              </w:rPr>
              <w:t>lower heart rate (e.g. beta-blockers, calcium channel blockers)</w:t>
            </w:r>
          </w:p>
          <w:p w14:paraId="2AD47F97" w14:textId="5DD79BA1" w:rsidR="001A51F3" w:rsidRPr="00F34C5E" w:rsidRDefault="001A51F3" w:rsidP="00F34C5E">
            <w:pPr>
              <w:pStyle w:val="ListParagraph"/>
              <w:numPr>
                <w:ilvl w:val="0"/>
                <w:numId w:val="32"/>
              </w:numPr>
              <w:rPr>
                <w:rFonts w:cs="Arial"/>
              </w:rPr>
            </w:pPr>
            <w:r w:rsidRPr="00F34C5E">
              <w:rPr>
                <w:rFonts w:cs="Arial"/>
              </w:rPr>
              <w:t>induce hypokalaemia (e.g. diuretics, stimulant laxatives)</w:t>
            </w:r>
          </w:p>
          <w:p w14:paraId="352F971A" w14:textId="64FE99A0" w:rsidR="001A51F3" w:rsidRPr="00F34C5E" w:rsidRDefault="001A51F3" w:rsidP="00F34C5E">
            <w:pPr>
              <w:pStyle w:val="ListParagraph"/>
              <w:numPr>
                <w:ilvl w:val="0"/>
                <w:numId w:val="32"/>
              </w:numPr>
              <w:rPr>
                <w:rFonts w:cs="Arial"/>
              </w:rPr>
            </w:pPr>
            <w:r w:rsidRPr="00F34C5E">
              <w:rPr>
                <w:rFonts w:cs="Arial"/>
              </w:rPr>
              <w:t>induce hypomagnesaemia (e.g. diuretics, systemic corticosteroids)</w:t>
            </w:r>
          </w:p>
          <w:p w14:paraId="7DC492B7" w14:textId="77777777" w:rsidR="001A51F3" w:rsidRPr="001A51F3" w:rsidRDefault="001A51F3" w:rsidP="001A51F3">
            <w:pPr>
              <w:rPr>
                <w:rFonts w:cs="Arial"/>
              </w:rPr>
            </w:pPr>
          </w:p>
          <w:p w14:paraId="793D6140" w14:textId="77777777" w:rsidR="001A51F3" w:rsidRPr="001A51F3" w:rsidRDefault="001A51F3" w:rsidP="001A51F3">
            <w:pPr>
              <w:rPr>
                <w:rFonts w:cs="Arial"/>
              </w:rPr>
            </w:pPr>
            <w:r w:rsidRPr="001A51F3">
              <w:rPr>
                <w:rFonts w:cs="Arial"/>
              </w:rPr>
              <w:t>Other interactions include:</w:t>
            </w:r>
          </w:p>
          <w:p w14:paraId="42C8CE4F" w14:textId="5D1664A3" w:rsidR="001A51F3" w:rsidRPr="00F34C5E" w:rsidRDefault="001A51F3" w:rsidP="00F34C5E">
            <w:pPr>
              <w:pStyle w:val="ListParagraph"/>
              <w:numPr>
                <w:ilvl w:val="0"/>
                <w:numId w:val="33"/>
              </w:numPr>
              <w:rPr>
                <w:rFonts w:cs="Arial"/>
              </w:rPr>
            </w:pPr>
            <w:r w:rsidRPr="00F34C5E">
              <w:rPr>
                <w:rFonts w:cs="Arial"/>
              </w:rPr>
              <w:t xml:space="preserve">CYP3A4 and CYP2C8 inhibitors: may increase exposure to amiodarone (e.g. cimetidine, letermovir, ritonavir, darunavir, grapefruit juice) </w:t>
            </w:r>
          </w:p>
          <w:p w14:paraId="336E783D" w14:textId="337A6953" w:rsidR="00FE3EEF" w:rsidRDefault="001A51F3" w:rsidP="00F34C5E">
            <w:pPr>
              <w:pStyle w:val="ListParagraph"/>
              <w:numPr>
                <w:ilvl w:val="0"/>
                <w:numId w:val="33"/>
              </w:numPr>
              <w:rPr>
                <w:rFonts w:cs="Arial"/>
              </w:rPr>
            </w:pPr>
            <w:r w:rsidRPr="00F34C5E">
              <w:rPr>
                <w:rFonts w:cs="Arial"/>
              </w:rPr>
              <w:t>Sofosbuvir with daclatasvir; sofosbuvir and ledipasvir</w:t>
            </w:r>
            <w:r w:rsidR="00FE3EEF">
              <w:rPr>
                <w:rFonts w:cs="Arial"/>
              </w:rPr>
              <w:t xml:space="preserve">: </w:t>
            </w:r>
            <w:r w:rsidR="00FE3EEF" w:rsidRPr="00FE3EEF">
              <w:rPr>
                <w:rFonts w:cs="Arial"/>
              </w:rPr>
              <w:t>risks of severe bradycardia and heart block when taken with amiodarone</w:t>
            </w:r>
            <w:r w:rsidR="00FE3EEF">
              <w:rPr>
                <w:rFonts w:cs="Arial"/>
              </w:rPr>
              <w:t xml:space="preserve">; see </w:t>
            </w:r>
            <w:hyperlink r:id="rId22" w:history="1">
              <w:r w:rsidR="00FE3EEF" w:rsidRPr="00FE3EEF">
                <w:rPr>
                  <w:rStyle w:val="Hyperlink"/>
                  <w:rFonts w:cs="Arial"/>
                </w:rPr>
                <w:t>MHRA advice</w:t>
              </w:r>
            </w:hyperlink>
            <w:r w:rsidR="00FE3EEF">
              <w:rPr>
                <w:rFonts w:cs="Arial"/>
              </w:rPr>
              <w:t xml:space="preserve">. </w:t>
            </w:r>
          </w:p>
          <w:p w14:paraId="2C9F827E" w14:textId="5219C324" w:rsidR="001A51F3" w:rsidRPr="00F34C5E" w:rsidRDefault="00FE3EEF" w:rsidP="00F34C5E">
            <w:pPr>
              <w:pStyle w:val="ListParagraph"/>
              <w:numPr>
                <w:ilvl w:val="0"/>
                <w:numId w:val="33"/>
              </w:numPr>
              <w:rPr>
                <w:rFonts w:cs="Arial"/>
              </w:rPr>
            </w:pPr>
            <w:r>
              <w:rPr>
                <w:rFonts w:cs="Arial"/>
              </w:rPr>
              <w:t>S</w:t>
            </w:r>
            <w:r w:rsidR="001A51F3" w:rsidRPr="00F34C5E">
              <w:rPr>
                <w:rFonts w:cs="Arial"/>
              </w:rPr>
              <w:t xml:space="preserve">imeprevir with sofosbuvir: risk of severe bradycardia and heart block see </w:t>
            </w:r>
            <w:hyperlink r:id="rId23" w:history="1">
              <w:r w:rsidR="001A51F3" w:rsidRPr="00F34C5E">
                <w:rPr>
                  <w:rStyle w:val="Hyperlink"/>
                  <w:rFonts w:cs="Arial"/>
                </w:rPr>
                <w:t>MHRA advice</w:t>
              </w:r>
            </w:hyperlink>
            <w:r w:rsidRPr="0064598F">
              <w:rPr>
                <w:rStyle w:val="Hyperlink"/>
                <w:rFonts w:cs="Arial"/>
                <w:color w:val="000000"/>
                <w:u w:val="none"/>
              </w:rPr>
              <w:t>.</w:t>
            </w:r>
          </w:p>
          <w:p w14:paraId="7E5DF4C9" w14:textId="77777777" w:rsidR="001A51F3" w:rsidRPr="001A51F3" w:rsidRDefault="001A51F3" w:rsidP="001A51F3">
            <w:pPr>
              <w:rPr>
                <w:rFonts w:cs="Arial"/>
              </w:rPr>
            </w:pPr>
          </w:p>
          <w:p w14:paraId="11735DD8" w14:textId="4ADA52EB" w:rsidR="001A51F3" w:rsidRPr="00FE3EEF" w:rsidRDefault="001A51F3" w:rsidP="0064598F">
            <w:pPr>
              <w:rPr>
                <w:rFonts w:cs="Arial"/>
              </w:rPr>
            </w:pPr>
            <w:r w:rsidRPr="0064598F">
              <w:rPr>
                <w:rFonts w:cs="Arial"/>
                <w:b/>
                <w:bCs/>
              </w:rPr>
              <w:t>Due to the long half-life of amiodarone, there is potential for drug interactions to occur for several weeks/months after treatment has been discontinued.</w:t>
            </w:r>
            <w:r w:rsidRPr="00FE3EEF">
              <w:rPr>
                <w:rFonts w:cs="Arial"/>
              </w:rPr>
              <w:t xml:space="preserve"> See </w:t>
            </w:r>
            <w:hyperlink r:id="rId24" w:history="1">
              <w:r w:rsidRPr="00FE3EEF">
                <w:rPr>
                  <w:rStyle w:val="Hyperlink"/>
                  <w:rFonts w:cs="Arial"/>
                </w:rPr>
                <w:t>SPC</w:t>
              </w:r>
            </w:hyperlink>
            <w:r w:rsidRPr="00FE3EEF">
              <w:rPr>
                <w:rFonts w:cs="Arial"/>
              </w:rPr>
              <w:t xml:space="preserve"> for information on managing interactions.</w:t>
            </w:r>
          </w:p>
        </w:tc>
      </w:tr>
    </w:tbl>
    <w:p w14:paraId="56D8C659" w14:textId="77777777" w:rsidR="0051526F" w:rsidRDefault="0051526F"/>
    <w:p w14:paraId="5F2EB721" w14:textId="77777777" w:rsidR="0051526F" w:rsidRDefault="0051526F" w:rsidP="0051526F">
      <w:pPr>
        <w:pStyle w:val="Heading2"/>
        <w:rPr>
          <w:rFonts w:cs="Arial"/>
        </w:rPr>
      </w:pPr>
      <w:bookmarkStart w:id="17" w:name="_Toc149231794"/>
      <w:r w:rsidRPr="00F321FC">
        <w:rPr>
          <w:rFonts w:cs="Arial"/>
        </w:rPr>
        <w:t>Adverse effects and management</w:t>
      </w:r>
      <w:bookmarkEnd w:id="17"/>
    </w:p>
    <w:p w14:paraId="6542B4B6" w14:textId="7A2C1977" w:rsidR="00F51737" w:rsidRDefault="0051526F" w:rsidP="00F51737">
      <w:pPr>
        <w:rPr>
          <w:rStyle w:val="Hyperlink"/>
          <w:rFonts w:eastAsia="Calibri"/>
          <w:bCs/>
          <w:noProof/>
          <w:color w:val="000000"/>
          <w:u w:val="none"/>
          <w:lang w:eastAsia="en-GB"/>
        </w:rPr>
      </w:pPr>
      <w:r w:rsidRPr="00D32858">
        <w:rPr>
          <w:rFonts w:cs="Arial"/>
        </w:rPr>
        <w:t>As well as responding to absolute values in laboratory tests, a rapid change or a consistent trend in any value should prompt caution and extra vigilance</w:t>
      </w:r>
      <w:r>
        <w:rPr>
          <w:rFonts w:cs="Arial"/>
          <w:b/>
          <w:bCs/>
        </w:rPr>
        <w:t>.</w:t>
      </w:r>
      <w:r w:rsidR="00F51737" w:rsidRPr="00F51737">
        <w:rPr>
          <w:rStyle w:val="Hyperlink"/>
          <w:rFonts w:eastAsia="Calibri" w:cs="Arial"/>
          <w:bCs/>
          <w:noProof/>
          <w:color w:val="000000"/>
          <w:u w:val="none"/>
          <w:lang w:eastAsia="en-GB"/>
        </w:rPr>
        <w:t xml:space="preserve"> </w:t>
      </w:r>
      <w:r w:rsidR="00F51737" w:rsidRPr="0041687B">
        <w:rPr>
          <w:rStyle w:val="Hyperlink"/>
          <w:rFonts w:eastAsia="Calibri" w:cs="Arial"/>
          <w:bCs/>
          <w:noProof/>
          <w:color w:val="000000"/>
          <w:u w:val="none"/>
          <w:lang w:eastAsia="en-GB"/>
        </w:rPr>
        <w:t xml:space="preserve">For information on incidence of ADRs see relevant </w:t>
      </w:r>
      <w:hyperlink r:id="rId25" w:history="1">
        <w:r w:rsidR="00F51737" w:rsidRPr="00D13A1C">
          <w:rPr>
            <w:rStyle w:val="Hyperlink"/>
            <w:rFonts w:eastAsia="Calibri" w:cs="Arial"/>
            <w:bCs/>
            <w:noProof/>
            <w:lang w:eastAsia="en-GB"/>
          </w:rPr>
          <w:t>S</w:t>
        </w:r>
        <w:r w:rsidR="00F51737" w:rsidRPr="00D13A1C">
          <w:rPr>
            <w:rStyle w:val="Hyperlink"/>
            <w:rFonts w:eastAsia="Calibri"/>
            <w:bCs/>
            <w:noProof/>
            <w:lang w:eastAsia="en-GB"/>
          </w:rPr>
          <w:t>PCs</w:t>
        </w:r>
      </w:hyperlink>
      <w:r w:rsidR="00F51737" w:rsidRPr="00D13A1C">
        <w:rPr>
          <w:rStyle w:val="Hyperlink"/>
          <w:rFonts w:eastAsia="Calibri"/>
          <w:bCs/>
          <w:noProof/>
          <w:color w:val="000000"/>
          <w:u w:val="none"/>
          <w:lang w:eastAsia="en-GB"/>
        </w:rPr>
        <w:t>.</w:t>
      </w:r>
    </w:p>
    <w:p w14:paraId="41070243" w14:textId="4B1B878D" w:rsidR="0051526F" w:rsidRDefault="0051526F" w:rsidP="0051526F">
      <w:pPr>
        <w:spacing w:after="120"/>
        <w:rPr>
          <w:rFonts w:cs="Arial"/>
          <w:b/>
          <w:bCs/>
        </w:rPr>
      </w:pPr>
    </w:p>
    <w:p w14:paraId="338E7A1F" w14:textId="53E2DB61" w:rsidR="0051526F" w:rsidRPr="0041687B" w:rsidRDefault="0051526F" w:rsidP="0051526F">
      <w:pPr>
        <w:spacing w:after="120"/>
        <w:rPr>
          <w:rStyle w:val="Hyperlink"/>
          <w:rFonts w:eastAsia="Calibri" w:cs="Arial"/>
          <w:noProof/>
          <w:lang w:eastAsia="en-GB"/>
        </w:rPr>
      </w:pPr>
      <w:r w:rsidRPr="0041687B">
        <w:rPr>
          <w:rFonts w:cs="Arial"/>
          <w:b/>
          <w:bCs/>
        </w:rPr>
        <w:t xml:space="preserve">Any serious adverse reactions should be reported to the MHRA via the Yellow Card scheme. Visit </w:t>
      </w:r>
      <w:hyperlink r:id="rId26" w:tooltip="http://www.mhra.gov.uk/yellowcard" w:history="1">
        <w:r w:rsidRPr="0041687B">
          <w:rPr>
            <w:rStyle w:val="Hyperlink"/>
            <w:rFonts w:eastAsia="Calibri" w:cs="Arial"/>
            <w:noProof/>
            <w:lang w:eastAsia="en-GB"/>
          </w:rPr>
          <w:t>www.mhra.gov.uk/yellowcard</w:t>
        </w:r>
      </w:hyperlink>
      <w:r w:rsidRPr="0064598F">
        <w:rPr>
          <w:rStyle w:val="Hyperlink"/>
          <w:rFonts w:eastAsia="Calibri" w:cs="Arial"/>
          <w:noProof/>
          <w:color w:val="000000"/>
          <w:u w:val="none"/>
          <w:lang w:eastAsia="en-GB"/>
        </w:rPr>
        <w:t>.</w:t>
      </w:r>
    </w:p>
    <w:p w14:paraId="691B3BD8" w14:textId="77777777" w:rsidR="004532C6" w:rsidRDefault="004532C6" w:rsidP="0051526F">
      <w:pPr>
        <w:rPr>
          <w:rFonts w:cs="Arial"/>
          <w:b/>
          <w:bCs/>
        </w:rPr>
      </w:pPr>
    </w:p>
    <w:p w14:paraId="5D786E5B" w14:textId="24B2595E" w:rsidR="004532C6" w:rsidRDefault="004532C6" w:rsidP="0051526F">
      <w:r w:rsidRPr="00F34C5E">
        <w:rPr>
          <w:rFonts w:cs="Arial"/>
          <w:b/>
          <w:bCs/>
        </w:rPr>
        <w:t>The most serious toxicity with amiodarone is seen with long-term use and patients may therefore present first to primary care. Due to the long half-life of amiodarone</w:t>
      </w:r>
      <w:r>
        <w:rPr>
          <w:rFonts w:cs="Arial"/>
          <w:b/>
          <w:bCs/>
        </w:rPr>
        <w:t>,</w:t>
      </w:r>
      <w:r w:rsidRPr="00F34C5E">
        <w:rPr>
          <w:rFonts w:cs="Arial"/>
          <w:b/>
          <w:bCs/>
        </w:rPr>
        <w:t xml:space="preserve"> there is potential for adverse effects to occur for several weeks/months after treatment has been discontinued.</w:t>
      </w:r>
    </w:p>
    <w:tbl>
      <w:tblPr>
        <w:tblStyle w:val="TableGridLight1"/>
        <w:tblW w:w="10490" w:type="dxa"/>
        <w:tblInd w:w="-5" w:type="dxa"/>
        <w:tblCellMar>
          <w:top w:w="57" w:type="dxa"/>
          <w:bottom w:w="57" w:type="dxa"/>
        </w:tblCellMar>
        <w:tblLook w:val="0480" w:firstRow="0" w:lastRow="0" w:firstColumn="1" w:lastColumn="0" w:noHBand="0" w:noVBand="1"/>
      </w:tblPr>
      <w:tblGrid>
        <w:gridCol w:w="5245"/>
        <w:gridCol w:w="5245"/>
      </w:tblGrid>
      <w:tr w:rsidR="0051526F" w:rsidRPr="00F321FC" w14:paraId="7F454127" w14:textId="77777777" w:rsidTr="0051526F">
        <w:trPr>
          <w:cantSplit/>
          <w:tblHeader/>
        </w:trPr>
        <w:tc>
          <w:tcPr>
            <w:tcW w:w="5245" w:type="dxa"/>
            <w:shd w:val="clear" w:color="auto" w:fill="F2F2F2" w:themeFill="background1" w:themeFillShade="F2"/>
          </w:tcPr>
          <w:p w14:paraId="67AF18F0" w14:textId="01ED708F" w:rsidR="0051526F" w:rsidRPr="00BF174A" w:rsidRDefault="0051526F" w:rsidP="00BF174A">
            <w:pPr>
              <w:rPr>
                <w:b/>
                <w:bCs/>
                <w:u w:val="single"/>
              </w:rPr>
            </w:pPr>
            <w:r w:rsidRPr="00BF174A">
              <w:rPr>
                <w:b/>
                <w:bCs/>
                <w:u w:val="single"/>
              </w:rPr>
              <w:t>Adverse effect</w:t>
            </w:r>
          </w:p>
        </w:tc>
        <w:tc>
          <w:tcPr>
            <w:tcW w:w="5245" w:type="dxa"/>
            <w:shd w:val="clear" w:color="auto" w:fill="F2F2F2" w:themeFill="background1" w:themeFillShade="F2"/>
          </w:tcPr>
          <w:p w14:paraId="7FD73CD2" w14:textId="63413BED" w:rsidR="0051526F" w:rsidRPr="00BF174A" w:rsidRDefault="0051526F" w:rsidP="00BF174A">
            <w:pPr>
              <w:rPr>
                <w:b/>
                <w:bCs/>
                <w:u w:val="single"/>
              </w:rPr>
            </w:pPr>
            <w:r w:rsidRPr="00BF174A">
              <w:rPr>
                <w:b/>
                <w:bCs/>
                <w:u w:val="single"/>
              </w:rPr>
              <w:t>Management</w:t>
            </w:r>
          </w:p>
        </w:tc>
      </w:tr>
      <w:tr w:rsidR="0051526F" w:rsidRPr="00F321FC" w14:paraId="01268D2D" w14:textId="77777777" w:rsidTr="0051526F">
        <w:trPr>
          <w:cantSplit/>
          <w:trHeight w:val="48"/>
        </w:trPr>
        <w:tc>
          <w:tcPr>
            <w:tcW w:w="5245" w:type="dxa"/>
          </w:tcPr>
          <w:p w14:paraId="36F5AF4F" w14:textId="77777777" w:rsidR="0051526F" w:rsidRDefault="0051526F" w:rsidP="00F34C5E">
            <w:pPr>
              <w:rPr>
                <w:rFonts w:eastAsia="Times New Roman" w:cstheme="minorHAnsi"/>
                <w:lang w:eastAsia="en-GB"/>
              </w:rPr>
            </w:pPr>
            <w:r>
              <w:rPr>
                <w:rFonts w:eastAsia="Times New Roman" w:cstheme="minorHAnsi"/>
                <w:lang w:eastAsia="en-GB"/>
              </w:rPr>
              <w:t>Electrolyte deficiency:</w:t>
            </w:r>
          </w:p>
          <w:p w14:paraId="6A99262A" w14:textId="0A53389A" w:rsidR="0051526F" w:rsidRPr="00F321FC" w:rsidRDefault="0051526F" w:rsidP="00F34C5E">
            <w:pPr>
              <w:rPr>
                <w:rFonts w:cs="Arial"/>
              </w:rPr>
            </w:pPr>
            <w:r>
              <w:rPr>
                <w:rFonts w:eastAsia="Times New Roman" w:cstheme="minorHAnsi"/>
                <w:lang w:eastAsia="en-GB"/>
              </w:rPr>
              <w:t>hypokalaemia / hypomagnesaemia</w:t>
            </w:r>
          </w:p>
        </w:tc>
        <w:tc>
          <w:tcPr>
            <w:tcW w:w="5245" w:type="dxa"/>
          </w:tcPr>
          <w:p w14:paraId="45A5B53C" w14:textId="0889A688" w:rsidR="0051526F" w:rsidRPr="00F321FC" w:rsidRDefault="0051526F" w:rsidP="00F34C5E">
            <w:pPr>
              <w:rPr>
                <w:rFonts w:cs="Arial"/>
              </w:rPr>
            </w:pPr>
            <w:r>
              <w:rPr>
                <w:rFonts w:eastAsia="Times New Roman" w:cstheme="minorHAnsi"/>
                <w:lang w:eastAsia="en-GB"/>
              </w:rPr>
              <w:t xml:space="preserve">Continue amiodarone.  Correct deficiency as per local </w:t>
            </w:r>
            <w:r w:rsidR="000058E7">
              <w:rPr>
                <w:rFonts w:eastAsia="Times New Roman" w:cstheme="minorHAnsi"/>
                <w:lang w:eastAsia="en-GB"/>
              </w:rPr>
              <w:t xml:space="preserve">or SPS </w:t>
            </w:r>
            <w:r>
              <w:rPr>
                <w:rFonts w:eastAsia="Times New Roman" w:cstheme="minorHAnsi"/>
                <w:lang w:eastAsia="en-GB"/>
              </w:rPr>
              <w:t>guidelines</w:t>
            </w:r>
            <w:r w:rsidR="009D0700">
              <w:rPr>
                <w:rFonts w:eastAsia="Times New Roman" w:cstheme="minorHAnsi"/>
                <w:lang w:eastAsia="en-GB"/>
              </w:rPr>
              <w:t xml:space="preserve"> </w:t>
            </w:r>
            <w:r w:rsidR="00FD39A1">
              <w:rPr>
                <w:rFonts w:eastAsia="Times New Roman" w:cstheme="minorHAnsi"/>
                <w:lang w:eastAsia="en-GB"/>
              </w:rPr>
              <w:t>–</w:t>
            </w:r>
            <w:r w:rsidR="009D0700">
              <w:rPr>
                <w:rFonts w:eastAsia="Times New Roman" w:cstheme="minorHAnsi"/>
                <w:lang w:eastAsia="en-GB"/>
              </w:rPr>
              <w:t xml:space="preserve"> </w:t>
            </w:r>
            <w:hyperlink r:id="rId27" w:history="1">
              <w:r w:rsidR="00FD39A1" w:rsidRPr="00CC00F0">
                <w:rPr>
                  <w:rStyle w:val="Hyperlink"/>
                  <w:rFonts w:eastAsia="Times New Roman" w:cstheme="minorHAnsi"/>
                  <w:lang w:eastAsia="en-GB"/>
                </w:rPr>
                <w:t xml:space="preserve">Treating acute hypokalaemia </w:t>
              </w:r>
              <w:r w:rsidR="00CC00F0" w:rsidRPr="00CC00F0">
                <w:rPr>
                  <w:rStyle w:val="Hyperlink"/>
                  <w:rFonts w:eastAsia="Times New Roman" w:cstheme="minorHAnsi"/>
                  <w:lang w:eastAsia="en-GB"/>
                </w:rPr>
                <w:t>in adults</w:t>
              </w:r>
            </w:hyperlink>
            <w:r w:rsidR="00CC00F0">
              <w:rPr>
                <w:rFonts w:eastAsia="Times New Roman" w:cstheme="minorHAnsi"/>
                <w:lang w:eastAsia="en-GB"/>
              </w:rPr>
              <w:t xml:space="preserve"> or </w:t>
            </w:r>
            <w:hyperlink r:id="rId28" w:history="1">
              <w:r w:rsidR="00CC00F0" w:rsidRPr="006B0476">
                <w:rPr>
                  <w:rStyle w:val="Hyperlink"/>
                  <w:rFonts w:eastAsia="Times New Roman" w:cstheme="minorHAnsi"/>
                  <w:lang w:eastAsia="en-GB"/>
                </w:rPr>
                <w:t>Treating acute hypo</w:t>
              </w:r>
              <w:r w:rsidR="006B0476" w:rsidRPr="006B0476">
                <w:rPr>
                  <w:rStyle w:val="Hyperlink"/>
                  <w:rFonts w:eastAsia="Times New Roman" w:cstheme="minorHAnsi"/>
                  <w:lang w:eastAsia="en-GB"/>
                </w:rPr>
                <w:t>magnesaemia in adults</w:t>
              </w:r>
            </w:hyperlink>
            <w:r>
              <w:rPr>
                <w:rFonts w:eastAsia="Times New Roman" w:cstheme="minorHAnsi"/>
                <w:lang w:eastAsia="en-GB"/>
              </w:rPr>
              <w:t>. Review other medicines that may be contributing to a deficiency.</w:t>
            </w:r>
          </w:p>
        </w:tc>
      </w:tr>
      <w:tr w:rsidR="0051526F" w:rsidRPr="00F321FC" w14:paraId="7CEAAB39" w14:textId="77777777" w:rsidTr="0051526F">
        <w:trPr>
          <w:cantSplit/>
          <w:trHeight w:val="48"/>
        </w:trPr>
        <w:tc>
          <w:tcPr>
            <w:tcW w:w="5245" w:type="dxa"/>
          </w:tcPr>
          <w:p w14:paraId="1BDF1231" w14:textId="77777777" w:rsidR="0051526F" w:rsidRDefault="0051526F" w:rsidP="00F34C5E">
            <w:pPr>
              <w:rPr>
                <w:rFonts w:eastAsia="Times New Roman" w:cstheme="minorHAnsi"/>
                <w:b/>
                <w:lang w:eastAsia="en-GB"/>
              </w:rPr>
            </w:pPr>
            <w:r>
              <w:rPr>
                <w:rFonts w:eastAsia="Times New Roman" w:cstheme="minorHAnsi"/>
                <w:b/>
                <w:lang w:eastAsia="en-GB"/>
              </w:rPr>
              <w:t>Cardiovascular effects:</w:t>
            </w:r>
          </w:p>
          <w:p w14:paraId="57C99FB1" w14:textId="77777777" w:rsidR="0051526F" w:rsidRDefault="0051526F" w:rsidP="00F34C5E">
            <w:pPr>
              <w:rPr>
                <w:rFonts w:eastAsia="Times New Roman" w:cstheme="minorHAnsi"/>
                <w:lang w:eastAsia="en-GB"/>
              </w:rPr>
            </w:pPr>
            <w:r>
              <w:rPr>
                <w:rFonts w:eastAsia="Times New Roman" w:cstheme="minorHAnsi"/>
                <w:lang w:eastAsia="en-GB"/>
              </w:rPr>
              <w:t>Bradycardia:</w:t>
            </w:r>
          </w:p>
          <w:p w14:paraId="2386555E" w14:textId="2B86DAB2" w:rsidR="0051526F" w:rsidRPr="0051526F" w:rsidRDefault="0051526F" w:rsidP="0051526F">
            <w:pPr>
              <w:spacing w:line="360" w:lineRule="atLeast"/>
              <w:rPr>
                <w:rFonts w:eastAsia="Times New Roman" w:cstheme="minorHAnsi"/>
                <w:lang w:eastAsia="en-GB"/>
              </w:rPr>
            </w:pPr>
            <w:r>
              <w:rPr>
                <w:rFonts w:eastAsia="Times New Roman" w:cstheme="minorHAnsi"/>
                <w:lang w:eastAsia="en-GB"/>
              </w:rPr>
              <w:t>H</w:t>
            </w:r>
            <w:r w:rsidRPr="00F34C5E">
              <w:rPr>
                <w:rFonts w:eastAsia="Times New Roman" w:cstheme="minorHAnsi"/>
                <w:lang w:eastAsia="en-GB"/>
              </w:rPr>
              <w:t>eart rate 50 - 60bpm without symptoms</w:t>
            </w:r>
          </w:p>
        </w:tc>
        <w:tc>
          <w:tcPr>
            <w:tcW w:w="5245" w:type="dxa"/>
          </w:tcPr>
          <w:p w14:paraId="645A7295" w14:textId="55F6E82C" w:rsidR="0051526F" w:rsidRPr="00F321FC" w:rsidRDefault="0051526F" w:rsidP="00F34C5E">
            <w:pPr>
              <w:rPr>
                <w:rFonts w:cs="Arial"/>
              </w:rPr>
            </w:pPr>
            <w:r>
              <w:rPr>
                <w:rFonts w:eastAsia="Times New Roman" w:cstheme="minorHAnsi"/>
                <w:lang w:eastAsia="en-GB"/>
              </w:rPr>
              <w:t>Continue amiodarone. Repeat monitoring. No action required unless symptoms develop or heart rate decreases further.</w:t>
            </w:r>
          </w:p>
        </w:tc>
      </w:tr>
      <w:tr w:rsidR="0051526F" w:rsidRPr="00F321FC" w14:paraId="3E83576D" w14:textId="77777777" w:rsidTr="0051526F">
        <w:trPr>
          <w:cantSplit/>
          <w:trHeight w:val="48"/>
        </w:trPr>
        <w:tc>
          <w:tcPr>
            <w:tcW w:w="5245" w:type="dxa"/>
          </w:tcPr>
          <w:p w14:paraId="08C53FEC" w14:textId="159811B2" w:rsidR="0051526F" w:rsidRPr="00F321FC" w:rsidRDefault="0051526F" w:rsidP="00F34C5E">
            <w:pPr>
              <w:rPr>
                <w:rFonts w:cs="Arial"/>
              </w:rPr>
            </w:pPr>
            <w:r>
              <w:rPr>
                <w:rFonts w:eastAsia="Times New Roman" w:cstheme="minorHAnsi"/>
                <w:lang w:eastAsia="en-GB"/>
              </w:rPr>
              <w:t>Heart rate  50bpm</w:t>
            </w:r>
            <w:r w:rsidR="002B3ADD">
              <w:rPr>
                <w:rFonts w:eastAsia="Times New Roman" w:cstheme="minorHAnsi"/>
                <w:lang w:eastAsia="en-GB"/>
              </w:rPr>
              <w:t xml:space="preserve"> or less</w:t>
            </w:r>
            <w:r>
              <w:rPr>
                <w:rFonts w:eastAsia="Times New Roman" w:cstheme="minorHAnsi"/>
                <w:lang w:eastAsia="en-GB"/>
              </w:rPr>
              <w:t xml:space="preserve">, or 60bpm </w:t>
            </w:r>
            <w:r w:rsidR="002B3ADD">
              <w:rPr>
                <w:rFonts w:eastAsia="Times New Roman" w:cstheme="minorHAnsi"/>
                <w:lang w:eastAsia="en-GB"/>
              </w:rPr>
              <w:t xml:space="preserve">or less </w:t>
            </w:r>
            <w:r>
              <w:rPr>
                <w:rFonts w:eastAsia="Times New Roman" w:cstheme="minorHAnsi"/>
                <w:lang w:eastAsia="en-GB"/>
              </w:rPr>
              <w:t>with symptoms</w:t>
            </w:r>
          </w:p>
        </w:tc>
        <w:tc>
          <w:tcPr>
            <w:tcW w:w="5245" w:type="dxa"/>
          </w:tcPr>
          <w:p w14:paraId="0AF04492" w14:textId="7C1DB601" w:rsidR="0051526F" w:rsidRPr="00F321FC" w:rsidRDefault="0051526F" w:rsidP="00F34C5E">
            <w:pPr>
              <w:rPr>
                <w:rFonts w:cs="Arial"/>
              </w:rPr>
            </w:pPr>
            <w:r>
              <w:rPr>
                <w:rFonts w:eastAsia="Times New Roman" w:cstheme="minorHAnsi"/>
                <w:lang w:eastAsia="en-GB"/>
              </w:rPr>
              <w:t>Discuss with specialist team; dose reduction may be required.</w:t>
            </w:r>
          </w:p>
        </w:tc>
      </w:tr>
      <w:tr w:rsidR="0051526F" w:rsidRPr="00F321FC" w14:paraId="24831E88" w14:textId="77777777" w:rsidTr="0051526F">
        <w:trPr>
          <w:cantSplit/>
          <w:trHeight w:val="48"/>
        </w:trPr>
        <w:tc>
          <w:tcPr>
            <w:tcW w:w="5245" w:type="dxa"/>
          </w:tcPr>
          <w:p w14:paraId="1928A53C" w14:textId="79639FBA" w:rsidR="0051526F" w:rsidRPr="00F321FC" w:rsidRDefault="0051526F" w:rsidP="00F34C5E">
            <w:pPr>
              <w:rPr>
                <w:rFonts w:cs="Arial"/>
              </w:rPr>
            </w:pPr>
            <w:r>
              <w:rPr>
                <w:rFonts w:eastAsia="Times New Roman" w:cs="Arial"/>
                <w:lang w:eastAsia="en-GB"/>
              </w:rPr>
              <w:t xml:space="preserve">Worsening of arrhythmia, new arrhythmia, or heart block </w:t>
            </w:r>
          </w:p>
        </w:tc>
        <w:tc>
          <w:tcPr>
            <w:tcW w:w="5245" w:type="dxa"/>
          </w:tcPr>
          <w:p w14:paraId="3EAA40C2" w14:textId="7DF3A1B8" w:rsidR="0051526F" w:rsidRPr="00F321FC" w:rsidRDefault="0051526F" w:rsidP="00F34C5E">
            <w:pPr>
              <w:rPr>
                <w:rFonts w:cs="Arial"/>
              </w:rPr>
            </w:pPr>
            <w:r>
              <w:rPr>
                <w:rFonts w:eastAsia="Times New Roman" w:cstheme="minorHAnsi"/>
                <w:b/>
                <w:lang w:eastAsia="en-GB"/>
              </w:rPr>
              <w:t xml:space="preserve">Stop amiodarone.  </w:t>
            </w:r>
            <w:r>
              <w:rPr>
                <w:rFonts w:eastAsia="Times New Roman" w:cstheme="minorHAnsi"/>
                <w:lang w:eastAsia="en-GB"/>
              </w:rPr>
              <w:t>Urgent referral to initiating specialist.</w:t>
            </w:r>
          </w:p>
        </w:tc>
      </w:tr>
      <w:tr w:rsidR="0051526F" w:rsidRPr="00F321FC" w14:paraId="7B45BBDF" w14:textId="77777777" w:rsidTr="0051526F">
        <w:trPr>
          <w:cantSplit/>
          <w:trHeight w:val="48"/>
        </w:trPr>
        <w:tc>
          <w:tcPr>
            <w:tcW w:w="5245" w:type="dxa"/>
          </w:tcPr>
          <w:p w14:paraId="0690197E" w14:textId="77777777" w:rsidR="0051526F" w:rsidRDefault="0051526F" w:rsidP="00F34C5E">
            <w:pPr>
              <w:rPr>
                <w:rFonts w:eastAsia="Times New Roman" w:cs="Arial"/>
                <w:lang w:eastAsia="en-GB"/>
              </w:rPr>
            </w:pPr>
            <w:r>
              <w:rPr>
                <w:rFonts w:eastAsia="Times New Roman" w:cs="Arial"/>
                <w:b/>
                <w:lang w:eastAsia="en-GB"/>
              </w:rPr>
              <w:lastRenderedPageBreak/>
              <w:t>Thyroid dysfunction</w:t>
            </w:r>
            <w:r>
              <w:rPr>
                <w:rFonts w:eastAsia="Times New Roman" w:cs="Arial"/>
                <w:lang w:eastAsia="en-GB"/>
              </w:rPr>
              <w:t>:</w:t>
            </w:r>
          </w:p>
          <w:p w14:paraId="742A5874" w14:textId="612E9DCF" w:rsidR="0051526F" w:rsidRPr="00F321FC" w:rsidRDefault="0051526F" w:rsidP="00F34C5E">
            <w:pPr>
              <w:rPr>
                <w:rFonts w:cs="Arial"/>
              </w:rPr>
            </w:pPr>
            <w:r>
              <w:rPr>
                <w:rFonts w:eastAsia="Times New Roman" w:cs="Arial"/>
                <w:lang w:eastAsia="en-GB"/>
              </w:rPr>
              <w:t>Borderline results according to local reference range</w:t>
            </w:r>
          </w:p>
        </w:tc>
        <w:tc>
          <w:tcPr>
            <w:tcW w:w="5245" w:type="dxa"/>
          </w:tcPr>
          <w:p w14:paraId="54690064" w14:textId="77777777" w:rsidR="0051526F" w:rsidRDefault="0051526F" w:rsidP="00F34C5E">
            <w:pPr>
              <w:rPr>
                <w:rFonts w:eastAsia="Times New Roman" w:cstheme="minorHAnsi"/>
                <w:lang w:eastAsia="en-GB"/>
              </w:rPr>
            </w:pPr>
          </w:p>
          <w:p w14:paraId="3B5D0997" w14:textId="5B40CF46" w:rsidR="0051526F" w:rsidRPr="00F321FC" w:rsidRDefault="0051526F" w:rsidP="00F34C5E">
            <w:pPr>
              <w:rPr>
                <w:rFonts w:cs="Arial"/>
              </w:rPr>
            </w:pPr>
            <w:r>
              <w:rPr>
                <w:rFonts w:eastAsia="Times New Roman" w:cstheme="minorHAnsi"/>
                <w:lang w:eastAsia="en-GB"/>
              </w:rPr>
              <w:t>Continue amiodarone.  Repeat test after 6 weeks.</w:t>
            </w:r>
          </w:p>
        </w:tc>
      </w:tr>
      <w:tr w:rsidR="0051526F" w:rsidRPr="00F321FC" w14:paraId="6BD1EF9B" w14:textId="77777777" w:rsidTr="0051526F">
        <w:trPr>
          <w:cantSplit/>
          <w:trHeight w:val="48"/>
        </w:trPr>
        <w:tc>
          <w:tcPr>
            <w:tcW w:w="5245" w:type="dxa"/>
          </w:tcPr>
          <w:p w14:paraId="605C8D30" w14:textId="05EB8FEB" w:rsidR="0051526F" w:rsidRDefault="0051526F" w:rsidP="00F34C5E">
            <w:pPr>
              <w:rPr>
                <w:rFonts w:eastAsia="Times New Roman" w:cs="Arial"/>
                <w:lang w:eastAsia="en-GB"/>
              </w:rPr>
            </w:pPr>
            <w:r>
              <w:rPr>
                <w:rFonts w:eastAsia="Times New Roman" w:cs="Arial"/>
                <w:u w:val="single"/>
                <w:lang w:eastAsia="en-GB"/>
              </w:rPr>
              <w:t>Hyper</w:t>
            </w:r>
            <w:r>
              <w:rPr>
                <w:rFonts w:eastAsia="Times New Roman" w:cs="Arial"/>
                <w:lang w:eastAsia="en-GB"/>
              </w:rPr>
              <w:t>thyroidism / thyrotoxic</w:t>
            </w:r>
            <w:r w:rsidR="005529B0">
              <w:rPr>
                <w:rFonts w:eastAsia="Times New Roman" w:cs="Arial"/>
                <w:lang w:eastAsia="en-GB"/>
              </w:rPr>
              <w:t>osis</w:t>
            </w:r>
            <w:r>
              <w:rPr>
                <w:rFonts w:eastAsia="Times New Roman" w:cs="Arial"/>
                <w:lang w:eastAsia="en-GB"/>
              </w:rPr>
              <w:t>:</w:t>
            </w:r>
          </w:p>
          <w:p w14:paraId="5E311FBE" w14:textId="2BB02F08" w:rsidR="0051526F" w:rsidRPr="00F321FC" w:rsidRDefault="0051526F" w:rsidP="00F34C5E">
            <w:pPr>
              <w:rPr>
                <w:rFonts w:cs="Arial"/>
              </w:rPr>
            </w:pPr>
            <w:r>
              <w:rPr>
                <w:rFonts w:eastAsia="Times New Roman" w:cs="Arial"/>
                <w:lang w:eastAsia="en-GB"/>
              </w:rPr>
              <w:t xml:space="preserve">high T4, normal/high T3, low </w:t>
            </w:r>
            <w:r w:rsidR="00885377">
              <w:rPr>
                <w:rFonts w:eastAsia="Times New Roman" w:cs="Arial"/>
                <w:lang w:eastAsia="en-GB"/>
              </w:rPr>
              <w:t xml:space="preserve">(less than 0.1 mU/L) </w:t>
            </w:r>
            <w:r w:rsidR="007C0674">
              <w:rPr>
                <w:rFonts w:eastAsia="Times New Roman" w:cs="Arial"/>
                <w:lang w:eastAsia="en-GB"/>
              </w:rPr>
              <w:t xml:space="preserve">or undetectable </w:t>
            </w:r>
            <w:r>
              <w:rPr>
                <w:rFonts w:eastAsia="Times New Roman" w:cs="Arial"/>
                <w:lang w:eastAsia="en-GB"/>
              </w:rPr>
              <w:t>TSH</w:t>
            </w:r>
          </w:p>
        </w:tc>
        <w:tc>
          <w:tcPr>
            <w:tcW w:w="5245" w:type="dxa"/>
          </w:tcPr>
          <w:p w14:paraId="25E56149" w14:textId="1FC72FCA" w:rsidR="0051526F" w:rsidRPr="00F321FC" w:rsidRDefault="0051526F" w:rsidP="00F34C5E">
            <w:pPr>
              <w:rPr>
                <w:rFonts w:cs="Arial"/>
              </w:rPr>
            </w:pPr>
            <w:r>
              <w:rPr>
                <w:rFonts w:eastAsia="Times New Roman" w:cstheme="minorHAnsi"/>
                <w:b/>
                <w:lang w:eastAsia="en-GB"/>
              </w:rPr>
              <w:t xml:space="preserve">Stop amiodarone.  </w:t>
            </w:r>
            <w:r>
              <w:rPr>
                <w:rFonts w:eastAsia="Times New Roman" w:cstheme="minorHAnsi"/>
                <w:lang w:eastAsia="en-GB"/>
              </w:rPr>
              <w:t>Urgent referral to initiating specialist and endocrinologist.</w:t>
            </w:r>
          </w:p>
        </w:tc>
      </w:tr>
      <w:tr w:rsidR="0051526F" w:rsidRPr="00F321FC" w14:paraId="525ED011" w14:textId="77777777" w:rsidTr="0051526F">
        <w:trPr>
          <w:cantSplit/>
          <w:trHeight w:val="48"/>
        </w:trPr>
        <w:tc>
          <w:tcPr>
            <w:tcW w:w="5245" w:type="dxa"/>
          </w:tcPr>
          <w:p w14:paraId="37810EDB" w14:textId="77777777" w:rsidR="0051526F" w:rsidRDefault="0051526F" w:rsidP="00F34C5E">
            <w:pPr>
              <w:rPr>
                <w:rFonts w:eastAsia="Times New Roman" w:cs="Arial"/>
                <w:lang w:eastAsia="en-GB"/>
              </w:rPr>
            </w:pPr>
            <w:r>
              <w:rPr>
                <w:rFonts w:eastAsia="Times New Roman" w:cs="Arial"/>
                <w:u w:val="single"/>
                <w:lang w:eastAsia="en-GB"/>
              </w:rPr>
              <w:t>Hypo</w:t>
            </w:r>
            <w:r>
              <w:rPr>
                <w:rFonts w:eastAsia="Times New Roman" w:cs="Arial"/>
                <w:lang w:eastAsia="en-GB"/>
              </w:rPr>
              <w:t>thyroidism:</w:t>
            </w:r>
          </w:p>
          <w:p w14:paraId="056AACBC" w14:textId="55034018" w:rsidR="0051526F" w:rsidRPr="00F321FC" w:rsidRDefault="0051526F" w:rsidP="00F34C5E">
            <w:pPr>
              <w:rPr>
                <w:rFonts w:cs="Arial"/>
              </w:rPr>
            </w:pPr>
            <w:r>
              <w:rPr>
                <w:rFonts w:eastAsia="Times New Roman" w:cs="Arial"/>
                <w:lang w:eastAsia="en-GB"/>
              </w:rPr>
              <w:t>low T4, high TSH</w:t>
            </w:r>
          </w:p>
        </w:tc>
        <w:tc>
          <w:tcPr>
            <w:tcW w:w="5245" w:type="dxa"/>
          </w:tcPr>
          <w:p w14:paraId="499E20D8" w14:textId="100CD43D" w:rsidR="0051526F" w:rsidRPr="00F321FC" w:rsidRDefault="0051526F" w:rsidP="00F34C5E">
            <w:pPr>
              <w:rPr>
                <w:rFonts w:cs="Arial"/>
              </w:rPr>
            </w:pPr>
            <w:r>
              <w:rPr>
                <w:rFonts w:eastAsia="Times New Roman" w:cstheme="minorHAnsi"/>
                <w:lang w:eastAsia="en-GB"/>
              </w:rPr>
              <w:t xml:space="preserve">Continue amiodarone. Inform initiating specialist. Consider starting levothyroxine based on initiating specialist’s advice. Monitor levothyroxine according to local pathways. </w:t>
            </w:r>
          </w:p>
        </w:tc>
      </w:tr>
      <w:tr w:rsidR="0051526F" w:rsidRPr="00F321FC" w14:paraId="1D57B6D7" w14:textId="77777777" w:rsidTr="0051526F">
        <w:trPr>
          <w:cantSplit/>
          <w:trHeight w:val="48"/>
        </w:trPr>
        <w:tc>
          <w:tcPr>
            <w:tcW w:w="5245" w:type="dxa"/>
          </w:tcPr>
          <w:p w14:paraId="5736DF15" w14:textId="77777777" w:rsidR="0051526F" w:rsidRDefault="0051526F" w:rsidP="00F34C5E">
            <w:pPr>
              <w:rPr>
                <w:rFonts w:cs="Arial"/>
                <w:bCs/>
              </w:rPr>
            </w:pPr>
            <w:r>
              <w:rPr>
                <w:rFonts w:cs="Arial"/>
                <w:bCs/>
              </w:rPr>
              <w:t xml:space="preserve">Subclinical </w:t>
            </w:r>
            <w:r>
              <w:rPr>
                <w:rFonts w:eastAsia="Times New Roman" w:cs="Arial"/>
                <w:u w:val="single"/>
                <w:lang w:eastAsia="en-GB"/>
              </w:rPr>
              <w:t>hypo</w:t>
            </w:r>
            <w:r>
              <w:rPr>
                <w:rFonts w:eastAsia="Times New Roman" w:cs="Arial"/>
                <w:lang w:eastAsia="en-GB"/>
              </w:rPr>
              <w:t>thyroidism</w:t>
            </w:r>
          </w:p>
          <w:p w14:paraId="0749D0BF" w14:textId="6F1907EF" w:rsidR="0051526F" w:rsidRPr="00F321FC" w:rsidRDefault="0051526F" w:rsidP="00F34C5E">
            <w:pPr>
              <w:rPr>
                <w:rFonts w:cs="Arial"/>
              </w:rPr>
            </w:pPr>
            <w:r>
              <w:rPr>
                <w:rFonts w:cs="Arial"/>
                <w:bCs/>
              </w:rPr>
              <w:t>normal T4, raised TSH; clinical features not overtly manifest</w:t>
            </w:r>
          </w:p>
        </w:tc>
        <w:tc>
          <w:tcPr>
            <w:tcW w:w="5245" w:type="dxa"/>
            <w:vAlign w:val="center"/>
          </w:tcPr>
          <w:p w14:paraId="2E525DD4" w14:textId="77777777" w:rsidR="0051526F" w:rsidRDefault="0051526F" w:rsidP="00F34C5E">
            <w:pPr>
              <w:rPr>
                <w:rFonts w:eastAsia="Times New Roman" w:cstheme="minorHAnsi"/>
                <w:lang w:eastAsia="en-GB"/>
              </w:rPr>
            </w:pPr>
            <w:r>
              <w:rPr>
                <w:rFonts w:eastAsia="Times New Roman" w:cstheme="minorHAnsi"/>
                <w:lang w:eastAsia="en-GB"/>
              </w:rPr>
              <w:t xml:space="preserve">Contact specialist team for advice, which may include input from endocrinology services. </w:t>
            </w:r>
          </w:p>
          <w:p w14:paraId="13AE35EE" w14:textId="28E64730" w:rsidR="0051526F" w:rsidRPr="00F321FC" w:rsidRDefault="0051526F" w:rsidP="00F34C5E">
            <w:pPr>
              <w:rPr>
                <w:rFonts w:cs="Arial"/>
              </w:rPr>
            </w:pPr>
            <w:r>
              <w:rPr>
                <w:rFonts w:eastAsia="Times New Roman" w:cstheme="minorHAnsi"/>
                <w:lang w:eastAsia="en-GB"/>
              </w:rPr>
              <w:t>Anticipate the need for additional monitoring, investigations and potentially thyroid hormone replacement based on specialist recommendations.</w:t>
            </w:r>
          </w:p>
        </w:tc>
      </w:tr>
      <w:tr w:rsidR="0051526F" w:rsidRPr="00F321FC" w14:paraId="38F6C6F9" w14:textId="77777777" w:rsidTr="0051526F">
        <w:trPr>
          <w:cantSplit/>
          <w:trHeight w:val="48"/>
        </w:trPr>
        <w:tc>
          <w:tcPr>
            <w:tcW w:w="5245" w:type="dxa"/>
          </w:tcPr>
          <w:p w14:paraId="2545C69E" w14:textId="77777777" w:rsidR="0051526F" w:rsidRDefault="0051526F" w:rsidP="00F34C5E">
            <w:pPr>
              <w:rPr>
                <w:rFonts w:eastAsia="Times New Roman" w:cstheme="minorHAnsi"/>
                <w:b/>
                <w:lang w:eastAsia="en-GB"/>
              </w:rPr>
            </w:pPr>
            <w:r>
              <w:rPr>
                <w:rFonts w:eastAsia="Times New Roman" w:cstheme="minorHAnsi"/>
                <w:b/>
                <w:lang w:eastAsia="en-GB"/>
              </w:rPr>
              <w:t>Ophthalmological effects:</w:t>
            </w:r>
          </w:p>
          <w:p w14:paraId="00E16E80" w14:textId="3B2FE53B" w:rsidR="0051526F" w:rsidRDefault="0051526F" w:rsidP="00F34C5E">
            <w:pPr>
              <w:rPr>
                <w:rFonts w:eastAsia="Times New Roman" w:cstheme="minorHAnsi"/>
                <w:lang w:eastAsia="en-GB"/>
              </w:rPr>
            </w:pPr>
            <w:r>
              <w:rPr>
                <w:rFonts w:eastAsia="Times New Roman" w:cstheme="minorHAnsi"/>
                <w:lang w:eastAsia="en-GB"/>
              </w:rPr>
              <w:t xml:space="preserve">Optic neuropathy / neuritis; </w:t>
            </w:r>
          </w:p>
          <w:p w14:paraId="254FB770" w14:textId="6358C278" w:rsidR="0051526F" w:rsidRPr="00F321FC" w:rsidRDefault="0051526F" w:rsidP="00F34C5E">
            <w:pPr>
              <w:rPr>
                <w:rFonts w:cs="Arial"/>
              </w:rPr>
            </w:pPr>
            <w:r>
              <w:rPr>
                <w:rFonts w:eastAsia="Times New Roman" w:cstheme="minorHAnsi"/>
                <w:lang w:eastAsia="en-GB"/>
              </w:rPr>
              <w:t>blurred or decreased vision</w:t>
            </w:r>
          </w:p>
        </w:tc>
        <w:tc>
          <w:tcPr>
            <w:tcW w:w="5245" w:type="dxa"/>
          </w:tcPr>
          <w:p w14:paraId="3EC57A6F" w14:textId="5F29689C" w:rsidR="0051526F" w:rsidRPr="00F321FC" w:rsidRDefault="0051526F" w:rsidP="00F34C5E">
            <w:pPr>
              <w:rPr>
                <w:rFonts w:cs="Arial"/>
              </w:rPr>
            </w:pPr>
            <w:r>
              <w:rPr>
                <w:rFonts w:eastAsia="Times New Roman" w:cstheme="minorHAnsi"/>
                <w:b/>
                <w:lang w:eastAsia="en-GB"/>
              </w:rPr>
              <w:t xml:space="preserve">Stop amiodarone.  </w:t>
            </w:r>
            <w:r>
              <w:rPr>
                <w:rFonts w:eastAsia="Times New Roman" w:cstheme="minorHAnsi"/>
                <w:lang w:eastAsia="en-GB"/>
              </w:rPr>
              <w:t>Urgent referral to initiating specialist and ophthalmology.</w:t>
            </w:r>
          </w:p>
        </w:tc>
      </w:tr>
      <w:tr w:rsidR="0051526F" w:rsidRPr="00F321FC" w14:paraId="6C0FFF07" w14:textId="77777777" w:rsidTr="0051526F">
        <w:trPr>
          <w:cantSplit/>
          <w:trHeight w:val="48"/>
        </w:trPr>
        <w:tc>
          <w:tcPr>
            <w:tcW w:w="5245" w:type="dxa"/>
          </w:tcPr>
          <w:p w14:paraId="529F0701" w14:textId="77777777" w:rsidR="0051526F" w:rsidRDefault="0051526F" w:rsidP="00F34C5E">
            <w:pPr>
              <w:rPr>
                <w:rFonts w:eastAsia="Times New Roman" w:cstheme="minorHAnsi"/>
                <w:lang w:eastAsia="en-GB"/>
              </w:rPr>
            </w:pPr>
            <w:r>
              <w:rPr>
                <w:rFonts w:eastAsia="Times New Roman" w:cstheme="minorHAnsi"/>
                <w:lang w:eastAsia="en-GB"/>
              </w:rPr>
              <w:t>Corneal micro-deposits:</w:t>
            </w:r>
          </w:p>
          <w:p w14:paraId="1D47746F" w14:textId="78BEB4CD" w:rsidR="0051526F" w:rsidRDefault="0051526F" w:rsidP="00F34C5E">
            <w:pPr>
              <w:rPr>
                <w:rFonts w:eastAsia="Times New Roman" w:cstheme="minorHAnsi"/>
                <w:lang w:eastAsia="en-GB"/>
              </w:rPr>
            </w:pPr>
            <w:r>
              <w:rPr>
                <w:rFonts w:eastAsia="Times New Roman" w:cstheme="minorHAnsi"/>
                <w:lang w:eastAsia="en-GB"/>
              </w:rPr>
              <w:t xml:space="preserve">Blueish halos when looking at bright lights, with no blurred or decreased vision. </w:t>
            </w:r>
          </w:p>
          <w:p w14:paraId="3A14071F" w14:textId="472B25BE" w:rsidR="0051526F" w:rsidRPr="00F321FC" w:rsidRDefault="0051526F" w:rsidP="00F34C5E">
            <w:pPr>
              <w:rPr>
                <w:rFonts w:cs="Arial"/>
              </w:rPr>
            </w:pPr>
            <w:r>
              <w:rPr>
                <w:rFonts w:eastAsia="Times New Roman" w:cstheme="minorHAnsi"/>
                <w:lang w:eastAsia="en-GB"/>
              </w:rPr>
              <w:t xml:space="preserve">Micro-deposits are </w:t>
            </w:r>
            <w:r w:rsidRPr="00D13A1C">
              <w:rPr>
                <w:rFonts w:eastAsia="Times New Roman" w:cstheme="minorHAnsi"/>
                <w:lang w:eastAsia="en-GB"/>
              </w:rPr>
              <w:t xml:space="preserve">usually limited to the area under the pupil, </w:t>
            </w:r>
            <w:r>
              <w:rPr>
                <w:rFonts w:eastAsia="Times New Roman" w:cstheme="minorHAnsi"/>
                <w:lang w:eastAsia="en-GB"/>
              </w:rPr>
              <w:t xml:space="preserve">and </w:t>
            </w:r>
            <w:r w:rsidRPr="00D13A1C">
              <w:rPr>
                <w:rFonts w:eastAsia="Times New Roman" w:cstheme="minorHAnsi"/>
                <w:lang w:eastAsia="en-GB"/>
              </w:rPr>
              <w:t xml:space="preserve">usually only </w:t>
            </w:r>
            <w:r w:rsidR="005529B0" w:rsidRPr="00D13A1C">
              <w:rPr>
                <w:rFonts w:eastAsia="Times New Roman" w:cstheme="minorHAnsi"/>
                <w:lang w:eastAsia="en-GB"/>
              </w:rPr>
              <w:t>discernible</w:t>
            </w:r>
            <w:r w:rsidRPr="00D13A1C">
              <w:rPr>
                <w:rFonts w:eastAsia="Times New Roman" w:cstheme="minorHAnsi"/>
                <w:lang w:eastAsia="en-GB"/>
              </w:rPr>
              <w:t xml:space="preserve"> by slit-lamp examination</w:t>
            </w:r>
            <w:r w:rsidR="005529B0">
              <w:rPr>
                <w:rFonts w:eastAsia="Times New Roman" w:cstheme="minorHAnsi"/>
                <w:lang w:eastAsia="en-GB"/>
              </w:rPr>
              <w:t>.</w:t>
            </w:r>
          </w:p>
        </w:tc>
        <w:tc>
          <w:tcPr>
            <w:tcW w:w="5245" w:type="dxa"/>
          </w:tcPr>
          <w:p w14:paraId="75AFE896" w14:textId="5D53BADF" w:rsidR="0051526F" w:rsidRDefault="0051526F" w:rsidP="00F34C5E">
            <w:pPr>
              <w:rPr>
                <w:rFonts w:eastAsia="Times New Roman" w:cstheme="minorHAnsi"/>
                <w:lang w:eastAsia="en-GB"/>
              </w:rPr>
            </w:pPr>
            <w:r>
              <w:rPr>
                <w:rFonts w:eastAsia="Times New Roman" w:cstheme="minorHAnsi"/>
                <w:lang w:eastAsia="en-GB"/>
              </w:rPr>
              <w:t xml:space="preserve">Continue amiodarone; reversible on discontinuation. The deposits are considered essentially benign and do not require discontinuation of amiodarone. </w:t>
            </w:r>
          </w:p>
          <w:p w14:paraId="0EBFB85A" w14:textId="2E97193C" w:rsidR="0051526F" w:rsidRPr="00F321FC" w:rsidRDefault="0051526F" w:rsidP="00F34C5E">
            <w:pPr>
              <w:rPr>
                <w:rFonts w:cs="Arial"/>
              </w:rPr>
            </w:pPr>
            <w:r>
              <w:rPr>
                <w:rFonts w:eastAsia="Times New Roman" w:cstheme="minorHAnsi"/>
                <w:lang w:eastAsia="en-GB"/>
              </w:rPr>
              <w:t xml:space="preserve">Encourage annual optician visits. </w:t>
            </w:r>
          </w:p>
        </w:tc>
      </w:tr>
      <w:tr w:rsidR="0051526F" w:rsidRPr="00F321FC" w14:paraId="32C58BB9" w14:textId="77777777" w:rsidTr="0051526F">
        <w:trPr>
          <w:cantSplit/>
          <w:trHeight w:val="48"/>
        </w:trPr>
        <w:tc>
          <w:tcPr>
            <w:tcW w:w="5245" w:type="dxa"/>
          </w:tcPr>
          <w:p w14:paraId="4B6DB15E" w14:textId="291A6C54" w:rsidR="0051526F" w:rsidRPr="00F321FC" w:rsidRDefault="0051526F" w:rsidP="00F34C5E">
            <w:pPr>
              <w:rPr>
                <w:rFonts w:cs="Arial"/>
              </w:rPr>
            </w:pPr>
            <w:r>
              <w:rPr>
                <w:rFonts w:eastAsia="Times New Roman" w:cstheme="minorHAnsi"/>
                <w:b/>
                <w:bCs/>
                <w:lang w:eastAsia="en-GB"/>
              </w:rPr>
              <w:t>GI disturbance</w:t>
            </w:r>
            <w:r>
              <w:rPr>
                <w:rFonts w:eastAsia="Times New Roman" w:cstheme="minorHAnsi"/>
                <w:bCs/>
                <w:lang w:eastAsia="en-GB"/>
              </w:rPr>
              <w:t>: nausea, anorexia, vomiting, taste disturbance</w:t>
            </w:r>
          </w:p>
        </w:tc>
        <w:tc>
          <w:tcPr>
            <w:tcW w:w="5245" w:type="dxa"/>
          </w:tcPr>
          <w:p w14:paraId="6BB8FCC2" w14:textId="75BA8AC9" w:rsidR="0051526F" w:rsidRPr="00F321FC" w:rsidRDefault="0051526F" w:rsidP="00F34C5E">
            <w:pPr>
              <w:rPr>
                <w:rFonts w:cs="Arial"/>
              </w:rPr>
            </w:pPr>
            <w:r>
              <w:rPr>
                <w:rFonts w:eastAsia="Times New Roman" w:cstheme="minorHAnsi"/>
                <w:lang w:eastAsia="en-GB"/>
              </w:rPr>
              <w:t xml:space="preserve">Continue amiodarone. May require dose reduction; discuss with specialist if persistent. </w:t>
            </w:r>
          </w:p>
        </w:tc>
      </w:tr>
      <w:tr w:rsidR="0051526F" w:rsidRPr="00F321FC" w14:paraId="438CD57B" w14:textId="77777777" w:rsidTr="0051526F">
        <w:trPr>
          <w:cantSplit/>
          <w:trHeight w:val="48"/>
        </w:trPr>
        <w:tc>
          <w:tcPr>
            <w:tcW w:w="5245" w:type="dxa"/>
          </w:tcPr>
          <w:p w14:paraId="106B2AAC" w14:textId="77777777" w:rsidR="0051526F" w:rsidRDefault="0051526F" w:rsidP="00F34C5E">
            <w:pPr>
              <w:rPr>
                <w:rFonts w:eastAsia="Times New Roman" w:cstheme="minorHAnsi"/>
                <w:lang w:eastAsia="en-GB"/>
              </w:rPr>
            </w:pPr>
            <w:r>
              <w:rPr>
                <w:rFonts w:eastAsia="Times New Roman" w:cstheme="minorHAnsi"/>
                <w:b/>
                <w:lang w:eastAsia="en-GB"/>
              </w:rPr>
              <w:t>Hepatotoxicity</w:t>
            </w:r>
            <w:r>
              <w:rPr>
                <w:rFonts w:eastAsia="Times New Roman" w:cstheme="minorHAnsi"/>
                <w:lang w:eastAsia="en-GB"/>
              </w:rPr>
              <w:t>:</w:t>
            </w:r>
          </w:p>
          <w:p w14:paraId="7A50C074" w14:textId="77777777" w:rsidR="0051526F" w:rsidRDefault="0051526F" w:rsidP="00F34C5E">
            <w:pPr>
              <w:rPr>
                <w:rFonts w:eastAsia="Times New Roman" w:cstheme="minorHAnsi"/>
                <w:lang w:eastAsia="en-GB"/>
              </w:rPr>
            </w:pPr>
            <w:r>
              <w:rPr>
                <w:rFonts w:eastAsia="Times New Roman" w:cstheme="minorHAnsi"/>
                <w:lang w:eastAsia="en-GB"/>
              </w:rPr>
              <w:t>abnormal LFTs +/- symptoms of hepatic injury (e.g. hepatomegaly, weakness, ascites, jaundice)</w:t>
            </w:r>
          </w:p>
          <w:p w14:paraId="17B4C112" w14:textId="77777777" w:rsidR="0051526F" w:rsidRPr="00F321FC" w:rsidRDefault="0051526F" w:rsidP="00F34C5E">
            <w:pPr>
              <w:rPr>
                <w:rFonts w:cs="Arial"/>
              </w:rPr>
            </w:pPr>
          </w:p>
        </w:tc>
        <w:tc>
          <w:tcPr>
            <w:tcW w:w="5245" w:type="dxa"/>
          </w:tcPr>
          <w:p w14:paraId="06F41649" w14:textId="77777777" w:rsidR="0051526F" w:rsidRDefault="0051526F" w:rsidP="00F34C5E">
            <w:pPr>
              <w:rPr>
                <w:rFonts w:eastAsia="Times New Roman" w:cstheme="minorHAnsi"/>
                <w:lang w:eastAsia="en-GB"/>
              </w:rPr>
            </w:pPr>
            <w:r>
              <w:rPr>
                <w:rFonts w:eastAsia="Times New Roman" w:cstheme="minorHAnsi"/>
                <w:lang w:eastAsia="en-GB"/>
              </w:rPr>
              <w:t>If serum transaminases elevated &gt;3xULN but no symptoms of hepatic injury continue amiodarone and – repeat LFTs in 2 weeks. If still elevated may require dose reduction; discuss with specialist.</w:t>
            </w:r>
          </w:p>
          <w:p w14:paraId="6765B2E4" w14:textId="5D07909C" w:rsidR="0051526F" w:rsidRPr="00F321FC" w:rsidRDefault="0051526F" w:rsidP="00F34C5E">
            <w:pPr>
              <w:rPr>
                <w:rFonts w:cs="Arial"/>
              </w:rPr>
            </w:pPr>
            <w:r>
              <w:rPr>
                <w:rFonts w:eastAsia="Times New Roman" w:cstheme="minorHAnsi"/>
                <w:lang w:eastAsia="en-GB"/>
              </w:rPr>
              <w:t xml:space="preserve">If serum transaminases &gt;5xULN or any symptoms of hepatic injury- </w:t>
            </w:r>
            <w:r>
              <w:rPr>
                <w:rFonts w:eastAsia="Times New Roman" w:cstheme="minorHAnsi"/>
                <w:b/>
                <w:lang w:eastAsia="en-GB"/>
              </w:rPr>
              <w:t>stop amiodarone</w:t>
            </w:r>
            <w:r>
              <w:rPr>
                <w:rFonts w:eastAsia="Times New Roman" w:cstheme="minorHAnsi"/>
                <w:lang w:eastAsia="en-GB"/>
              </w:rPr>
              <w:t xml:space="preserve">. Urgent referral to initiating specialist and hepatologist. </w:t>
            </w:r>
          </w:p>
        </w:tc>
      </w:tr>
      <w:tr w:rsidR="0051526F" w:rsidRPr="00F321FC" w14:paraId="37BD85F9" w14:textId="77777777" w:rsidTr="0051526F">
        <w:trPr>
          <w:cantSplit/>
          <w:trHeight w:val="48"/>
        </w:trPr>
        <w:tc>
          <w:tcPr>
            <w:tcW w:w="5245" w:type="dxa"/>
          </w:tcPr>
          <w:p w14:paraId="0643A351" w14:textId="77777777" w:rsidR="0051526F" w:rsidRDefault="0051526F" w:rsidP="00F34C5E">
            <w:pPr>
              <w:rPr>
                <w:rFonts w:eastAsia="Times New Roman" w:cstheme="minorHAnsi"/>
                <w:bCs/>
                <w:lang w:eastAsia="en-GB"/>
              </w:rPr>
            </w:pPr>
            <w:r>
              <w:rPr>
                <w:rFonts w:eastAsia="Times New Roman" w:cstheme="minorHAnsi"/>
                <w:b/>
                <w:bCs/>
                <w:lang w:eastAsia="en-GB"/>
              </w:rPr>
              <w:t>Neurological symptoms</w:t>
            </w:r>
            <w:r>
              <w:rPr>
                <w:rFonts w:eastAsia="Times New Roman" w:cstheme="minorHAnsi"/>
                <w:bCs/>
                <w:lang w:eastAsia="en-GB"/>
              </w:rPr>
              <w:t>:</w:t>
            </w:r>
          </w:p>
          <w:p w14:paraId="65F1D0DE" w14:textId="6BDD0A74" w:rsidR="0051526F" w:rsidRPr="00F321FC" w:rsidRDefault="0051526F" w:rsidP="00F34C5E">
            <w:pPr>
              <w:rPr>
                <w:rFonts w:cs="Arial"/>
              </w:rPr>
            </w:pPr>
            <w:r>
              <w:rPr>
                <w:rFonts w:eastAsia="Times New Roman" w:cstheme="minorHAnsi"/>
                <w:bCs/>
                <w:lang w:eastAsia="en-GB"/>
              </w:rPr>
              <w:t>Extrapyramidal tremor, ataxia, peripheral neuropathy, myopathy</w:t>
            </w:r>
          </w:p>
        </w:tc>
        <w:tc>
          <w:tcPr>
            <w:tcW w:w="5245" w:type="dxa"/>
          </w:tcPr>
          <w:p w14:paraId="074D3381" w14:textId="19E6EE8B" w:rsidR="0051526F" w:rsidRPr="00F321FC" w:rsidRDefault="0051526F" w:rsidP="00F34C5E">
            <w:pPr>
              <w:rPr>
                <w:rFonts w:cs="Arial"/>
              </w:rPr>
            </w:pPr>
            <w:r>
              <w:rPr>
                <w:rFonts w:eastAsia="Times New Roman" w:cstheme="minorHAnsi"/>
                <w:lang w:eastAsia="en-GB"/>
              </w:rPr>
              <w:t>Continue amiodarone. May require dose reduction; discuss with specialist.</w:t>
            </w:r>
          </w:p>
        </w:tc>
      </w:tr>
      <w:tr w:rsidR="0051526F" w:rsidRPr="00F321FC" w14:paraId="214ED6F5" w14:textId="77777777" w:rsidTr="0051526F">
        <w:trPr>
          <w:cantSplit/>
          <w:trHeight w:val="48"/>
        </w:trPr>
        <w:tc>
          <w:tcPr>
            <w:tcW w:w="5245" w:type="dxa"/>
          </w:tcPr>
          <w:p w14:paraId="4B59FB46" w14:textId="77777777" w:rsidR="0051526F" w:rsidRDefault="0051526F" w:rsidP="00F34C5E">
            <w:pPr>
              <w:rPr>
                <w:rFonts w:eastAsia="Times New Roman" w:cstheme="minorHAnsi"/>
                <w:bCs/>
                <w:lang w:eastAsia="en-GB"/>
              </w:rPr>
            </w:pPr>
            <w:r>
              <w:rPr>
                <w:rFonts w:eastAsia="Times New Roman" w:cstheme="minorHAnsi"/>
                <w:b/>
                <w:bCs/>
                <w:lang w:eastAsia="en-GB"/>
              </w:rPr>
              <w:t>Pulmonary toxicity</w:t>
            </w:r>
            <w:r>
              <w:rPr>
                <w:rFonts w:eastAsia="Times New Roman" w:cstheme="minorHAnsi"/>
                <w:bCs/>
                <w:lang w:eastAsia="en-GB"/>
              </w:rPr>
              <w:t>: including pneumonitis or fibrosis</w:t>
            </w:r>
          </w:p>
          <w:p w14:paraId="7E88643E" w14:textId="56098FC9" w:rsidR="0051526F" w:rsidRPr="00F321FC" w:rsidRDefault="0051526F" w:rsidP="00F34C5E">
            <w:pPr>
              <w:rPr>
                <w:rFonts w:cs="Arial"/>
              </w:rPr>
            </w:pPr>
            <w:r>
              <w:rPr>
                <w:rFonts w:eastAsia="Times New Roman" w:cstheme="minorHAnsi"/>
                <w:bCs/>
                <w:lang w:eastAsia="en-GB"/>
              </w:rPr>
              <w:t>new/worsening cough, shortness of breath or deterioration in general health (e.g. fatigue, weight loss, fever)</w:t>
            </w:r>
          </w:p>
        </w:tc>
        <w:tc>
          <w:tcPr>
            <w:tcW w:w="5245" w:type="dxa"/>
          </w:tcPr>
          <w:p w14:paraId="59049ED9" w14:textId="47DDE650" w:rsidR="0051526F" w:rsidRPr="00F321FC" w:rsidRDefault="0051526F" w:rsidP="00F34C5E">
            <w:pPr>
              <w:rPr>
                <w:rFonts w:cs="Arial"/>
              </w:rPr>
            </w:pPr>
            <w:r>
              <w:rPr>
                <w:rFonts w:eastAsia="Times New Roman" w:cstheme="minorHAnsi"/>
                <w:b/>
                <w:lang w:eastAsia="en-GB"/>
              </w:rPr>
              <w:t>Stop amiodarone.</w:t>
            </w:r>
            <w:r>
              <w:rPr>
                <w:rFonts w:eastAsia="Times New Roman" w:cstheme="minorHAnsi"/>
                <w:lang w:eastAsia="en-GB"/>
              </w:rPr>
              <w:t xml:space="preserve">  Urgent referral to initiating specialist and respiratory specialist. Admission may be required.</w:t>
            </w:r>
          </w:p>
        </w:tc>
      </w:tr>
      <w:tr w:rsidR="0051526F" w:rsidRPr="00F321FC" w14:paraId="54DDE46F" w14:textId="77777777" w:rsidTr="0051526F">
        <w:trPr>
          <w:cantSplit/>
          <w:trHeight w:val="48"/>
        </w:trPr>
        <w:tc>
          <w:tcPr>
            <w:tcW w:w="5245" w:type="dxa"/>
          </w:tcPr>
          <w:p w14:paraId="26D9722A" w14:textId="7034D679" w:rsidR="0051526F" w:rsidRDefault="0051526F" w:rsidP="00F34C5E">
            <w:pPr>
              <w:rPr>
                <w:rFonts w:eastAsia="Times New Roman" w:cstheme="minorHAnsi"/>
                <w:bCs/>
                <w:lang w:eastAsia="en-GB"/>
              </w:rPr>
            </w:pPr>
            <w:r>
              <w:rPr>
                <w:rFonts w:eastAsia="Times New Roman" w:cstheme="minorHAnsi"/>
                <w:b/>
                <w:bCs/>
                <w:lang w:eastAsia="en-GB"/>
              </w:rPr>
              <w:lastRenderedPageBreak/>
              <w:t>Skin and subcutaneous tissue disorders</w:t>
            </w:r>
            <w:r>
              <w:rPr>
                <w:rFonts w:eastAsia="Times New Roman" w:cstheme="minorHAnsi"/>
                <w:bCs/>
                <w:lang w:eastAsia="en-GB"/>
              </w:rPr>
              <w:t>:</w:t>
            </w:r>
          </w:p>
          <w:p w14:paraId="3FDD2A81" w14:textId="45646C75" w:rsidR="0051526F" w:rsidRPr="00F321FC" w:rsidRDefault="0051526F" w:rsidP="00F34C5E">
            <w:pPr>
              <w:rPr>
                <w:rFonts w:cs="Arial"/>
              </w:rPr>
            </w:pPr>
            <w:r>
              <w:rPr>
                <w:rFonts w:eastAsia="Times New Roman" w:cstheme="minorHAnsi"/>
                <w:bCs/>
                <w:lang w:eastAsia="en-GB"/>
              </w:rPr>
              <w:t>life threatening or even fatal cutaneous reactions such as Stevens-Johnson Syndrome (SJS), Toxic Epidermal Necrolysis (TEN)</w:t>
            </w:r>
          </w:p>
        </w:tc>
        <w:tc>
          <w:tcPr>
            <w:tcW w:w="5245" w:type="dxa"/>
          </w:tcPr>
          <w:p w14:paraId="5750E13E" w14:textId="600B87E4" w:rsidR="0051526F" w:rsidRPr="00F321FC" w:rsidRDefault="0051526F" w:rsidP="00F34C5E">
            <w:pPr>
              <w:rPr>
                <w:rFonts w:cs="Arial"/>
              </w:rPr>
            </w:pPr>
            <w:r>
              <w:rPr>
                <w:rFonts w:eastAsia="Times New Roman" w:cstheme="minorHAnsi"/>
                <w:b/>
                <w:lang w:eastAsia="en-GB"/>
              </w:rPr>
              <w:t xml:space="preserve">Stop amiodarone. </w:t>
            </w:r>
            <w:r>
              <w:rPr>
                <w:rFonts w:eastAsia="Times New Roman" w:cstheme="minorHAnsi"/>
                <w:lang w:eastAsia="en-GB"/>
              </w:rPr>
              <w:t>Urgent referral to dermatology, inform initiating specialist.</w:t>
            </w:r>
          </w:p>
        </w:tc>
      </w:tr>
      <w:tr w:rsidR="0051526F" w:rsidRPr="00F321FC" w14:paraId="797322BA" w14:textId="77777777" w:rsidTr="0051526F">
        <w:trPr>
          <w:cantSplit/>
          <w:trHeight w:val="48"/>
        </w:trPr>
        <w:tc>
          <w:tcPr>
            <w:tcW w:w="5245" w:type="dxa"/>
          </w:tcPr>
          <w:p w14:paraId="396757E5" w14:textId="35692027" w:rsidR="0051526F" w:rsidRPr="00F321FC" w:rsidRDefault="0051526F" w:rsidP="00F34C5E">
            <w:pPr>
              <w:rPr>
                <w:rFonts w:cs="Arial"/>
              </w:rPr>
            </w:pPr>
            <w:r>
              <w:rPr>
                <w:rFonts w:eastAsia="Times New Roman" w:cstheme="minorHAnsi"/>
                <w:bCs/>
                <w:lang w:eastAsia="en-GB"/>
              </w:rPr>
              <w:t>Photosensitivity</w:t>
            </w:r>
          </w:p>
        </w:tc>
        <w:tc>
          <w:tcPr>
            <w:tcW w:w="5245" w:type="dxa"/>
          </w:tcPr>
          <w:p w14:paraId="66161D69" w14:textId="1D034858" w:rsidR="0051526F" w:rsidRPr="00F321FC" w:rsidRDefault="0051526F" w:rsidP="00F34C5E">
            <w:pPr>
              <w:rPr>
                <w:rFonts w:cs="Arial"/>
              </w:rPr>
            </w:pPr>
            <w:r>
              <w:rPr>
                <w:rFonts w:eastAsia="Times New Roman" w:cstheme="minorHAnsi"/>
                <w:lang w:eastAsia="en-GB"/>
              </w:rPr>
              <w:t xml:space="preserve">Continue amiodarone. Reinforce appropriate self-care e.g. sun avoidance and purchasing of a broad spectrum sunscreen (at least SPF30). </w:t>
            </w:r>
          </w:p>
        </w:tc>
      </w:tr>
      <w:tr w:rsidR="0051526F" w:rsidRPr="00F321FC" w14:paraId="243D60AA" w14:textId="77777777" w:rsidTr="0051526F">
        <w:trPr>
          <w:cantSplit/>
          <w:trHeight w:val="48"/>
        </w:trPr>
        <w:tc>
          <w:tcPr>
            <w:tcW w:w="5245" w:type="dxa"/>
          </w:tcPr>
          <w:p w14:paraId="21FB1915" w14:textId="77777777" w:rsidR="0051526F" w:rsidRDefault="0051526F" w:rsidP="00F34C5E">
            <w:pPr>
              <w:rPr>
                <w:rFonts w:eastAsia="Times New Roman" w:cstheme="minorHAnsi"/>
                <w:bCs/>
                <w:lang w:eastAsia="en-GB"/>
              </w:rPr>
            </w:pPr>
            <w:r>
              <w:rPr>
                <w:rFonts w:eastAsia="Times New Roman" w:cstheme="minorHAnsi"/>
                <w:bCs/>
                <w:lang w:eastAsia="en-GB"/>
              </w:rPr>
              <w:t>Skin discolouration (blue/grey):</w:t>
            </w:r>
          </w:p>
          <w:p w14:paraId="0961FD83" w14:textId="38FE0E8D" w:rsidR="0051526F" w:rsidRPr="00F321FC" w:rsidRDefault="0051526F" w:rsidP="00F34C5E">
            <w:pPr>
              <w:rPr>
                <w:rFonts w:cs="Arial"/>
              </w:rPr>
            </w:pPr>
            <w:r>
              <w:rPr>
                <w:rFonts w:eastAsia="Times New Roman" w:cstheme="minorHAnsi"/>
                <w:bCs/>
                <w:lang w:eastAsia="en-GB"/>
              </w:rPr>
              <w:t>occurs in unprotected, light exposed skin</w:t>
            </w:r>
          </w:p>
        </w:tc>
        <w:tc>
          <w:tcPr>
            <w:tcW w:w="5245" w:type="dxa"/>
          </w:tcPr>
          <w:p w14:paraId="0580FB7C" w14:textId="77777777" w:rsidR="0051526F" w:rsidRDefault="0051526F" w:rsidP="00F34C5E">
            <w:pPr>
              <w:rPr>
                <w:rFonts w:eastAsia="Times New Roman" w:cstheme="minorHAnsi"/>
                <w:lang w:eastAsia="en-GB"/>
              </w:rPr>
            </w:pPr>
            <w:r>
              <w:rPr>
                <w:rFonts w:eastAsia="Times New Roman" w:cstheme="minorHAnsi"/>
                <w:lang w:eastAsia="en-GB"/>
              </w:rPr>
              <w:t xml:space="preserve">Continue amiodarone. May require dose reduction; discuss with specialist. </w:t>
            </w:r>
          </w:p>
          <w:p w14:paraId="42DC9B44" w14:textId="194C1E3B" w:rsidR="0051526F" w:rsidRPr="00F321FC" w:rsidRDefault="0051526F" w:rsidP="00F34C5E">
            <w:pPr>
              <w:rPr>
                <w:rFonts w:cs="Arial"/>
              </w:rPr>
            </w:pPr>
            <w:r>
              <w:rPr>
                <w:rFonts w:eastAsia="Times New Roman" w:cstheme="minorHAnsi"/>
                <w:lang w:eastAsia="en-GB"/>
              </w:rPr>
              <w:t>Reinforce self-care measures (as for photosensitivity above). Pigmentation slowly disappears following treatment discontinuation.</w:t>
            </w:r>
          </w:p>
        </w:tc>
      </w:tr>
    </w:tbl>
    <w:p w14:paraId="3D78272D" w14:textId="77777777" w:rsidR="0051526F" w:rsidRDefault="0051526F"/>
    <w:p w14:paraId="09F0CA29" w14:textId="77777777" w:rsidR="0051526F" w:rsidRDefault="0051526F"/>
    <w:tbl>
      <w:tblPr>
        <w:tblStyle w:val="TableGridLight1"/>
        <w:tblW w:w="0" w:type="auto"/>
        <w:tblInd w:w="-5" w:type="dxa"/>
        <w:tblCellMar>
          <w:top w:w="57" w:type="dxa"/>
          <w:bottom w:w="57" w:type="dxa"/>
        </w:tblCellMar>
        <w:tblLook w:val="0480" w:firstRow="0" w:lastRow="0" w:firstColumn="1" w:lastColumn="0" w:noHBand="0" w:noVBand="1"/>
      </w:tblPr>
      <w:tblGrid>
        <w:gridCol w:w="1865"/>
        <w:gridCol w:w="8596"/>
      </w:tblGrid>
      <w:tr w:rsidR="00F132AA" w:rsidRPr="00F321FC" w14:paraId="399D38CB" w14:textId="77777777" w:rsidTr="00BF174A">
        <w:tc>
          <w:tcPr>
            <w:tcW w:w="2268" w:type="dxa"/>
          </w:tcPr>
          <w:p w14:paraId="139BFC3E" w14:textId="77777777" w:rsidR="00F132AA" w:rsidRDefault="001860C1" w:rsidP="001860C1">
            <w:pPr>
              <w:pStyle w:val="Heading2"/>
              <w:rPr>
                <w:rFonts w:cs="Arial"/>
              </w:rPr>
            </w:pPr>
            <w:bookmarkStart w:id="18" w:name="eleven_patient_advice"/>
            <w:bookmarkStart w:id="19" w:name="_Toc149231795"/>
            <w:r w:rsidRPr="00F321FC">
              <w:rPr>
                <w:rFonts w:cs="Arial"/>
              </w:rPr>
              <w:t>Advice to patients and carers</w:t>
            </w:r>
            <w:bookmarkEnd w:id="18"/>
            <w:bookmarkEnd w:id="19"/>
          </w:p>
          <w:p w14:paraId="4928E953" w14:textId="77777777" w:rsidR="005D79FA" w:rsidRDefault="005D79FA" w:rsidP="005D79FA"/>
          <w:p w14:paraId="7E51F76A" w14:textId="42531282" w:rsidR="005D79FA" w:rsidRPr="005D79FA" w:rsidRDefault="005D79FA" w:rsidP="005D79FA">
            <w:r w:rsidRPr="00F321FC">
              <w:rPr>
                <w:rFonts w:cs="Arial"/>
              </w:rPr>
              <w:t>The specialist will counsel the patient with regard to the benefits and risks of treatment and will provide the patient with any relevant information and advice, including patient information leaflets on individual drugs.</w:t>
            </w:r>
          </w:p>
        </w:tc>
        <w:tc>
          <w:tcPr>
            <w:tcW w:w="8193" w:type="dxa"/>
          </w:tcPr>
          <w:p w14:paraId="77487819" w14:textId="7BDB242A" w:rsidR="00F34C5E" w:rsidRPr="00F34C5E" w:rsidRDefault="00F34C5E" w:rsidP="00F34C5E">
            <w:pPr>
              <w:pStyle w:val="Heading4"/>
            </w:pPr>
            <w:r w:rsidRPr="00F34C5E">
              <w:t xml:space="preserve">The patient should be advised to </w:t>
            </w:r>
            <w:r w:rsidR="00857AF2" w:rsidRPr="0064598F">
              <w:rPr>
                <w:u w:val="single"/>
              </w:rPr>
              <w:t>stop taking amiodarone</w:t>
            </w:r>
            <w:r w:rsidR="00857AF2">
              <w:t xml:space="preserve"> and </w:t>
            </w:r>
            <w:r w:rsidRPr="00F34C5E">
              <w:t>report any of the following signs or symptoms to their primary care prescriber without delay</w:t>
            </w:r>
            <w:r>
              <w:t>:</w:t>
            </w:r>
            <w:r w:rsidRPr="00F34C5E">
              <w:t xml:space="preserve"> </w:t>
            </w:r>
          </w:p>
          <w:p w14:paraId="1D4AFEC5" w14:textId="59361EA9" w:rsidR="00E02EB3" w:rsidRDefault="00E02EB3" w:rsidP="00F34C5E">
            <w:pPr>
              <w:pStyle w:val="ListParagraph"/>
              <w:numPr>
                <w:ilvl w:val="0"/>
                <w:numId w:val="36"/>
              </w:numPr>
              <w:rPr>
                <w:rFonts w:cs="Arial"/>
              </w:rPr>
            </w:pPr>
            <w:r>
              <w:rPr>
                <w:rFonts w:cs="Arial"/>
              </w:rPr>
              <w:t>New or worsening b</w:t>
            </w:r>
            <w:r w:rsidR="00F34C5E" w:rsidRPr="00F34C5E">
              <w:rPr>
                <w:rFonts w:cs="Arial"/>
              </w:rPr>
              <w:t xml:space="preserve">reathlessness, </w:t>
            </w:r>
            <w:r>
              <w:rPr>
                <w:rFonts w:cs="Arial"/>
              </w:rPr>
              <w:t xml:space="preserve">or </w:t>
            </w:r>
            <w:r w:rsidR="00F34C5E" w:rsidRPr="00F34C5E">
              <w:rPr>
                <w:rFonts w:cs="Arial"/>
              </w:rPr>
              <w:t xml:space="preserve">non-productive cough </w:t>
            </w:r>
          </w:p>
          <w:p w14:paraId="32343F15" w14:textId="034BA1B9" w:rsidR="00F34C5E" w:rsidRPr="00F34C5E" w:rsidRDefault="00E02EB3" w:rsidP="00F34C5E">
            <w:pPr>
              <w:pStyle w:val="ListParagraph"/>
              <w:numPr>
                <w:ilvl w:val="0"/>
                <w:numId w:val="36"/>
              </w:numPr>
              <w:rPr>
                <w:rFonts w:cs="Arial"/>
              </w:rPr>
            </w:pPr>
            <w:r>
              <w:rPr>
                <w:rFonts w:cs="Arial"/>
              </w:rPr>
              <w:t>D</w:t>
            </w:r>
            <w:r w:rsidR="00F34C5E" w:rsidRPr="00F34C5E">
              <w:rPr>
                <w:rFonts w:cs="Arial"/>
              </w:rPr>
              <w:t>eterioration in general health (e.g. fatigue, fever</w:t>
            </w:r>
            <w:r>
              <w:rPr>
                <w:rFonts w:cs="Arial"/>
              </w:rPr>
              <w:t xml:space="preserve">, </w:t>
            </w:r>
            <w:r w:rsidRPr="00E02EB3">
              <w:rPr>
                <w:rFonts w:cs="Arial"/>
              </w:rPr>
              <w:t>weakness, weight loss or weight gain, heat or cold intolerance, hair thinning, sweating, changes in menstrual periods, swelling of the neck (goitre), nervousness, irritability, restlessness, or decreased concentration</w:t>
            </w:r>
            <w:r w:rsidR="00F34C5E" w:rsidRPr="00F34C5E">
              <w:rPr>
                <w:rFonts w:cs="Arial"/>
              </w:rPr>
              <w:t>)</w:t>
            </w:r>
          </w:p>
          <w:p w14:paraId="1964E6F7" w14:textId="2E04CCB7" w:rsidR="00F34C5E" w:rsidRPr="00F34C5E" w:rsidRDefault="00F34C5E" w:rsidP="00F34C5E">
            <w:pPr>
              <w:pStyle w:val="ListParagraph"/>
              <w:numPr>
                <w:ilvl w:val="0"/>
                <w:numId w:val="36"/>
              </w:numPr>
              <w:rPr>
                <w:rFonts w:cs="Arial"/>
              </w:rPr>
            </w:pPr>
            <w:r w:rsidRPr="00F34C5E">
              <w:rPr>
                <w:rFonts w:cs="Arial"/>
              </w:rPr>
              <w:t>New or worsening visual disturbances</w:t>
            </w:r>
          </w:p>
          <w:p w14:paraId="4EFD5F81" w14:textId="51F2074F" w:rsidR="00F34C5E" w:rsidRPr="00F34C5E" w:rsidRDefault="00F34C5E" w:rsidP="00F34C5E">
            <w:pPr>
              <w:pStyle w:val="ListParagraph"/>
              <w:numPr>
                <w:ilvl w:val="0"/>
                <w:numId w:val="36"/>
              </w:numPr>
              <w:rPr>
                <w:rFonts w:cs="Arial"/>
              </w:rPr>
            </w:pPr>
            <w:r w:rsidRPr="00F34C5E">
              <w:rPr>
                <w:rFonts w:cs="Arial"/>
              </w:rPr>
              <w:t>Progressive skin rash +/- blisters or mucosal lesions</w:t>
            </w:r>
          </w:p>
          <w:p w14:paraId="6945C688" w14:textId="51CC6263" w:rsidR="00F34C5E" w:rsidRDefault="00F34C5E" w:rsidP="00F34C5E">
            <w:pPr>
              <w:pStyle w:val="ListParagraph"/>
              <w:numPr>
                <w:ilvl w:val="0"/>
                <w:numId w:val="36"/>
              </w:numPr>
              <w:rPr>
                <w:rFonts w:cs="Arial"/>
              </w:rPr>
            </w:pPr>
            <w:r w:rsidRPr="00F34C5E">
              <w:rPr>
                <w:rFonts w:cs="Arial"/>
              </w:rPr>
              <w:t>Signs and symptoms of bradycardia or heart block, e.g. dizziness, fatigue, fainting, shortness of breath, chest pain or palpitations, confusion or trouble concentrating</w:t>
            </w:r>
            <w:r w:rsidR="00E02EB3">
              <w:rPr>
                <w:rFonts w:cs="Arial"/>
              </w:rPr>
              <w:t>, uneven or erratic heartbeat</w:t>
            </w:r>
          </w:p>
          <w:p w14:paraId="1493363C" w14:textId="4621E66F" w:rsidR="00E02EB3" w:rsidRPr="00E02EB3" w:rsidRDefault="00E02EB3" w:rsidP="00E02EB3">
            <w:pPr>
              <w:pStyle w:val="ListParagraph"/>
              <w:numPr>
                <w:ilvl w:val="0"/>
                <w:numId w:val="36"/>
              </w:numPr>
              <w:rPr>
                <w:rFonts w:cs="Arial"/>
              </w:rPr>
            </w:pPr>
            <w:r w:rsidRPr="00E02EB3">
              <w:rPr>
                <w:rFonts w:cs="Arial"/>
              </w:rPr>
              <w:t>yellowing of the skin or eyes (jaundice), feeling tired or sick, loss of appetite, stomach pain, or high temperature</w:t>
            </w:r>
          </w:p>
          <w:p w14:paraId="2E870535" w14:textId="77777777" w:rsidR="00F34C5E" w:rsidRDefault="00F34C5E" w:rsidP="00F34C5E">
            <w:pPr>
              <w:rPr>
                <w:rFonts w:cs="Arial"/>
              </w:rPr>
            </w:pPr>
          </w:p>
          <w:p w14:paraId="34DE341C" w14:textId="2AA8F335" w:rsidR="00F34C5E" w:rsidRPr="00F34C5E" w:rsidRDefault="00F34C5E" w:rsidP="00F34C5E">
            <w:pPr>
              <w:pStyle w:val="Heading4"/>
            </w:pPr>
            <w:r w:rsidRPr="00F34C5E">
              <w:t>The patient should be advised:</w:t>
            </w:r>
          </w:p>
          <w:p w14:paraId="4B81F4CE" w14:textId="0787F680" w:rsidR="00F34C5E" w:rsidRPr="00F34C5E" w:rsidRDefault="00F34C5E" w:rsidP="00F34C5E">
            <w:pPr>
              <w:pStyle w:val="ListParagraph"/>
              <w:numPr>
                <w:ilvl w:val="0"/>
                <w:numId w:val="37"/>
              </w:numPr>
              <w:rPr>
                <w:rFonts w:cs="Arial"/>
              </w:rPr>
            </w:pPr>
            <w:r w:rsidRPr="00F34C5E">
              <w:rPr>
                <w:rFonts w:cs="Arial"/>
              </w:rPr>
              <w:t xml:space="preserve">To use appropriate self-care against the possibility of phototoxic reactions: e.g. sun avoidance, protective clothing, avoiding tanning (including tanning beds) and to purchase and use a broad spectrum sunscreen (at least SPF30).  These measures </w:t>
            </w:r>
            <w:r w:rsidR="00E02EB3">
              <w:rPr>
                <w:rFonts w:cs="Arial"/>
              </w:rPr>
              <w:t>should</w:t>
            </w:r>
            <w:r w:rsidR="00E02EB3" w:rsidRPr="00F34C5E">
              <w:rPr>
                <w:rFonts w:cs="Arial"/>
              </w:rPr>
              <w:t xml:space="preserve"> </w:t>
            </w:r>
            <w:r w:rsidRPr="00F34C5E">
              <w:rPr>
                <w:rFonts w:cs="Arial"/>
              </w:rPr>
              <w:t xml:space="preserve">be continued for the duration of therapy and for several months after discontinuation. </w:t>
            </w:r>
          </w:p>
          <w:p w14:paraId="53996C7C" w14:textId="3FA254BF" w:rsidR="00F34C5E" w:rsidRPr="00F34C5E" w:rsidRDefault="00F34C5E" w:rsidP="00F34C5E">
            <w:pPr>
              <w:pStyle w:val="ListParagraph"/>
              <w:numPr>
                <w:ilvl w:val="0"/>
                <w:numId w:val="37"/>
              </w:numPr>
              <w:rPr>
                <w:rFonts w:cs="Arial"/>
              </w:rPr>
            </w:pPr>
            <w:r w:rsidRPr="00F34C5E">
              <w:rPr>
                <w:rFonts w:cs="Arial"/>
              </w:rPr>
              <w:t>If taking a statin and amiodarone, to report any signs of unexplained muscle pain, tenderness, weakness or dark coloured urine.</w:t>
            </w:r>
          </w:p>
          <w:p w14:paraId="3FE3AF3B" w14:textId="18AECD1C" w:rsidR="00F34C5E" w:rsidRPr="00F34C5E" w:rsidRDefault="00F34C5E" w:rsidP="00F34C5E">
            <w:pPr>
              <w:pStyle w:val="ListParagraph"/>
              <w:numPr>
                <w:ilvl w:val="0"/>
                <w:numId w:val="37"/>
              </w:numPr>
              <w:rPr>
                <w:rFonts w:cs="Arial"/>
              </w:rPr>
            </w:pPr>
            <w:r w:rsidRPr="00F34C5E">
              <w:rPr>
                <w:rFonts w:cs="Arial"/>
              </w:rPr>
              <w:t>Avoid grapefruit and grapefruit juice while taking amiodarone and for several months after discontinuation.</w:t>
            </w:r>
          </w:p>
          <w:p w14:paraId="1CC650A3" w14:textId="08291716" w:rsidR="00F34C5E" w:rsidRDefault="00F34C5E" w:rsidP="00F34C5E">
            <w:pPr>
              <w:pStyle w:val="ListParagraph"/>
              <w:numPr>
                <w:ilvl w:val="0"/>
                <w:numId w:val="37"/>
              </w:numPr>
              <w:rPr>
                <w:rFonts w:cs="Arial"/>
              </w:rPr>
            </w:pPr>
            <w:r w:rsidRPr="00F34C5E">
              <w:rPr>
                <w:rFonts w:cs="Arial"/>
              </w:rPr>
              <w:t>Although there have been no case reports on enhanced hepatoxicity with alcohol, patients should be advised to moderate their alcohol intake to no more than 14 units per week while taking amiodarone.</w:t>
            </w:r>
          </w:p>
          <w:p w14:paraId="3BBEF76C" w14:textId="5B613982" w:rsidR="00E02EB3" w:rsidRPr="00F34C5E" w:rsidRDefault="00E02EB3" w:rsidP="00F34C5E">
            <w:pPr>
              <w:pStyle w:val="ListParagraph"/>
              <w:numPr>
                <w:ilvl w:val="0"/>
                <w:numId w:val="37"/>
              </w:numPr>
              <w:rPr>
                <w:rFonts w:cs="Arial"/>
              </w:rPr>
            </w:pPr>
            <w:r>
              <w:rPr>
                <w:rFonts w:cs="Arial"/>
              </w:rPr>
              <w:t>A</w:t>
            </w:r>
            <w:r w:rsidRPr="00E02EB3">
              <w:rPr>
                <w:rFonts w:cs="Arial"/>
              </w:rPr>
              <w:t>lways read the Patient Information Leaflet provided with medicines and follow the advice on other medicines to avoid and what to do a side effect</w:t>
            </w:r>
            <w:r>
              <w:rPr>
                <w:rFonts w:cs="Arial"/>
              </w:rPr>
              <w:t xml:space="preserve"> occurs.</w:t>
            </w:r>
          </w:p>
          <w:p w14:paraId="36544749" w14:textId="77777777" w:rsidR="00F34C5E" w:rsidRPr="00F34C5E" w:rsidRDefault="00F34C5E" w:rsidP="00F34C5E">
            <w:pPr>
              <w:rPr>
                <w:rFonts w:cs="Arial"/>
              </w:rPr>
            </w:pPr>
          </w:p>
          <w:p w14:paraId="7F104DC2" w14:textId="77777777" w:rsidR="00F34C5E" w:rsidRPr="00F34C5E" w:rsidRDefault="00F34C5E" w:rsidP="00F34C5E">
            <w:pPr>
              <w:rPr>
                <w:rFonts w:cs="Arial"/>
              </w:rPr>
            </w:pPr>
            <w:r w:rsidRPr="00F34C5E">
              <w:rPr>
                <w:rStyle w:val="Heading4Char"/>
              </w:rPr>
              <w:lastRenderedPageBreak/>
              <w:t>Patient information</w:t>
            </w:r>
            <w:r w:rsidRPr="00F34C5E">
              <w:rPr>
                <w:rFonts w:cs="Arial"/>
              </w:rPr>
              <w:t>:</w:t>
            </w:r>
          </w:p>
          <w:p w14:paraId="40627BFC" w14:textId="272155EC" w:rsidR="00E02EB3" w:rsidRPr="00E02EB3" w:rsidRDefault="00E02EB3" w:rsidP="00F34C5E">
            <w:pPr>
              <w:pStyle w:val="ListParagraph"/>
              <w:numPr>
                <w:ilvl w:val="0"/>
                <w:numId w:val="35"/>
              </w:numPr>
              <w:rPr>
                <w:rFonts w:cs="Arial"/>
              </w:rPr>
            </w:pPr>
            <w:r w:rsidRPr="00E02EB3">
              <w:rPr>
                <w:rFonts w:cs="Arial"/>
              </w:rPr>
              <w:t xml:space="preserve">A </w:t>
            </w:r>
            <w:hyperlink r:id="rId29" w:history="1">
              <w:r w:rsidRPr="00E02EB3">
                <w:rPr>
                  <w:rStyle w:val="Hyperlink"/>
                  <w:rFonts w:cs="Arial"/>
                </w:rPr>
                <w:t>patient card</w:t>
              </w:r>
            </w:hyperlink>
            <w:r w:rsidRPr="00E02EB3">
              <w:rPr>
                <w:rFonts w:cs="Arial"/>
              </w:rPr>
              <w:t xml:space="preserve"> is available for all patients that take amiodarone. This card includes important information on the most serious and potentially life-threatening side-effects (and their symptoms) that may occur during treatment with amiodarone and also reminds patients of the potential for drug to drug interactions.</w:t>
            </w:r>
          </w:p>
          <w:p w14:paraId="298DA26F" w14:textId="037BD336" w:rsidR="00F132AA" w:rsidRPr="00F34C5E" w:rsidRDefault="00F34C5E" w:rsidP="00F34C5E">
            <w:pPr>
              <w:pStyle w:val="ListParagraph"/>
              <w:numPr>
                <w:ilvl w:val="0"/>
                <w:numId w:val="35"/>
              </w:numPr>
              <w:rPr>
                <w:rFonts w:cs="Arial"/>
              </w:rPr>
            </w:pPr>
            <w:hyperlink r:id="rId30" w:history="1">
              <w:r w:rsidRPr="00F34C5E">
                <w:rPr>
                  <w:rStyle w:val="Hyperlink"/>
                  <w:rFonts w:cs="Arial"/>
                </w:rPr>
                <w:t>British Heart Foundation – anti-arrhythmics</w:t>
              </w:r>
            </w:hyperlink>
          </w:p>
        </w:tc>
      </w:tr>
      <w:tr w:rsidR="001860C1" w:rsidRPr="00F321FC" w14:paraId="317161E6" w14:textId="77777777" w:rsidTr="00BF174A">
        <w:tc>
          <w:tcPr>
            <w:tcW w:w="2268" w:type="dxa"/>
          </w:tcPr>
          <w:p w14:paraId="7BADD8F8" w14:textId="77777777" w:rsidR="001860C1" w:rsidRDefault="009F106E" w:rsidP="009F106E">
            <w:pPr>
              <w:pStyle w:val="Heading2"/>
              <w:rPr>
                <w:rFonts w:cs="Arial"/>
              </w:rPr>
            </w:pPr>
            <w:bookmarkStart w:id="20" w:name="twelve_pregnancy"/>
            <w:bookmarkStart w:id="21" w:name="_Toc149231796"/>
            <w:r w:rsidRPr="00F321FC">
              <w:rPr>
                <w:rFonts w:cs="Arial"/>
              </w:rPr>
              <w:lastRenderedPageBreak/>
              <w:t>Pregnancy</w:t>
            </w:r>
            <w:r w:rsidR="00FB404F">
              <w:rPr>
                <w:rFonts w:cs="Arial"/>
              </w:rPr>
              <w:t>, paternal exposure</w:t>
            </w:r>
            <w:r w:rsidRPr="00F321FC">
              <w:rPr>
                <w:rFonts w:cs="Arial"/>
              </w:rPr>
              <w:t xml:space="preserve"> and breastfeeding</w:t>
            </w:r>
            <w:bookmarkEnd w:id="20"/>
            <w:bookmarkEnd w:id="21"/>
          </w:p>
          <w:p w14:paraId="0AE00B39" w14:textId="77777777" w:rsidR="005D79FA" w:rsidRDefault="005D79FA" w:rsidP="005D79FA"/>
          <w:p w14:paraId="4C3ACC97" w14:textId="3495C602" w:rsidR="005D79FA" w:rsidRPr="005D79FA" w:rsidRDefault="005D79FA" w:rsidP="0051526F"/>
        </w:tc>
        <w:tc>
          <w:tcPr>
            <w:tcW w:w="8193" w:type="dxa"/>
          </w:tcPr>
          <w:p w14:paraId="588B71AB" w14:textId="77777777" w:rsidR="0051526F" w:rsidRDefault="0051526F" w:rsidP="0051526F">
            <w:pPr>
              <w:rPr>
                <w:rFonts w:cs="Arial"/>
              </w:rPr>
            </w:pPr>
            <w:r w:rsidRPr="00FB404F">
              <w:rPr>
                <w:rFonts w:cs="Arial"/>
              </w:rPr>
              <w:t>It is the responsibility of the specialist to provide advice on the need for contraception to male and female patients on initiation and at each review, but the ongoing responsibility for providing this advice rests with both the primary care prescriber and the specialist.</w:t>
            </w:r>
          </w:p>
          <w:p w14:paraId="7F5D565C" w14:textId="77777777" w:rsidR="0051526F" w:rsidRDefault="0051526F" w:rsidP="0051526F">
            <w:pPr>
              <w:rPr>
                <w:rFonts w:cs="Arial"/>
              </w:rPr>
            </w:pPr>
          </w:p>
          <w:p w14:paraId="4EBC4C15" w14:textId="77777777" w:rsidR="00F34C5E" w:rsidRPr="00F34C5E" w:rsidRDefault="00F34C5E" w:rsidP="00F34C5E">
            <w:pPr>
              <w:rPr>
                <w:rFonts w:cs="Arial"/>
              </w:rPr>
            </w:pPr>
            <w:r w:rsidRPr="00F34C5E">
              <w:rPr>
                <w:rStyle w:val="Heading4Char"/>
              </w:rPr>
              <w:t>Pregnancy</w:t>
            </w:r>
            <w:r w:rsidRPr="00F34C5E">
              <w:rPr>
                <w:rFonts w:cs="Arial"/>
              </w:rPr>
              <w:t>:</w:t>
            </w:r>
          </w:p>
          <w:p w14:paraId="28BF9C25" w14:textId="77777777" w:rsidR="00F34C5E" w:rsidRDefault="00F34C5E" w:rsidP="00F34C5E">
            <w:pPr>
              <w:rPr>
                <w:rFonts w:cs="Arial"/>
              </w:rPr>
            </w:pPr>
            <w:r w:rsidRPr="00F34C5E">
              <w:rPr>
                <w:rFonts w:cs="Arial"/>
              </w:rPr>
              <w:t xml:space="preserve">Due to the risk of neonatal goitre, amiodarone should only be prescribed in pregnancy if there is no alternative. Under these circumstances prescribing and monitoring will be the responsibility of the initiating specialist. </w:t>
            </w:r>
          </w:p>
          <w:p w14:paraId="0F5BEFF9" w14:textId="77777777" w:rsidR="00F34C5E" w:rsidRPr="00F34C5E" w:rsidRDefault="00F34C5E" w:rsidP="00F34C5E">
            <w:pPr>
              <w:rPr>
                <w:rFonts w:cs="Arial"/>
              </w:rPr>
            </w:pPr>
          </w:p>
          <w:p w14:paraId="59D5FB1A" w14:textId="77777777" w:rsidR="00F34C5E" w:rsidRPr="00F34C5E" w:rsidRDefault="00F34C5E" w:rsidP="00F34C5E">
            <w:pPr>
              <w:rPr>
                <w:rFonts w:cs="Arial"/>
              </w:rPr>
            </w:pPr>
            <w:r w:rsidRPr="00F34C5E">
              <w:rPr>
                <w:rStyle w:val="Heading4Char"/>
              </w:rPr>
              <w:t>Breastfeeding</w:t>
            </w:r>
            <w:r w:rsidRPr="00F34C5E">
              <w:rPr>
                <w:rFonts w:cs="Arial"/>
              </w:rPr>
              <w:t>:</w:t>
            </w:r>
          </w:p>
          <w:p w14:paraId="010EEF1D" w14:textId="77777777" w:rsidR="00F34C5E" w:rsidRPr="00F34C5E" w:rsidRDefault="00F34C5E" w:rsidP="00F34C5E">
            <w:pPr>
              <w:rPr>
                <w:rFonts w:cs="Arial"/>
              </w:rPr>
            </w:pPr>
            <w:r w:rsidRPr="00F34C5E">
              <w:rPr>
                <w:rFonts w:cs="Arial"/>
              </w:rPr>
              <w:t xml:space="preserve">Amiodarone is excreted into the breast milk in significant quantities; breast feeding is considered contraindicated due to the potential risk of iodine-associated adverse effects in the infant. </w:t>
            </w:r>
          </w:p>
          <w:p w14:paraId="06C7937A" w14:textId="04B06EB2" w:rsidR="00FB404F" w:rsidRPr="00F34C5E" w:rsidRDefault="00F34C5E" w:rsidP="00F34C5E">
            <w:pPr>
              <w:pStyle w:val="ListParagraph"/>
              <w:numPr>
                <w:ilvl w:val="0"/>
                <w:numId w:val="35"/>
              </w:numPr>
              <w:rPr>
                <w:rFonts w:cs="Arial"/>
              </w:rPr>
            </w:pPr>
            <w:r w:rsidRPr="00F34C5E">
              <w:rPr>
                <w:rFonts w:cs="Arial"/>
              </w:rPr>
              <w:t xml:space="preserve">Information for healthcare professionals: </w:t>
            </w:r>
            <w:hyperlink r:id="rId31" w:history="1">
              <w:r w:rsidRPr="00F34C5E">
                <w:rPr>
                  <w:rStyle w:val="Hyperlink"/>
                  <w:rFonts w:cs="Arial"/>
                </w:rPr>
                <w:t>UK Drugs in Lactation Advisory Service</w:t>
              </w:r>
            </w:hyperlink>
            <w:r w:rsidRPr="00F34C5E">
              <w:rPr>
                <w:rFonts w:cs="Arial"/>
              </w:rPr>
              <w:t xml:space="preserve"> </w:t>
            </w:r>
          </w:p>
        </w:tc>
      </w:tr>
      <w:tr w:rsidR="00767B99" w:rsidRPr="00F321FC" w14:paraId="6398E15E" w14:textId="77777777" w:rsidTr="00BF174A">
        <w:tc>
          <w:tcPr>
            <w:tcW w:w="2268" w:type="dxa"/>
          </w:tcPr>
          <w:p w14:paraId="6BB398C7" w14:textId="6C037366" w:rsidR="00767B99" w:rsidRPr="00F321FC" w:rsidRDefault="00767B99" w:rsidP="00767B99">
            <w:pPr>
              <w:pStyle w:val="Heading2"/>
              <w:rPr>
                <w:rFonts w:cs="Arial"/>
              </w:rPr>
            </w:pPr>
            <w:bookmarkStart w:id="22" w:name="thirteen_specialist_contact"/>
            <w:bookmarkStart w:id="23" w:name="_Toc149231797"/>
            <w:r w:rsidRPr="00F321FC">
              <w:rPr>
                <w:rFonts w:cs="Arial"/>
              </w:rPr>
              <w:t>Specialist contact information</w:t>
            </w:r>
            <w:r>
              <w:rPr>
                <w:rFonts w:cs="Arial"/>
              </w:rPr>
              <w:t xml:space="preserve"> and arrangements for referral</w:t>
            </w:r>
            <w:bookmarkEnd w:id="22"/>
            <w:bookmarkEnd w:id="23"/>
          </w:p>
        </w:tc>
        <w:tc>
          <w:tcPr>
            <w:tcW w:w="8193" w:type="dxa"/>
          </w:tcPr>
          <w:p w14:paraId="63F90746" w14:textId="06720262" w:rsidR="00767B99" w:rsidRPr="00261A4B" w:rsidRDefault="003D01FE" w:rsidP="00FB404F">
            <w:pPr>
              <w:rPr>
                <w:rFonts w:cs="Arial"/>
              </w:rPr>
            </w:pPr>
            <w:r w:rsidRPr="00624C09">
              <w:rPr>
                <w:rFonts w:cs="Arial"/>
              </w:rPr>
              <w:t>Details for contacting specialist must be included on the clinic letter</w:t>
            </w:r>
            <w:r>
              <w:rPr>
                <w:rFonts w:cs="Arial"/>
              </w:rPr>
              <w:t>.</w:t>
            </w:r>
          </w:p>
        </w:tc>
      </w:tr>
      <w:tr w:rsidR="00767B99" w:rsidRPr="00F321FC" w14:paraId="207E7612" w14:textId="77777777" w:rsidTr="00BF174A">
        <w:tc>
          <w:tcPr>
            <w:tcW w:w="2268" w:type="dxa"/>
          </w:tcPr>
          <w:p w14:paraId="1F87C246" w14:textId="316BF7A3" w:rsidR="00767B99" w:rsidRPr="00F321FC" w:rsidRDefault="00767B99" w:rsidP="00767B99">
            <w:pPr>
              <w:pStyle w:val="Heading2"/>
              <w:rPr>
                <w:rFonts w:cs="Arial"/>
              </w:rPr>
            </w:pPr>
            <w:bookmarkStart w:id="24" w:name="fourteen_additional_info"/>
            <w:bookmarkStart w:id="25" w:name="_Toc149231798"/>
            <w:r w:rsidRPr="00F321FC">
              <w:rPr>
                <w:rFonts w:cs="Arial"/>
              </w:rPr>
              <w:t>Additional information</w:t>
            </w:r>
            <w:bookmarkEnd w:id="24"/>
            <w:bookmarkEnd w:id="25"/>
          </w:p>
        </w:tc>
        <w:tc>
          <w:tcPr>
            <w:tcW w:w="8193" w:type="dxa"/>
          </w:tcPr>
          <w:p w14:paraId="3634BE8A" w14:textId="5D969788" w:rsidR="00767B99" w:rsidRPr="00F321FC" w:rsidRDefault="005D79FA" w:rsidP="00FB404F">
            <w:pPr>
              <w:rPr>
                <w:rFonts w:cs="Arial"/>
              </w:rPr>
            </w:pPr>
            <w:r w:rsidRPr="005D79FA">
              <w:rPr>
                <w:rFonts w:cs="Arial"/>
              </w:rPr>
              <w:t>Where patient care is transferred from one specialist service or GP practice to another, a new shared care agreement must be completed. Ensure that the specialist is informed in writing of any changes to the patient’s GP or their contact details.</w:t>
            </w:r>
          </w:p>
        </w:tc>
      </w:tr>
      <w:tr w:rsidR="00767B99" w:rsidRPr="00F321FC" w14:paraId="6B6F9FF7" w14:textId="77777777" w:rsidTr="00BF174A">
        <w:tc>
          <w:tcPr>
            <w:tcW w:w="2268" w:type="dxa"/>
          </w:tcPr>
          <w:p w14:paraId="4580613D" w14:textId="3D2EB4DF" w:rsidR="00767B99" w:rsidRPr="00F321FC" w:rsidRDefault="00767B99" w:rsidP="00767B99">
            <w:pPr>
              <w:pStyle w:val="Heading2"/>
              <w:rPr>
                <w:rFonts w:cs="Arial"/>
              </w:rPr>
            </w:pPr>
            <w:bookmarkStart w:id="26" w:name="fifteen_references"/>
            <w:bookmarkStart w:id="27" w:name="_Toc149231799"/>
            <w:r w:rsidRPr="00F321FC">
              <w:rPr>
                <w:rFonts w:cs="Arial"/>
              </w:rPr>
              <w:t>References</w:t>
            </w:r>
            <w:bookmarkEnd w:id="26"/>
            <w:bookmarkEnd w:id="27"/>
          </w:p>
        </w:tc>
        <w:tc>
          <w:tcPr>
            <w:tcW w:w="8193" w:type="dxa"/>
          </w:tcPr>
          <w:p w14:paraId="7A7227B4" w14:textId="7ACCEC17" w:rsidR="00F34C5E" w:rsidRPr="0064598F" w:rsidRDefault="00EF0D5B" w:rsidP="0064598F">
            <w:pPr>
              <w:pStyle w:val="ListParagraph"/>
              <w:numPr>
                <w:ilvl w:val="0"/>
                <w:numId w:val="42"/>
              </w:numPr>
              <w:rPr>
                <w:rFonts w:eastAsiaTheme="minorEastAsia" w:cs="Arial"/>
                <w:szCs w:val="24"/>
                <w:lang w:eastAsia="en-GB"/>
              </w:rPr>
            </w:pPr>
            <w:r w:rsidRPr="00236EDC">
              <w:rPr>
                <w:rFonts w:eastAsia="Times New Roman" w:cs="Arial"/>
                <w:lang w:eastAsia="en-GB"/>
              </w:rPr>
              <w:t>British National Formulary. A</w:t>
            </w:r>
            <w:r w:rsidR="00F34C5E" w:rsidRPr="00236EDC">
              <w:rPr>
                <w:rFonts w:eastAsia="Times New Roman" w:cs="Arial"/>
                <w:lang w:eastAsia="en-GB"/>
              </w:rPr>
              <w:t xml:space="preserve">ccessed via  </w:t>
            </w:r>
            <w:hyperlink r:id="rId32" w:history="1">
              <w:r w:rsidRPr="00236EDC">
                <w:rPr>
                  <w:rStyle w:val="Hyperlink"/>
                  <w:rFonts w:cs="Arial"/>
                </w:rPr>
                <w:t>https://bnf.nice.org.uk/</w:t>
              </w:r>
            </w:hyperlink>
            <w:r w:rsidR="00F34C5E" w:rsidRPr="00236EDC">
              <w:rPr>
                <w:rFonts w:eastAsia="Times New Roman" w:cs="Arial"/>
                <w:lang w:eastAsia="en-GB"/>
              </w:rPr>
              <w:t xml:space="preserve"> on </w:t>
            </w:r>
            <w:r w:rsidRPr="00236EDC">
              <w:rPr>
                <w:rFonts w:eastAsia="Times New Roman" w:cs="Arial"/>
                <w:lang w:eastAsia="en-GB"/>
              </w:rPr>
              <w:t>18/10/23.</w:t>
            </w:r>
          </w:p>
          <w:p w14:paraId="7C934E00" w14:textId="0988CCFE" w:rsidR="00EF0D5B" w:rsidRPr="0064598F" w:rsidRDefault="00236EDC" w:rsidP="0064598F">
            <w:pPr>
              <w:pStyle w:val="ListParagraph"/>
              <w:numPr>
                <w:ilvl w:val="0"/>
                <w:numId w:val="42"/>
              </w:numPr>
              <w:rPr>
                <w:rFonts w:eastAsiaTheme="minorEastAsia" w:cs="Arial"/>
                <w:szCs w:val="24"/>
                <w:lang w:eastAsia="en-GB"/>
              </w:rPr>
            </w:pPr>
            <w:r w:rsidRPr="0064598F">
              <w:rPr>
                <w:rFonts w:eastAsiaTheme="minorEastAsia" w:cs="Arial"/>
                <w:szCs w:val="24"/>
                <w:lang w:eastAsia="en-GB"/>
              </w:rPr>
              <w:t>Amiodaron</w:t>
            </w:r>
            <w:r w:rsidR="00890C0E">
              <w:rPr>
                <w:rFonts w:eastAsiaTheme="minorEastAsia" w:cs="Arial"/>
                <w:szCs w:val="24"/>
                <w:lang w:eastAsia="en-GB"/>
              </w:rPr>
              <w:t>e</w:t>
            </w:r>
            <w:r w:rsidRPr="0064598F">
              <w:rPr>
                <w:rFonts w:eastAsiaTheme="minorEastAsia" w:cs="Arial"/>
                <w:szCs w:val="24"/>
                <w:lang w:eastAsia="en-GB"/>
              </w:rPr>
              <w:t xml:space="preserve"> hydro</w:t>
            </w:r>
            <w:r>
              <w:rPr>
                <w:rFonts w:eastAsiaTheme="minorEastAsia" w:cs="Arial"/>
                <w:szCs w:val="24"/>
                <w:lang w:eastAsia="en-GB"/>
              </w:rPr>
              <w:t xml:space="preserve">chloride 200 mg tablets. Ennogen Pharma Ltd. Date of revision of the text: 14/02/23. Accessed via </w:t>
            </w:r>
            <w:hyperlink r:id="rId33" w:history="1">
              <w:r w:rsidRPr="00236EDC">
                <w:rPr>
                  <w:rStyle w:val="Hyperlink"/>
                  <w:rFonts w:eastAsiaTheme="minorEastAsia" w:cs="Arial"/>
                  <w:szCs w:val="24"/>
                  <w:lang w:eastAsia="en-GB"/>
                </w:rPr>
                <w:t>https://www.medicines.org.uk/emc/</w:t>
              </w:r>
            </w:hyperlink>
            <w:r>
              <w:rPr>
                <w:rFonts w:eastAsiaTheme="minorEastAsia" w:cs="Arial"/>
                <w:szCs w:val="24"/>
                <w:lang w:eastAsia="en-GB"/>
              </w:rPr>
              <w:t xml:space="preserve"> on 28/10/23.</w:t>
            </w:r>
          </w:p>
          <w:p w14:paraId="52315EC5" w14:textId="1D55B87D" w:rsidR="00EF0D5B" w:rsidRPr="0064598F" w:rsidRDefault="00EF0D5B" w:rsidP="0064598F">
            <w:pPr>
              <w:pStyle w:val="ListParagraph"/>
              <w:numPr>
                <w:ilvl w:val="0"/>
                <w:numId w:val="42"/>
              </w:numPr>
              <w:rPr>
                <w:rFonts w:eastAsiaTheme="minorEastAsia" w:cs="Arial"/>
                <w:szCs w:val="24"/>
                <w:lang w:eastAsia="en-GB"/>
              </w:rPr>
            </w:pPr>
            <w:r w:rsidRPr="00236EDC">
              <w:rPr>
                <w:rFonts w:eastAsia="Times New Roman" w:cs="Arial"/>
                <w:lang w:eastAsia="en-GB"/>
              </w:rPr>
              <w:t xml:space="preserve">Amiodarone hydrochloride 100 mg tablets. Accord Healthcare Ltd. Date of revision of the text: 27/01/22. Accessed via  </w:t>
            </w:r>
            <w:hyperlink r:id="rId34" w:history="1">
              <w:r w:rsidRPr="00236EDC">
                <w:rPr>
                  <w:rStyle w:val="Hyperlink"/>
                  <w:rFonts w:cs="Arial"/>
                </w:rPr>
                <w:t>https://products.mhra.gov.uk/</w:t>
              </w:r>
            </w:hyperlink>
            <w:r w:rsidRPr="00236EDC">
              <w:rPr>
                <w:rFonts w:cs="Arial"/>
              </w:rPr>
              <w:t xml:space="preserve"> </w:t>
            </w:r>
            <w:r w:rsidRPr="00236EDC">
              <w:rPr>
                <w:rFonts w:eastAsia="Times New Roman" w:cs="Arial"/>
                <w:lang w:eastAsia="en-GB"/>
              </w:rPr>
              <w:t>on 18/10/23.</w:t>
            </w:r>
          </w:p>
          <w:p w14:paraId="4B0D9524" w14:textId="77777777" w:rsidR="00EF0D5B" w:rsidRPr="0064598F" w:rsidRDefault="00EF0D5B" w:rsidP="0064598F">
            <w:pPr>
              <w:pStyle w:val="ListParagraph"/>
              <w:numPr>
                <w:ilvl w:val="0"/>
                <w:numId w:val="42"/>
              </w:numPr>
              <w:rPr>
                <w:rFonts w:eastAsiaTheme="minorEastAsia" w:cs="Arial"/>
                <w:szCs w:val="24"/>
                <w:lang w:eastAsia="en-GB"/>
              </w:rPr>
            </w:pPr>
            <w:r w:rsidRPr="00236EDC">
              <w:rPr>
                <w:rFonts w:eastAsia="Times New Roman" w:cs="Arial"/>
                <w:lang w:eastAsia="en-GB"/>
              </w:rPr>
              <w:t xml:space="preserve">Amiodarone hydrochloride 200 mg tablets. Accord Healthcare Ltd. Date of revision of the text: 27/01/22. Accessed via </w:t>
            </w:r>
            <w:hyperlink r:id="rId35" w:history="1">
              <w:r w:rsidRPr="00236EDC">
                <w:rPr>
                  <w:rStyle w:val="Hyperlink"/>
                  <w:rFonts w:cs="Arial"/>
                </w:rPr>
                <w:t>https://products.mhra.gov.uk/</w:t>
              </w:r>
            </w:hyperlink>
            <w:r w:rsidRPr="00236EDC">
              <w:rPr>
                <w:rFonts w:eastAsia="Times New Roman" w:cs="Arial"/>
                <w:lang w:eastAsia="en-GB"/>
              </w:rPr>
              <w:t xml:space="preserve"> on 18/10/23.</w:t>
            </w:r>
          </w:p>
          <w:p w14:paraId="40CE3AD7" w14:textId="6FB7104C" w:rsidR="00F34C5E" w:rsidRPr="0064598F" w:rsidRDefault="00F34C5E" w:rsidP="0064598F">
            <w:pPr>
              <w:pStyle w:val="ListParagraph"/>
              <w:numPr>
                <w:ilvl w:val="0"/>
                <w:numId w:val="42"/>
              </w:numPr>
              <w:rPr>
                <w:rFonts w:eastAsiaTheme="minorEastAsia" w:cs="Arial"/>
                <w:szCs w:val="24"/>
                <w:lang w:eastAsia="en-GB"/>
              </w:rPr>
            </w:pPr>
            <w:r w:rsidRPr="00236EDC">
              <w:rPr>
                <w:rFonts w:eastAsia="Times New Roman" w:cs="Arial"/>
                <w:lang w:eastAsia="en-GB"/>
              </w:rPr>
              <w:t xml:space="preserve">Amiodarone hydrochloride 200mg tablets (Amiodarone Milpharm). Aurobindo Pharma- Milpharm Ltd. Date of revision of the text 14/08/2020. Accessed via </w:t>
            </w:r>
            <w:hyperlink r:id="rId36" w:history="1">
              <w:r w:rsidRPr="00236EDC">
                <w:rPr>
                  <w:rStyle w:val="Hyperlink"/>
                  <w:rFonts w:cs="Arial"/>
                </w:rPr>
                <w:t>https://www.medicines.org.uk/emc/</w:t>
              </w:r>
            </w:hyperlink>
            <w:r w:rsidRPr="00236EDC">
              <w:rPr>
                <w:rFonts w:eastAsia="Times New Roman" w:cs="Arial"/>
                <w:lang w:eastAsia="en-GB"/>
              </w:rPr>
              <w:t xml:space="preserve"> on 15/01/2021.</w:t>
            </w:r>
          </w:p>
          <w:p w14:paraId="0829AC63" w14:textId="77CA7F04" w:rsidR="00F34C5E" w:rsidRPr="0064598F" w:rsidRDefault="00F34C5E" w:rsidP="0064598F">
            <w:pPr>
              <w:pStyle w:val="ListParagraph"/>
              <w:numPr>
                <w:ilvl w:val="0"/>
                <w:numId w:val="42"/>
              </w:numPr>
              <w:rPr>
                <w:rFonts w:eastAsiaTheme="minorEastAsia" w:cs="Arial"/>
                <w:szCs w:val="24"/>
                <w:lang w:eastAsia="en-GB"/>
              </w:rPr>
            </w:pPr>
            <w:r w:rsidRPr="00236EDC">
              <w:rPr>
                <w:rFonts w:eastAsia="Times New Roman" w:cs="Arial"/>
                <w:lang w:eastAsia="en-GB"/>
              </w:rPr>
              <w:t>NHS England</w:t>
            </w:r>
            <w:r w:rsidR="00EF0D5B" w:rsidRPr="00236EDC">
              <w:rPr>
                <w:rFonts w:eastAsia="Times New Roman" w:cs="Arial"/>
                <w:lang w:eastAsia="en-GB"/>
              </w:rPr>
              <w:t xml:space="preserve">. Items which should not routinely be prescribed in primary care: policy guidance. August 2023. Last updated October 2023. Accessed via </w:t>
            </w:r>
            <w:hyperlink r:id="rId37" w:history="1">
              <w:r w:rsidR="00EF0D5B" w:rsidRPr="00236EDC">
                <w:rPr>
                  <w:rStyle w:val="Hyperlink"/>
                  <w:rFonts w:eastAsia="Times New Roman" w:cs="Arial"/>
                  <w:lang w:eastAsia="en-GB"/>
                </w:rPr>
                <w:t>https://www.england.nhs.uk/long-read/items-which-should-not-routinely-be-prescribed-in-primary-care-policy-guidance/</w:t>
              </w:r>
            </w:hyperlink>
            <w:r w:rsidR="00EF0D5B" w:rsidRPr="00236EDC">
              <w:rPr>
                <w:rFonts w:eastAsia="Times New Roman" w:cs="Arial"/>
                <w:lang w:eastAsia="en-GB"/>
              </w:rPr>
              <w:t xml:space="preserve"> on 18/10/23.</w:t>
            </w:r>
            <w:r w:rsidRPr="00236EDC">
              <w:rPr>
                <w:rFonts w:eastAsia="Times New Roman" w:cs="Arial"/>
                <w:lang w:eastAsia="en-GB"/>
              </w:rPr>
              <w:t xml:space="preserve"> </w:t>
            </w:r>
          </w:p>
          <w:p w14:paraId="41C705D1" w14:textId="2E77C2F3" w:rsidR="00F34C5E" w:rsidRPr="00236EDC" w:rsidRDefault="00F34C5E" w:rsidP="0064598F">
            <w:pPr>
              <w:pStyle w:val="ListParagraph"/>
              <w:numPr>
                <w:ilvl w:val="0"/>
                <w:numId w:val="42"/>
              </w:numPr>
              <w:rPr>
                <w:rFonts w:eastAsia="Times New Roman" w:cs="Arial"/>
                <w:lang w:eastAsia="en-GB"/>
              </w:rPr>
            </w:pPr>
            <w:r w:rsidRPr="00236EDC">
              <w:rPr>
                <w:rFonts w:eastAsia="Times New Roman" w:cs="Arial"/>
                <w:lang w:eastAsia="en-GB"/>
              </w:rPr>
              <w:lastRenderedPageBreak/>
              <w:t xml:space="preserve">NICE. NG196: Atrial fibrillation: diagnosis and management. Last updated </w:t>
            </w:r>
            <w:r w:rsidR="00EF0D5B" w:rsidRPr="00236EDC">
              <w:rPr>
                <w:rFonts w:eastAsia="Times New Roman" w:cs="Arial"/>
                <w:lang w:eastAsia="en-GB"/>
              </w:rPr>
              <w:t xml:space="preserve">June </w:t>
            </w:r>
            <w:r w:rsidRPr="00236EDC">
              <w:rPr>
                <w:rFonts w:eastAsia="Times New Roman" w:cs="Arial"/>
                <w:lang w:eastAsia="en-GB"/>
              </w:rPr>
              <w:t xml:space="preserve">2021. Accessed via </w:t>
            </w:r>
            <w:hyperlink r:id="rId38" w:history="1">
              <w:r w:rsidRPr="00236EDC">
                <w:rPr>
                  <w:rStyle w:val="Hyperlink"/>
                  <w:rFonts w:eastAsia="Times New Roman" w:cs="Arial"/>
                  <w:lang w:eastAsia="en-GB"/>
                </w:rPr>
                <w:t>https://www.nice.org.uk/guidance/ng196</w:t>
              </w:r>
            </w:hyperlink>
            <w:r w:rsidRPr="00236EDC">
              <w:rPr>
                <w:rFonts w:eastAsia="Times New Roman" w:cs="Arial"/>
                <w:lang w:eastAsia="en-GB"/>
              </w:rPr>
              <w:t xml:space="preserve"> on 28/04/21.</w:t>
            </w:r>
          </w:p>
          <w:p w14:paraId="0B36F114" w14:textId="2BAFE5CE" w:rsidR="00F34C5E" w:rsidRPr="0064598F" w:rsidRDefault="00F34C5E" w:rsidP="0064598F">
            <w:pPr>
              <w:pStyle w:val="ListParagraph"/>
              <w:numPr>
                <w:ilvl w:val="0"/>
                <w:numId w:val="42"/>
              </w:numPr>
              <w:rPr>
                <w:rFonts w:eastAsiaTheme="minorEastAsia" w:cs="Arial"/>
                <w:szCs w:val="24"/>
                <w:lang w:eastAsia="en-GB"/>
              </w:rPr>
            </w:pPr>
            <w:r w:rsidRPr="00236EDC">
              <w:rPr>
                <w:rFonts w:eastAsia="Times New Roman" w:cs="Arial"/>
                <w:lang w:eastAsia="en-GB"/>
              </w:rPr>
              <w:t xml:space="preserve">Specialist Pharmacy Service. Lactation Safety Information: Amiodarone. Last reviewed </w:t>
            </w:r>
            <w:r w:rsidR="00EF0D5B" w:rsidRPr="00236EDC">
              <w:rPr>
                <w:rFonts w:eastAsia="Times New Roman" w:cs="Arial"/>
                <w:lang w:eastAsia="en-GB"/>
              </w:rPr>
              <w:t>05/07/21</w:t>
            </w:r>
            <w:r w:rsidRPr="00236EDC">
              <w:rPr>
                <w:rFonts w:eastAsia="Times New Roman" w:cs="Arial"/>
                <w:lang w:eastAsia="en-GB"/>
              </w:rPr>
              <w:t xml:space="preserve">. Accessed via  </w:t>
            </w:r>
            <w:hyperlink r:id="rId39" w:history="1">
              <w:r w:rsidRPr="00236EDC">
                <w:rPr>
                  <w:rStyle w:val="Hyperlink"/>
                  <w:rFonts w:eastAsia="Times New Roman" w:cs="Arial"/>
                  <w:lang w:eastAsia="en-GB"/>
                </w:rPr>
                <w:t>https://www.sps.nhs.uk/medicines/amiodarone/</w:t>
              </w:r>
            </w:hyperlink>
            <w:r w:rsidR="006E5307">
              <w:t xml:space="preserve"> </w:t>
            </w:r>
            <w:r w:rsidRPr="00236EDC">
              <w:rPr>
                <w:rFonts w:eastAsia="Times New Roman" w:cs="Arial"/>
                <w:lang w:eastAsia="en-GB"/>
              </w:rPr>
              <w:t xml:space="preserve">on </w:t>
            </w:r>
            <w:r w:rsidR="006E5307">
              <w:rPr>
                <w:rFonts w:eastAsia="Times New Roman" w:cs="Arial"/>
                <w:lang w:eastAsia="en-GB"/>
              </w:rPr>
              <w:t>18/10/23</w:t>
            </w:r>
            <w:r w:rsidRPr="00236EDC">
              <w:rPr>
                <w:rFonts w:eastAsia="Times New Roman" w:cs="Arial"/>
                <w:lang w:eastAsia="en-GB"/>
              </w:rPr>
              <w:t>.</w:t>
            </w:r>
          </w:p>
          <w:p w14:paraId="55CB510C" w14:textId="7B90AE6C" w:rsidR="00F34C5E" w:rsidRPr="00236EDC" w:rsidRDefault="00F34C5E" w:rsidP="0064598F">
            <w:pPr>
              <w:pStyle w:val="ListParagraph"/>
              <w:numPr>
                <w:ilvl w:val="0"/>
                <w:numId w:val="42"/>
              </w:numPr>
              <w:rPr>
                <w:rFonts w:eastAsia="Times New Roman" w:cs="Arial"/>
                <w:lang w:eastAsia="en-GB"/>
              </w:rPr>
            </w:pPr>
            <w:r w:rsidRPr="00236EDC">
              <w:rPr>
                <w:rFonts w:eastAsia="Times New Roman" w:cs="Arial"/>
                <w:lang w:eastAsia="en-GB"/>
              </w:rPr>
              <w:t xml:space="preserve">Specialist Pharmacy Service – Medicines Monitoring. Published July 2021. Accessed via </w:t>
            </w:r>
            <w:hyperlink r:id="rId40" w:history="1">
              <w:r w:rsidRPr="00236EDC">
                <w:rPr>
                  <w:rStyle w:val="Hyperlink"/>
                  <w:rFonts w:cs="Arial"/>
                </w:rPr>
                <w:t>https://www.sps.nhs.uk/monitorings/amiodarone-monitoring/</w:t>
              </w:r>
            </w:hyperlink>
            <w:r w:rsidR="006E5307">
              <w:rPr>
                <w:rFonts w:cs="Arial"/>
              </w:rPr>
              <w:t xml:space="preserve"> o</w:t>
            </w:r>
            <w:r w:rsidRPr="00236EDC">
              <w:rPr>
                <w:rFonts w:cs="Arial"/>
              </w:rPr>
              <w:t xml:space="preserve">n </w:t>
            </w:r>
            <w:r w:rsidR="006E5307">
              <w:rPr>
                <w:rFonts w:cs="Arial"/>
              </w:rPr>
              <w:t>18/10/23</w:t>
            </w:r>
            <w:r w:rsidRPr="00236EDC">
              <w:rPr>
                <w:rFonts w:eastAsia="Times New Roman" w:cs="Arial"/>
                <w:lang w:eastAsia="en-GB"/>
              </w:rPr>
              <w:t xml:space="preserve">. </w:t>
            </w:r>
          </w:p>
          <w:p w14:paraId="1264812D" w14:textId="78804D28" w:rsidR="00F34C5E" w:rsidRPr="00236EDC" w:rsidRDefault="00F34C5E" w:rsidP="0064598F">
            <w:pPr>
              <w:pStyle w:val="ListParagraph"/>
              <w:numPr>
                <w:ilvl w:val="0"/>
                <w:numId w:val="42"/>
              </w:numPr>
              <w:rPr>
                <w:rFonts w:cs="Arial"/>
              </w:rPr>
            </w:pPr>
            <w:r w:rsidRPr="00236EDC">
              <w:rPr>
                <w:rFonts w:eastAsia="Times New Roman" w:cs="Arial"/>
                <w:lang w:eastAsia="en-GB"/>
              </w:rPr>
              <w:t xml:space="preserve">LiverTox. Amiodarone. Last updated 01/03/2016. Accessed via </w:t>
            </w:r>
            <w:hyperlink r:id="rId41" w:history="1">
              <w:r w:rsidRPr="00236EDC">
                <w:rPr>
                  <w:rStyle w:val="Hyperlink"/>
                  <w:rFonts w:eastAsia="Times New Roman" w:cs="Arial"/>
                  <w:lang w:eastAsia="en-GB"/>
                </w:rPr>
                <w:t>https://www.ncbi.nlm.nih.gov/books/NBK548109/</w:t>
              </w:r>
            </w:hyperlink>
            <w:r w:rsidRPr="00236EDC">
              <w:rPr>
                <w:rFonts w:eastAsia="Times New Roman" w:cs="Arial"/>
                <w:lang w:eastAsia="en-GB"/>
              </w:rPr>
              <w:t xml:space="preserve"> </w:t>
            </w:r>
            <w:r w:rsidR="006E5307">
              <w:rPr>
                <w:rFonts w:eastAsia="Times New Roman" w:cs="Arial"/>
                <w:lang w:eastAsia="en-GB"/>
              </w:rPr>
              <w:t>18/10/23</w:t>
            </w:r>
            <w:r w:rsidRPr="00236EDC">
              <w:rPr>
                <w:rFonts w:eastAsia="Times New Roman" w:cs="Arial"/>
                <w:lang w:eastAsia="en-GB"/>
              </w:rPr>
              <w:t>.</w:t>
            </w:r>
          </w:p>
          <w:p w14:paraId="39085260" w14:textId="6F9F0177" w:rsidR="00767B99" w:rsidRPr="0064598F" w:rsidRDefault="00F34C5E" w:rsidP="0064598F">
            <w:pPr>
              <w:pStyle w:val="ListParagraph"/>
              <w:numPr>
                <w:ilvl w:val="0"/>
                <w:numId w:val="42"/>
              </w:numPr>
              <w:rPr>
                <w:rFonts w:cs="Arial"/>
              </w:rPr>
            </w:pPr>
            <w:r w:rsidRPr="00236EDC">
              <w:rPr>
                <w:rFonts w:eastAsia="Times New Roman" w:cs="Arial"/>
                <w:lang w:eastAsia="en-GB"/>
              </w:rPr>
              <w:t xml:space="preserve">NEWT Guidelines: amiodarone. Last updated February 2019. Accessed via </w:t>
            </w:r>
            <w:hyperlink r:id="rId42" w:history="1">
              <w:r w:rsidR="00EF0D5B" w:rsidRPr="00236EDC">
                <w:rPr>
                  <w:rStyle w:val="Hyperlink"/>
                  <w:rFonts w:cs="Arial"/>
                </w:rPr>
                <w:t>https://www.newtguidelines.com/</w:t>
              </w:r>
            </w:hyperlink>
            <w:r w:rsidRPr="00236EDC">
              <w:rPr>
                <w:rFonts w:eastAsia="Times New Roman" w:cs="Arial"/>
                <w:lang w:eastAsia="en-GB"/>
              </w:rPr>
              <w:t xml:space="preserve"> on </w:t>
            </w:r>
            <w:r w:rsidR="006E5307">
              <w:rPr>
                <w:rFonts w:eastAsia="Times New Roman" w:cs="Arial"/>
                <w:lang w:eastAsia="en-GB"/>
              </w:rPr>
              <w:t>18/10/23</w:t>
            </w:r>
          </w:p>
          <w:p w14:paraId="3FCA7350" w14:textId="21EA8F77" w:rsidR="006E5307" w:rsidRPr="0064598F" w:rsidRDefault="006E5307" w:rsidP="0064598F">
            <w:pPr>
              <w:pStyle w:val="ListParagraph"/>
              <w:numPr>
                <w:ilvl w:val="0"/>
                <w:numId w:val="42"/>
              </w:numPr>
              <w:rPr>
                <w:rFonts w:cs="Arial"/>
              </w:rPr>
            </w:pPr>
            <w:r>
              <w:rPr>
                <w:rFonts w:eastAsia="Times New Roman" w:cs="Arial"/>
                <w:lang w:eastAsia="en-GB"/>
              </w:rPr>
              <w:t xml:space="preserve">MHRA Drug Safety Update: </w:t>
            </w:r>
            <w:r w:rsidRPr="006E5307">
              <w:rPr>
                <w:rFonts w:eastAsia="Times New Roman" w:cs="Arial"/>
                <w:lang w:eastAsia="en-GB"/>
              </w:rPr>
              <w:t>Sofosbuvir with daclatasvir; sofosbuvir and ledipasvir: risks of severe bradycardia and heart block when taken with amiodarone</w:t>
            </w:r>
            <w:r>
              <w:rPr>
                <w:rFonts w:eastAsia="Times New Roman" w:cs="Arial"/>
                <w:lang w:eastAsia="en-GB"/>
              </w:rPr>
              <w:t xml:space="preserve">. May 2015. Accessed via </w:t>
            </w:r>
            <w:hyperlink r:id="rId43" w:history="1">
              <w:r w:rsidRPr="00630441">
                <w:rPr>
                  <w:rStyle w:val="Hyperlink"/>
                  <w:rFonts w:eastAsia="Times New Roman" w:cs="Arial"/>
                  <w:lang w:eastAsia="en-GB"/>
                </w:rPr>
                <w:t>https://www.gov.uk/drug-safety-update/sofosbuvir-with-daclatasvir-sofosbuvir-and-ledipasvir-risks-of-severe-bradycardia-and-heart-block-when-taken-with-amiodarone</w:t>
              </w:r>
            </w:hyperlink>
            <w:r>
              <w:rPr>
                <w:rFonts w:eastAsia="Times New Roman" w:cs="Arial"/>
                <w:lang w:eastAsia="en-GB"/>
              </w:rPr>
              <w:t xml:space="preserve"> on 18/10/23 </w:t>
            </w:r>
          </w:p>
          <w:p w14:paraId="3C7347B7" w14:textId="24EC3B31" w:rsidR="006E5307" w:rsidRPr="0064598F" w:rsidRDefault="006E5307" w:rsidP="0064598F">
            <w:pPr>
              <w:pStyle w:val="ListParagraph"/>
              <w:numPr>
                <w:ilvl w:val="0"/>
                <w:numId w:val="42"/>
              </w:numPr>
              <w:rPr>
                <w:rFonts w:cs="Arial"/>
              </w:rPr>
            </w:pPr>
            <w:r>
              <w:rPr>
                <w:rFonts w:cs="Arial"/>
              </w:rPr>
              <w:t xml:space="preserve">MHRA Drug Safety Update: </w:t>
            </w:r>
            <w:r w:rsidRPr="006E5307">
              <w:rPr>
                <w:rFonts w:cs="Arial"/>
              </w:rPr>
              <w:t>Simeprevir with sofosbuvir: risk of severe bradycardia and heart block when taken with amiodarone</w:t>
            </w:r>
            <w:r>
              <w:rPr>
                <w:rFonts w:cs="Arial"/>
              </w:rPr>
              <w:t xml:space="preserve">. August 2015. Accessed via </w:t>
            </w:r>
            <w:hyperlink r:id="rId44" w:history="1">
              <w:r w:rsidRPr="00630441">
                <w:rPr>
                  <w:rStyle w:val="Hyperlink"/>
                  <w:rFonts w:cs="Arial"/>
                </w:rPr>
                <w:t>https://www.gov.uk/drug-safety-update/simeprevir-with-sofosbuvir-risk-of-severe-bradycardia-and-heart-block-when-taken-with-amiodarone</w:t>
              </w:r>
            </w:hyperlink>
            <w:r>
              <w:rPr>
                <w:rFonts w:cs="Arial"/>
              </w:rPr>
              <w:t xml:space="preserve"> on 18/10/23 </w:t>
            </w:r>
          </w:p>
          <w:p w14:paraId="6737C137" w14:textId="6A5FD5DA" w:rsidR="0085244E" w:rsidRPr="0064598F" w:rsidRDefault="0085244E">
            <w:pPr>
              <w:pStyle w:val="ListParagraph"/>
              <w:numPr>
                <w:ilvl w:val="0"/>
                <w:numId w:val="42"/>
              </w:numPr>
              <w:rPr>
                <w:rFonts w:cs="Arial"/>
              </w:rPr>
            </w:pPr>
            <w:r w:rsidRPr="00236EDC">
              <w:rPr>
                <w:rFonts w:eastAsia="Times New Roman" w:cs="Arial"/>
                <w:lang w:eastAsia="en-GB"/>
              </w:rPr>
              <w:t>MHRA Drug Safety Update: Amiodarone (Cordarone X): reminder of risks of treatment and need for patient monitoring and supervision. March 2022. Access</w:t>
            </w:r>
            <w:r w:rsidR="006E5307">
              <w:rPr>
                <w:rFonts w:eastAsia="Times New Roman" w:cs="Arial"/>
                <w:lang w:eastAsia="en-GB"/>
              </w:rPr>
              <w:t>ed</w:t>
            </w:r>
            <w:r w:rsidRPr="00236EDC">
              <w:rPr>
                <w:rFonts w:eastAsia="Times New Roman" w:cs="Arial"/>
                <w:lang w:eastAsia="en-GB"/>
              </w:rPr>
              <w:t xml:space="preserve"> via </w:t>
            </w:r>
            <w:hyperlink r:id="rId45" w:history="1">
              <w:r w:rsidR="000C2886">
                <w:rPr>
                  <w:rStyle w:val="Hyperlink"/>
                  <w:rFonts w:eastAsia="Times New Roman" w:cs="Arial"/>
                  <w:lang w:eastAsia="en-GB"/>
                </w:rPr>
                <w:t>https://www.gov.uk/drug-safety-update/amiodarone-cordarone-x-reminder-of-risks-of-treatment-and-need-for-patient-monitoring-and-supervision</w:t>
              </w:r>
            </w:hyperlink>
            <w:r w:rsidR="000C2886">
              <w:rPr>
                <w:rFonts w:eastAsia="Times New Roman" w:cs="Arial"/>
                <w:lang w:eastAsia="en-GB"/>
              </w:rPr>
              <w:t xml:space="preserve"> on </w:t>
            </w:r>
            <w:r w:rsidR="000C2886" w:rsidRPr="000C2886">
              <w:rPr>
                <w:rFonts w:eastAsia="Times New Roman" w:cs="Arial"/>
                <w:lang w:eastAsia="en-GB"/>
              </w:rPr>
              <w:t>17/10/2023</w:t>
            </w:r>
            <w:r w:rsidR="000C2886">
              <w:rPr>
                <w:rFonts w:eastAsia="Times New Roman" w:cs="Arial"/>
                <w:lang w:eastAsia="en-GB"/>
              </w:rPr>
              <w:t>.</w:t>
            </w:r>
          </w:p>
          <w:p w14:paraId="6C3A7561" w14:textId="305F7FB8" w:rsidR="000C2886" w:rsidRDefault="000C2886">
            <w:pPr>
              <w:pStyle w:val="ListParagraph"/>
              <w:numPr>
                <w:ilvl w:val="0"/>
                <w:numId w:val="42"/>
              </w:numPr>
              <w:rPr>
                <w:rFonts w:cs="Arial"/>
              </w:rPr>
            </w:pPr>
            <w:r>
              <w:rPr>
                <w:rFonts w:cs="Arial"/>
              </w:rPr>
              <w:t xml:space="preserve">UK Guidelines for the Use of Thyroid Function Tests. The Association for Clinical Biochemistry, British Thyroid Association, and British Thyroid Foundation. July 2006. Accessed via </w:t>
            </w:r>
            <w:hyperlink r:id="rId46" w:history="1">
              <w:r w:rsidR="00DE6B93" w:rsidRPr="00DE6B93">
                <w:rPr>
                  <w:rStyle w:val="Hyperlink"/>
                  <w:rFonts w:cs="Arial"/>
                </w:rPr>
                <w:t>https://www.british-thyroid-association.org/sandbox/bta2016/uk_guidelines_for_the_use_of_thyroid_function_tests.pdf</w:t>
              </w:r>
              <w:r w:rsidR="00DE6B93" w:rsidRPr="00E81EF2">
                <w:rPr>
                  <w:rStyle w:val="Hyperlink"/>
                  <w:rFonts w:cs="Arial"/>
                </w:rPr>
                <w:t xml:space="preserve"> on 26/10/2023</w:t>
              </w:r>
            </w:hyperlink>
          </w:p>
          <w:p w14:paraId="691F28DD" w14:textId="47F453ED" w:rsidR="00DE6B93" w:rsidRPr="00236EDC" w:rsidRDefault="00DE6B93" w:rsidP="0064598F">
            <w:pPr>
              <w:pStyle w:val="ListParagraph"/>
              <w:numPr>
                <w:ilvl w:val="0"/>
                <w:numId w:val="42"/>
              </w:numPr>
              <w:rPr>
                <w:rFonts w:cs="Arial"/>
              </w:rPr>
            </w:pPr>
            <w:r w:rsidRPr="00DE6B93">
              <w:rPr>
                <w:rFonts w:cs="Arial"/>
              </w:rPr>
              <w:t>NICE NG145: Thyroid disease: assessment and management</w:t>
            </w:r>
            <w:r>
              <w:rPr>
                <w:rFonts w:cs="Arial"/>
              </w:rPr>
              <w:t xml:space="preserve">. Last updated 26 October 2023. Accessed via </w:t>
            </w:r>
            <w:hyperlink r:id="rId47" w:history="1">
              <w:r w:rsidR="00EE455F" w:rsidRPr="00E81EF2">
                <w:rPr>
                  <w:rStyle w:val="Hyperlink"/>
                  <w:rFonts w:cs="Arial"/>
                </w:rPr>
                <w:t>https://www.nice.org.uk/guidance/ng145/</w:t>
              </w:r>
            </w:hyperlink>
            <w:r w:rsidR="00EE455F">
              <w:rPr>
                <w:rFonts w:cs="Arial"/>
              </w:rPr>
              <w:t xml:space="preserve"> on 05/12/23.</w:t>
            </w:r>
          </w:p>
        </w:tc>
      </w:tr>
      <w:tr w:rsidR="00767B99" w:rsidRPr="00F321FC" w14:paraId="5BFC9044" w14:textId="77777777" w:rsidTr="00BF174A">
        <w:tc>
          <w:tcPr>
            <w:tcW w:w="2268" w:type="dxa"/>
          </w:tcPr>
          <w:p w14:paraId="2578110D" w14:textId="586DDC3D" w:rsidR="00767B99" w:rsidRPr="00F321FC" w:rsidRDefault="00767B99" w:rsidP="00767B99">
            <w:pPr>
              <w:pStyle w:val="Heading2"/>
              <w:rPr>
                <w:rFonts w:cs="Arial"/>
              </w:rPr>
            </w:pPr>
            <w:bookmarkStart w:id="28" w:name="sixteen_read_with"/>
            <w:bookmarkStart w:id="29" w:name="_Toc149231800"/>
            <w:r w:rsidRPr="00F321FC">
              <w:rPr>
                <w:rFonts w:cs="Arial"/>
              </w:rPr>
              <w:lastRenderedPageBreak/>
              <w:t>To be read in conjunction with the following documents</w:t>
            </w:r>
            <w:bookmarkEnd w:id="28"/>
            <w:bookmarkEnd w:id="29"/>
          </w:p>
        </w:tc>
        <w:tc>
          <w:tcPr>
            <w:tcW w:w="8193" w:type="dxa"/>
          </w:tcPr>
          <w:p w14:paraId="1D359FBA" w14:textId="1D51A5A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Shared Care for Medicines Guidance – A Standard Approach (RMOC). Available from </w:t>
            </w:r>
            <w:hyperlink r:id="rId48" w:history="1">
              <w:r w:rsidR="008B7307" w:rsidRPr="0099711D">
                <w:rPr>
                  <w:rStyle w:val="Hyperlink"/>
                </w:rPr>
                <w:t>https://www.medicinesresources.nhs.uk/shared-care-for-medicines-guidance-a-standard-approach-rmoc.html</w:t>
              </w:r>
            </w:hyperlink>
            <w:r w:rsidRPr="00FB404F">
              <w:rPr>
                <w:rFonts w:eastAsia="Times New Roman" w:cs="Arial"/>
                <w:lang w:eastAsia="en-GB"/>
              </w:rPr>
              <w:t xml:space="preserve"> </w:t>
            </w:r>
          </w:p>
          <w:p w14:paraId="2D3D56F2"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NHSE guidance – </w:t>
            </w:r>
            <w:r w:rsidRPr="00FB404F">
              <w:rPr>
                <w:rFonts w:cs="Arial"/>
              </w:rPr>
              <w:t xml:space="preserve">Responsibility for prescribing between primary &amp; secondary/tertiary care. Available from </w:t>
            </w:r>
            <w:hyperlink r:id="rId49" w:history="1">
              <w:r w:rsidRPr="00FB404F">
                <w:rPr>
                  <w:rStyle w:val="Hyperlink"/>
                  <w:rFonts w:cs="Arial"/>
                </w:rPr>
                <w:t>https://www.england.nhs.uk/publication/responsibility-for-prescribing-between-primary-and-secondary-tertiary-care/</w:t>
              </w:r>
            </w:hyperlink>
            <w:r w:rsidRPr="00FB404F">
              <w:rPr>
                <w:rFonts w:cs="Arial"/>
              </w:rPr>
              <w:t xml:space="preserve"> </w:t>
            </w:r>
          </w:p>
          <w:p w14:paraId="253D5A7B" w14:textId="77777777" w:rsidR="00FB404F" w:rsidRPr="00FB404F" w:rsidRDefault="00FB404F" w:rsidP="00FB404F">
            <w:pPr>
              <w:pStyle w:val="ListParagraph"/>
              <w:numPr>
                <w:ilvl w:val="0"/>
                <w:numId w:val="22"/>
              </w:numPr>
              <w:ind w:left="357" w:hanging="357"/>
              <w:rPr>
                <w:rFonts w:eastAsia="Times New Roman" w:cs="Arial"/>
                <w:lang w:eastAsia="en-GB"/>
              </w:rPr>
            </w:pPr>
            <w:r w:rsidRPr="00FB404F">
              <w:rPr>
                <w:rFonts w:eastAsia="Times New Roman" w:cs="Arial"/>
                <w:lang w:eastAsia="en-GB"/>
              </w:rPr>
              <w:t xml:space="preserve">General Medical Council. Good practice in prescribing and managing medicines and devices. Shared care. Available from </w:t>
            </w:r>
            <w:hyperlink r:id="rId50" w:history="1">
              <w:r w:rsidRPr="00FB404F">
                <w:rPr>
                  <w:rStyle w:val="Hyperlink"/>
                  <w:rFonts w:eastAsia="Times New Roman" w:cs="Arial"/>
                  <w:lang w:eastAsia="en-GB"/>
                </w:rPr>
                <w:t>https://www.gmc-uk.org/ethical-guidance/ethical-guidance-for-doctors/good-practice-in-prescribing-and-managing-medicines-and-devices/shared-care</w:t>
              </w:r>
            </w:hyperlink>
            <w:r w:rsidRPr="00FB404F">
              <w:rPr>
                <w:rFonts w:eastAsia="Times New Roman" w:cs="Arial"/>
                <w:lang w:eastAsia="en-GB"/>
              </w:rPr>
              <w:t xml:space="preserve"> </w:t>
            </w:r>
          </w:p>
          <w:p w14:paraId="0A32DAB2" w14:textId="781DB999" w:rsidR="00767B99" w:rsidRPr="00FB404F" w:rsidRDefault="00FB404F" w:rsidP="00FB404F">
            <w:pPr>
              <w:pStyle w:val="References"/>
              <w:spacing w:after="60"/>
              <w:rPr>
                <w:rFonts w:cs="Arial"/>
              </w:rPr>
            </w:pPr>
            <w:r w:rsidRPr="00FB404F">
              <w:rPr>
                <w:rFonts w:eastAsia="Times New Roman" w:cs="Arial"/>
                <w:lang w:eastAsia="en-GB"/>
              </w:rPr>
              <w:t xml:space="preserve">NICE NG197: Shared decision making. Last updated June 2021. </w:t>
            </w:r>
            <w:hyperlink r:id="rId51" w:history="1">
              <w:r w:rsidRPr="00FB404F">
                <w:rPr>
                  <w:rStyle w:val="Hyperlink"/>
                  <w:rFonts w:eastAsia="Times New Roman" w:cs="Arial"/>
                  <w:lang w:eastAsia="en-GB"/>
                </w:rPr>
                <w:t>https://www.nice.org.uk/guidance/ng197/</w:t>
              </w:r>
            </w:hyperlink>
            <w:r w:rsidRPr="00FB404F">
              <w:rPr>
                <w:rFonts w:eastAsia="Times New Roman" w:cs="Arial"/>
                <w:lang w:eastAsia="en-GB"/>
              </w:rPr>
              <w:t>.</w:t>
            </w:r>
          </w:p>
        </w:tc>
      </w:tr>
    </w:tbl>
    <w:p w14:paraId="542C2C02" w14:textId="77777777" w:rsidR="00854C79" w:rsidRPr="00C72861" w:rsidRDefault="00854C79" w:rsidP="00C72861"/>
    <w:p w14:paraId="3B0B1FF8" w14:textId="39911C27" w:rsidR="003552BC" w:rsidRDefault="003552BC" w:rsidP="00F34C5E"/>
    <w:sectPr w:rsidR="003552BC" w:rsidSect="00BF1406">
      <w:footerReference w:type="default" r:id="rId52"/>
      <w:headerReference w:type="first" r:id="rId53"/>
      <w:pgSz w:w="11906" w:h="16838"/>
      <w:pgMar w:top="851" w:right="720" w:bottom="1135"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F981" w14:textId="77777777" w:rsidR="00736D4B" w:rsidRDefault="00736D4B" w:rsidP="00E83C66">
      <w:pPr>
        <w:spacing w:after="0" w:line="240" w:lineRule="auto"/>
      </w:pPr>
      <w:r>
        <w:separator/>
      </w:r>
    </w:p>
  </w:endnote>
  <w:endnote w:type="continuationSeparator" w:id="0">
    <w:p w14:paraId="1DA438E6" w14:textId="77777777" w:rsidR="00736D4B" w:rsidRDefault="00736D4B" w:rsidP="00E83C66">
      <w:pPr>
        <w:spacing w:after="0" w:line="240" w:lineRule="auto"/>
      </w:pPr>
      <w:r>
        <w:continuationSeparator/>
      </w:r>
    </w:p>
  </w:endnote>
  <w:endnote w:type="continuationNotice" w:id="1">
    <w:p w14:paraId="49EE3824" w14:textId="77777777" w:rsidR="00736D4B" w:rsidRDefault="00736D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9288E" w14:textId="6363054F" w:rsidR="00CC4648" w:rsidRPr="00003E35" w:rsidRDefault="00CC4648" w:rsidP="00003E35">
    <w:pPr>
      <w:pStyle w:val="Footer"/>
    </w:pPr>
    <w:r w:rsidRPr="00003E35">
      <w:t xml:space="preserve">Shared care protocol: </w:t>
    </w:r>
    <w:r w:rsidR="00946787">
      <w:t>amiodarone</w:t>
    </w:r>
    <w:r w:rsidRPr="00003E35">
      <w:t xml:space="preserve"> in adults </w:t>
    </w:r>
    <w:r w:rsidRPr="00003E35">
      <w:tab/>
    </w:r>
    <w:r w:rsidRPr="00003E35">
      <w:tab/>
    </w:r>
    <w:r w:rsidR="00F26074">
      <w:t>HNY</w:t>
    </w:r>
    <w:r w:rsidR="0064598F">
      <w:t xml:space="preserve"> v1.0</w:t>
    </w:r>
  </w:p>
  <w:p w14:paraId="505A2D92" w14:textId="42FA7792" w:rsidR="00BF1406" w:rsidRDefault="00CC4648" w:rsidP="00003E35">
    <w:pPr>
      <w:pStyle w:val="Footer"/>
    </w:pPr>
    <w:r w:rsidRPr="00003E35">
      <w:t xml:space="preserve">Clinical content reviewed by RDTC: </w:t>
    </w:r>
    <w:r w:rsidR="007F080F">
      <w:t>18</w:t>
    </w:r>
    <w:r w:rsidR="007F080F" w:rsidRPr="007F080F">
      <w:rPr>
        <w:vertAlign w:val="superscript"/>
      </w:rPr>
      <w:t>th</w:t>
    </w:r>
    <w:r w:rsidR="007F080F">
      <w:t xml:space="preserve"> October 2023</w:t>
    </w:r>
    <w:r w:rsidRPr="00003E35">
      <w:tab/>
    </w:r>
    <w:r w:rsidR="00116048">
      <w:t xml:space="preserve">                              </w:t>
    </w:r>
    <w:r w:rsidRPr="00003E35">
      <w:t xml:space="preserve">Approved by </w:t>
    </w:r>
    <w:r w:rsidR="00DF7FB3">
      <w:t>HNY</w:t>
    </w:r>
    <w:r w:rsidR="00DF7FB3" w:rsidRPr="00003E35">
      <w:t xml:space="preserve"> </w:t>
    </w:r>
    <w:r w:rsidRPr="00003E35">
      <w:t xml:space="preserve">ICB: </w:t>
    </w:r>
    <w:r w:rsidR="00116048">
      <w:t>02/04/2025</w:t>
    </w:r>
  </w:p>
  <w:p w14:paraId="676D3540" w14:textId="4BCED391" w:rsidR="00C168CC" w:rsidRPr="00C168CC" w:rsidRDefault="00C168CC" w:rsidP="00C168CC">
    <w:pPr>
      <w:pStyle w:val="Footer"/>
      <w:jc w:val="right"/>
    </w:pPr>
    <w:r w:rsidRPr="00C168CC">
      <w:t xml:space="preserve">Page </w:t>
    </w:r>
    <w:r w:rsidRPr="00C168CC">
      <w:fldChar w:fldCharType="begin"/>
    </w:r>
    <w:r w:rsidRPr="00C168CC">
      <w:instrText xml:space="preserve"> PAGE  \* Arabic  \* MERGEFORMAT </w:instrText>
    </w:r>
    <w:r w:rsidRPr="00C168CC">
      <w:fldChar w:fldCharType="separate"/>
    </w:r>
    <w:r w:rsidRPr="00C168CC">
      <w:rPr>
        <w:noProof/>
      </w:rPr>
      <w:t>1</w:t>
    </w:r>
    <w:r w:rsidRPr="00C168CC">
      <w:fldChar w:fldCharType="end"/>
    </w:r>
    <w:r w:rsidRPr="00C168CC">
      <w:t xml:space="preserve"> of </w:t>
    </w:r>
    <w:fldSimple w:instr="NUMPAGES  \* Arabic  \* MERGEFORMAT">
      <w:r w:rsidRPr="00C168CC">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9CE04" w14:textId="77777777" w:rsidR="00736D4B" w:rsidRDefault="00736D4B" w:rsidP="00E83C66">
      <w:pPr>
        <w:spacing w:after="0" w:line="240" w:lineRule="auto"/>
      </w:pPr>
      <w:r>
        <w:separator/>
      </w:r>
    </w:p>
  </w:footnote>
  <w:footnote w:type="continuationSeparator" w:id="0">
    <w:p w14:paraId="67FAD307" w14:textId="77777777" w:rsidR="00736D4B" w:rsidRDefault="00736D4B" w:rsidP="00E83C66">
      <w:pPr>
        <w:spacing w:after="0" w:line="240" w:lineRule="auto"/>
      </w:pPr>
      <w:r>
        <w:continuationSeparator/>
      </w:r>
    </w:p>
  </w:footnote>
  <w:footnote w:type="continuationNotice" w:id="1">
    <w:p w14:paraId="40641EDB" w14:textId="77777777" w:rsidR="00736D4B" w:rsidRDefault="00736D4B">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A3A5F" w14:textId="17EC0373" w:rsidR="008F379E" w:rsidRDefault="008F379E" w:rsidP="003C21D1">
    <w:pPr>
      <w:pStyle w:val="Header"/>
      <w:spacing w:after="0"/>
      <w:rPr>
        <w:b/>
        <w:bCs/>
      </w:rPr>
    </w:pPr>
    <w:r w:rsidRPr="00EC13F4">
      <w:rPr>
        <w:noProof/>
        <w:lang w:eastAsia="en-GB"/>
      </w:rPr>
      <w:drawing>
        <wp:anchor distT="0" distB="0" distL="114300" distR="114300" simplePos="0" relativeHeight="251659264" behindDoc="1" locked="0" layoutInCell="1" allowOverlap="1" wp14:anchorId="6F94F524" wp14:editId="544D014F">
          <wp:simplePos x="0" y="0"/>
          <wp:positionH relativeFrom="margin">
            <wp:align>left</wp:align>
          </wp:positionH>
          <wp:positionV relativeFrom="paragraph">
            <wp:posOffset>-68580</wp:posOffset>
          </wp:positionV>
          <wp:extent cx="2209800" cy="466725"/>
          <wp:effectExtent l="0" t="0" r="0" b="9525"/>
          <wp:wrapTight wrapText="bothSides">
            <wp:wrapPolygon edited="0">
              <wp:start x="0" y="0"/>
              <wp:lineTo x="0" y="21159"/>
              <wp:lineTo x="21414" y="21159"/>
              <wp:lineTo x="21414" y="0"/>
              <wp:lineTo x="0" y="0"/>
            </wp:wrapPolygon>
          </wp:wrapTight>
          <wp:docPr id="21" name="Picture 2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close-up of a logo&#10;&#10;AI-generated content may be incorrect."/>
                  <pic:cNvPicPr/>
                </pic:nvPicPr>
                <pic:blipFill rotWithShape="1">
                  <a:blip r:embed="rId1">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C13F4">
      <w:rPr>
        <w:noProof/>
        <w:lang w:eastAsia="en-GB"/>
      </w:rPr>
      <w:drawing>
        <wp:anchor distT="0" distB="0" distL="114300" distR="114300" simplePos="0" relativeHeight="251661312" behindDoc="1" locked="0" layoutInCell="1" allowOverlap="1" wp14:anchorId="339D3E59" wp14:editId="40EE45DA">
          <wp:simplePos x="0" y="0"/>
          <wp:positionH relativeFrom="margin">
            <wp:posOffset>5367020</wp:posOffset>
          </wp:positionH>
          <wp:positionV relativeFrom="paragraph">
            <wp:posOffset>-248285</wp:posOffset>
          </wp:positionV>
          <wp:extent cx="1259840" cy="766445"/>
          <wp:effectExtent l="0" t="0" r="0" b="0"/>
          <wp:wrapTight wrapText="bothSides">
            <wp:wrapPolygon edited="0">
              <wp:start x="0" y="0"/>
              <wp:lineTo x="0" y="20938"/>
              <wp:lineTo x="21230" y="20938"/>
              <wp:lineTo x="21230" y="0"/>
              <wp:lineTo x="0" y="0"/>
            </wp:wrapPolygon>
          </wp:wrapTight>
          <wp:docPr id="18" name="Picture 18"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close-up of a logo&#10;&#10;AI-generated content may be incorrec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003C21D1">
      <w:rPr>
        <w:b/>
        <w:bCs/>
      </w:rPr>
      <w:tab/>
    </w:r>
  </w:p>
  <w:p w14:paraId="2661F432" w14:textId="77777777" w:rsidR="008F379E" w:rsidRDefault="008F379E" w:rsidP="003C21D1">
    <w:pPr>
      <w:pStyle w:val="Header"/>
      <w:spacing w:after="0"/>
      <w:rPr>
        <w:rStyle w:val="Heading1Char"/>
      </w:rPr>
    </w:pPr>
  </w:p>
  <w:p w14:paraId="034ABC3F" w14:textId="2E2A433B" w:rsidR="00CB6622" w:rsidRPr="003C21D1" w:rsidRDefault="003C21D1" w:rsidP="004E2E8B">
    <w:pPr>
      <w:pStyle w:val="Header"/>
      <w:spacing w:after="0"/>
      <w:jc w:val="right"/>
    </w:pPr>
    <w:r w:rsidRPr="001179FD">
      <w:rPr>
        <w:rStyle w:val="Heading1Char"/>
      </w:rPr>
      <w:t>Shared care protocol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5CE7"/>
    <w:multiLevelType w:val="hybridMultilevel"/>
    <w:tmpl w:val="914692A0"/>
    <w:lvl w:ilvl="0" w:tplc="08090005">
      <w:start w:val="1"/>
      <w:numFmt w:val="bullet"/>
      <w:lvlText w:val=""/>
      <w:lvlJc w:val="left"/>
      <w:pPr>
        <w:ind w:left="2520" w:hanging="360"/>
      </w:pPr>
      <w:rPr>
        <w:rFonts w:ascii="Wingdings" w:hAnsi="Wingdings"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 w15:restartNumberingAfterBreak="0">
    <w:nsid w:val="05AF464B"/>
    <w:multiLevelType w:val="hybridMultilevel"/>
    <w:tmpl w:val="519884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D44F35"/>
    <w:multiLevelType w:val="hybridMultilevel"/>
    <w:tmpl w:val="B81CAE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D73EDF"/>
    <w:multiLevelType w:val="hybridMultilevel"/>
    <w:tmpl w:val="815C3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A23841"/>
    <w:multiLevelType w:val="hybridMultilevel"/>
    <w:tmpl w:val="67CEB5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045B69"/>
    <w:multiLevelType w:val="hybridMultilevel"/>
    <w:tmpl w:val="367695B0"/>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E60A6"/>
    <w:multiLevelType w:val="hybridMultilevel"/>
    <w:tmpl w:val="0CCEB13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6A3C92"/>
    <w:multiLevelType w:val="hybridMultilevel"/>
    <w:tmpl w:val="04A474C8"/>
    <w:lvl w:ilvl="0" w:tplc="E626FE08">
      <w:start w:val="1"/>
      <w:numFmt w:val="bullet"/>
      <w:lvlText w:val=""/>
      <w:lvlJc w:val="left"/>
      <w:pPr>
        <w:ind w:left="644"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84DC7B74">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E6097"/>
    <w:multiLevelType w:val="hybridMultilevel"/>
    <w:tmpl w:val="4EB6247A"/>
    <w:lvl w:ilvl="0" w:tplc="AB30C4F2">
      <w:numFmt w:val="bullet"/>
      <w:lvlText w:val="•"/>
      <w:lvlJc w:val="left"/>
      <w:pPr>
        <w:ind w:left="720" w:hanging="360"/>
      </w:pPr>
      <w:rPr>
        <w:rFonts w:ascii="Arial" w:eastAsiaTheme="minorHAnsi" w:hAnsi="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61B41"/>
    <w:multiLevelType w:val="hybridMultilevel"/>
    <w:tmpl w:val="48043C8C"/>
    <w:lvl w:ilvl="0" w:tplc="08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18314C26"/>
    <w:multiLevelType w:val="hybridMultilevel"/>
    <w:tmpl w:val="421C97FE"/>
    <w:lvl w:ilvl="0" w:tplc="786C6D66">
      <w:start w:val="1"/>
      <w:numFmt w:val="bullet"/>
      <w:lvlText w:val=""/>
      <w:lvlJc w:val="left"/>
      <w:pPr>
        <w:ind w:left="720" w:hanging="360"/>
      </w:pPr>
      <w:rPr>
        <w:rFonts w:ascii="Symbol" w:hAnsi="Symbol"/>
      </w:rPr>
    </w:lvl>
    <w:lvl w:ilvl="1" w:tplc="85A2189E">
      <w:start w:val="1"/>
      <w:numFmt w:val="bullet"/>
      <w:lvlText w:val=""/>
      <w:lvlJc w:val="left"/>
      <w:pPr>
        <w:ind w:left="720" w:hanging="360"/>
      </w:pPr>
      <w:rPr>
        <w:rFonts w:ascii="Symbol" w:hAnsi="Symbol"/>
      </w:rPr>
    </w:lvl>
    <w:lvl w:ilvl="2" w:tplc="D01C5F3A">
      <w:start w:val="1"/>
      <w:numFmt w:val="bullet"/>
      <w:lvlText w:val=""/>
      <w:lvlJc w:val="left"/>
      <w:pPr>
        <w:ind w:left="720" w:hanging="360"/>
      </w:pPr>
      <w:rPr>
        <w:rFonts w:ascii="Symbol" w:hAnsi="Symbol"/>
      </w:rPr>
    </w:lvl>
    <w:lvl w:ilvl="3" w:tplc="CF627270">
      <w:start w:val="1"/>
      <w:numFmt w:val="bullet"/>
      <w:lvlText w:val=""/>
      <w:lvlJc w:val="left"/>
      <w:pPr>
        <w:ind w:left="720" w:hanging="360"/>
      </w:pPr>
      <w:rPr>
        <w:rFonts w:ascii="Symbol" w:hAnsi="Symbol"/>
      </w:rPr>
    </w:lvl>
    <w:lvl w:ilvl="4" w:tplc="B1A8F85A">
      <w:start w:val="1"/>
      <w:numFmt w:val="bullet"/>
      <w:lvlText w:val=""/>
      <w:lvlJc w:val="left"/>
      <w:pPr>
        <w:ind w:left="720" w:hanging="360"/>
      </w:pPr>
      <w:rPr>
        <w:rFonts w:ascii="Symbol" w:hAnsi="Symbol"/>
      </w:rPr>
    </w:lvl>
    <w:lvl w:ilvl="5" w:tplc="17E4D13E">
      <w:start w:val="1"/>
      <w:numFmt w:val="bullet"/>
      <w:lvlText w:val=""/>
      <w:lvlJc w:val="left"/>
      <w:pPr>
        <w:ind w:left="720" w:hanging="360"/>
      </w:pPr>
      <w:rPr>
        <w:rFonts w:ascii="Symbol" w:hAnsi="Symbol"/>
      </w:rPr>
    </w:lvl>
    <w:lvl w:ilvl="6" w:tplc="C4DCB91C">
      <w:start w:val="1"/>
      <w:numFmt w:val="bullet"/>
      <w:lvlText w:val=""/>
      <w:lvlJc w:val="left"/>
      <w:pPr>
        <w:ind w:left="720" w:hanging="360"/>
      </w:pPr>
      <w:rPr>
        <w:rFonts w:ascii="Symbol" w:hAnsi="Symbol"/>
      </w:rPr>
    </w:lvl>
    <w:lvl w:ilvl="7" w:tplc="DBCCB9E6">
      <w:start w:val="1"/>
      <w:numFmt w:val="bullet"/>
      <w:lvlText w:val=""/>
      <w:lvlJc w:val="left"/>
      <w:pPr>
        <w:ind w:left="720" w:hanging="360"/>
      </w:pPr>
      <w:rPr>
        <w:rFonts w:ascii="Symbol" w:hAnsi="Symbol"/>
      </w:rPr>
    </w:lvl>
    <w:lvl w:ilvl="8" w:tplc="5F7EC3B0">
      <w:start w:val="1"/>
      <w:numFmt w:val="bullet"/>
      <w:lvlText w:val=""/>
      <w:lvlJc w:val="left"/>
      <w:pPr>
        <w:ind w:left="720" w:hanging="360"/>
      </w:pPr>
      <w:rPr>
        <w:rFonts w:ascii="Symbol" w:hAnsi="Symbol"/>
      </w:rPr>
    </w:lvl>
  </w:abstractNum>
  <w:abstractNum w:abstractNumId="11" w15:restartNumberingAfterBreak="0">
    <w:nsid w:val="1C470498"/>
    <w:multiLevelType w:val="hybridMultilevel"/>
    <w:tmpl w:val="EE6C3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584CB4"/>
    <w:multiLevelType w:val="hybridMultilevel"/>
    <w:tmpl w:val="95F08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941E9E"/>
    <w:multiLevelType w:val="hybridMultilevel"/>
    <w:tmpl w:val="BF3CFC7A"/>
    <w:lvl w:ilvl="0" w:tplc="F940AB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4A2877"/>
    <w:multiLevelType w:val="hybridMultilevel"/>
    <w:tmpl w:val="979241D0"/>
    <w:lvl w:ilvl="0" w:tplc="9FB8E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8E42DA"/>
    <w:multiLevelType w:val="hybridMultilevel"/>
    <w:tmpl w:val="9BA0E0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C73F66"/>
    <w:multiLevelType w:val="hybridMultilevel"/>
    <w:tmpl w:val="E4449F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D80D61"/>
    <w:multiLevelType w:val="hybridMultilevel"/>
    <w:tmpl w:val="CAF24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935B69"/>
    <w:multiLevelType w:val="hybridMultilevel"/>
    <w:tmpl w:val="2C646F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DE25A1"/>
    <w:multiLevelType w:val="hybridMultilevel"/>
    <w:tmpl w:val="440835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EE2D6B"/>
    <w:multiLevelType w:val="hybridMultilevel"/>
    <w:tmpl w:val="4E8CC78E"/>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D83B6D"/>
    <w:multiLevelType w:val="hybridMultilevel"/>
    <w:tmpl w:val="E9D67A8E"/>
    <w:lvl w:ilvl="0" w:tplc="5A12B89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B069E9"/>
    <w:multiLevelType w:val="hybridMultilevel"/>
    <w:tmpl w:val="97369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0477811"/>
    <w:multiLevelType w:val="hybridMultilevel"/>
    <w:tmpl w:val="F17849AE"/>
    <w:lvl w:ilvl="0" w:tplc="2ECC9050">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1B01E5E"/>
    <w:multiLevelType w:val="hybridMultilevel"/>
    <w:tmpl w:val="7AC095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4A7FE9"/>
    <w:multiLevelType w:val="hybridMultilevel"/>
    <w:tmpl w:val="B31E1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6440DA"/>
    <w:multiLevelType w:val="hybridMultilevel"/>
    <w:tmpl w:val="5ACA7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DB005A"/>
    <w:multiLevelType w:val="hybridMultilevel"/>
    <w:tmpl w:val="770C6174"/>
    <w:lvl w:ilvl="0" w:tplc="AB30C4F2">
      <w:numFmt w:val="bullet"/>
      <w:lvlText w:val="•"/>
      <w:lvlJc w:val="left"/>
      <w:pPr>
        <w:ind w:left="1080" w:hanging="360"/>
      </w:pPr>
      <w:rPr>
        <w:rFonts w:ascii="Arial" w:eastAsiaTheme="minorHAnsi" w:hAnsi="Arial" w:hint="default"/>
        <w:b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1971A72"/>
    <w:multiLevelType w:val="hybridMultilevel"/>
    <w:tmpl w:val="6DBA08C2"/>
    <w:lvl w:ilvl="0" w:tplc="178C9B6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E72D7E"/>
    <w:multiLevelType w:val="hybridMultilevel"/>
    <w:tmpl w:val="A992C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5956018"/>
    <w:multiLevelType w:val="hybridMultilevel"/>
    <w:tmpl w:val="6004E9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7405FB3"/>
    <w:multiLevelType w:val="hybridMultilevel"/>
    <w:tmpl w:val="3D4E336A"/>
    <w:lvl w:ilvl="0" w:tplc="F53A632C">
      <w:start w:val="1"/>
      <w:numFmt w:val="bullet"/>
      <w:lvlText w:val=""/>
      <w:lvlJc w:val="left"/>
      <w:pPr>
        <w:ind w:left="740" w:hanging="360"/>
      </w:pPr>
      <w:rPr>
        <w:rFonts w:ascii="Symbol" w:hAnsi="Symbol"/>
      </w:rPr>
    </w:lvl>
    <w:lvl w:ilvl="1" w:tplc="0B24DABE">
      <w:start w:val="1"/>
      <w:numFmt w:val="bullet"/>
      <w:lvlText w:val=""/>
      <w:lvlJc w:val="left"/>
      <w:pPr>
        <w:ind w:left="740" w:hanging="360"/>
      </w:pPr>
      <w:rPr>
        <w:rFonts w:ascii="Symbol" w:hAnsi="Symbol"/>
      </w:rPr>
    </w:lvl>
    <w:lvl w:ilvl="2" w:tplc="3A2628B2">
      <w:start w:val="1"/>
      <w:numFmt w:val="bullet"/>
      <w:lvlText w:val=""/>
      <w:lvlJc w:val="left"/>
      <w:pPr>
        <w:ind w:left="740" w:hanging="360"/>
      </w:pPr>
      <w:rPr>
        <w:rFonts w:ascii="Symbol" w:hAnsi="Symbol"/>
      </w:rPr>
    </w:lvl>
    <w:lvl w:ilvl="3" w:tplc="985445F8">
      <w:start w:val="1"/>
      <w:numFmt w:val="bullet"/>
      <w:lvlText w:val=""/>
      <w:lvlJc w:val="left"/>
      <w:pPr>
        <w:ind w:left="740" w:hanging="360"/>
      </w:pPr>
      <w:rPr>
        <w:rFonts w:ascii="Symbol" w:hAnsi="Symbol"/>
      </w:rPr>
    </w:lvl>
    <w:lvl w:ilvl="4" w:tplc="BEE8467C">
      <w:start w:val="1"/>
      <w:numFmt w:val="bullet"/>
      <w:lvlText w:val=""/>
      <w:lvlJc w:val="left"/>
      <w:pPr>
        <w:ind w:left="740" w:hanging="360"/>
      </w:pPr>
      <w:rPr>
        <w:rFonts w:ascii="Symbol" w:hAnsi="Symbol"/>
      </w:rPr>
    </w:lvl>
    <w:lvl w:ilvl="5" w:tplc="94168FD4">
      <w:start w:val="1"/>
      <w:numFmt w:val="bullet"/>
      <w:lvlText w:val=""/>
      <w:lvlJc w:val="left"/>
      <w:pPr>
        <w:ind w:left="740" w:hanging="360"/>
      </w:pPr>
      <w:rPr>
        <w:rFonts w:ascii="Symbol" w:hAnsi="Symbol"/>
      </w:rPr>
    </w:lvl>
    <w:lvl w:ilvl="6" w:tplc="272AF04E">
      <w:start w:val="1"/>
      <w:numFmt w:val="bullet"/>
      <w:lvlText w:val=""/>
      <w:lvlJc w:val="left"/>
      <w:pPr>
        <w:ind w:left="740" w:hanging="360"/>
      </w:pPr>
      <w:rPr>
        <w:rFonts w:ascii="Symbol" w:hAnsi="Symbol"/>
      </w:rPr>
    </w:lvl>
    <w:lvl w:ilvl="7" w:tplc="62805864">
      <w:start w:val="1"/>
      <w:numFmt w:val="bullet"/>
      <w:lvlText w:val=""/>
      <w:lvlJc w:val="left"/>
      <w:pPr>
        <w:ind w:left="740" w:hanging="360"/>
      </w:pPr>
      <w:rPr>
        <w:rFonts w:ascii="Symbol" w:hAnsi="Symbol"/>
      </w:rPr>
    </w:lvl>
    <w:lvl w:ilvl="8" w:tplc="84C4C044">
      <w:start w:val="1"/>
      <w:numFmt w:val="bullet"/>
      <w:lvlText w:val=""/>
      <w:lvlJc w:val="left"/>
      <w:pPr>
        <w:ind w:left="740" w:hanging="360"/>
      </w:pPr>
      <w:rPr>
        <w:rFonts w:ascii="Symbol" w:hAnsi="Symbol"/>
      </w:rPr>
    </w:lvl>
  </w:abstractNum>
  <w:abstractNum w:abstractNumId="32" w15:restartNumberingAfterBreak="0">
    <w:nsid w:val="686945C6"/>
    <w:multiLevelType w:val="hybridMultilevel"/>
    <w:tmpl w:val="DB2CC392"/>
    <w:lvl w:ilvl="0" w:tplc="AB30C4F2">
      <w:numFmt w:val="bullet"/>
      <w:lvlText w:val="•"/>
      <w:lvlJc w:val="left"/>
      <w:pPr>
        <w:ind w:left="2520" w:hanging="360"/>
      </w:pPr>
      <w:rPr>
        <w:rFonts w:ascii="Arial" w:eastAsiaTheme="minorHAnsi" w:hAnsi="Arial" w:hint="default"/>
        <w:b w:val="0"/>
        <w:color w:val="auto"/>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3" w15:restartNumberingAfterBreak="0">
    <w:nsid w:val="68DC069E"/>
    <w:multiLevelType w:val="hybridMultilevel"/>
    <w:tmpl w:val="D5C44A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8F25D56"/>
    <w:multiLevelType w:val="hybridMultilevel"/>
    <w:tmpl w:val="F31AD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C7514"/>
    <w:multiLevelType w:val="hybridMultilevel"/>
    <w:tmpl w:val="82E2A0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98727B"/>
    <w:multiLevelType w:val="hybridMultilevel"/>
    <w:tmpl w:val="6B864AA2"/>
    <w:lvl w:ilvl="0" w:tplc="178C9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2641B"/>
    <w:multiLevelType w:val="hybridMultilevel"/>
    <w:tmpl w:val="3C923F64"/>
    <w:lvl w:ilvl="0" w:tplc="9D321D5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574B5D"/>
    <w:multiLevelType w:val="hybridMultilevel"/>
    <w:tmpl w:val="4EA21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0BE03CA"/>
    <w:multiLevelType w:val="hybridMultilevel"/>
    <w:tmpl w:val="8DAEC6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0E5AF9"/>
    <w:multiLevelType w:val="hybridMultilevel"/>
    <w:tmpl w:val="A858E1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4082F82"/>
    <w:multiLevelType w:val="hybridMultilevel"/>
    <w:tmpl w:val="AC76D0C0"/>
    <w:lvl w:ilvl="0" w:tplc="178C9B6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715578"/>
    <w:multiLevelType w:val="hybridMultilevel"/>
    <w:tmpl w:val="43A48068"/>
    <w:lvl w:ilvl="0" w:tplc="32B83B1E">
      <w:start w:val="1"/>
      <w:numFmt w:val="bullet"/>
      <w:pStyle w:val="References"/>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45538373">
    <w:abstractNumId w:val="7"/>
  </w:num>
  <w:num w:numId="2" w16cid:durableId="1224100526">
    <w:abstractNumId w:val="37"/>
  </w:num>
  <w:num w:numId="3" w16cid:durableId="1269267838">
    <w:abstractNumId w:val="21"/>
  </w:num>
  <w:num w:numId="4" w16cid:durableId="1792934587">
    <w:abstractNumId w:val="7"/>
  </w:num>
  <w:num w:numId="5" w16cid:durableId="398984978">
    <w:abstractNumId w:val="16"/>
  </w:num>
  <w:num w:numId="6" w16cid:durableId="1711491000">
    <w:abstractNumId w:val="8"/>
  </w:num>
  <w:num w:numId="7" w16cid:durableId="1389835831">
    <w:abstractNumId w:val="27"/>
  </w:num>
  <w:num w:numId="8" w16cid:durableId="1581595270">
    <w:abstractNumId w:val="32"/>
  </w:num>
  <w:num w:numId="9" w16cid:durableId="971983080">
    <w:abstractNumId w:val="0"/>
  </w:num>
  <w:num w:numId="10" w16cid:durableId="1560628545">
    <w:abstractNumId w:val="39"/>
  </w:num>
  <w:num w:numId="11" w16cid:durableId="1895966269">
    <w:abstractNumId w:val="23"/>
  </w:num>
  <w:num w:numId="12" w16cid:durableId="288975919">
    <w:abstractNumId w:val="13"/>
  </w:num>
  <w:num w:numId="13" w16cid:durableId="1595825104">
    <w:abstractNumId w:val="14"/>
  </w:num>
  <w:num w:numId="14" w16cid:durableId="389427299">
    <w:abstractNumId w:val="42"/>
  </w:num>
  <w:num w:numId="15" w16cid:durableId="1326088107">
    <w:abstractNumId w:val="6"/>
  </w:num>
  <w:num w:numId="16" w16cid:durableId="1199200212">
    <w:abstractNumId w:val="28"/>
  </w:num>
  <w:num w:numId="17" w16cid:durableId="1120151965">
    <w:abstractNumId w:val="5"/>
  </w:num>
  <w:num w:numId="18" w16cid:durableId="1796174488">
    <w:abstractNumId w:val="36"/>
  </w:num>
  <w:num w:numId="19" w16cid:durableId="1552424792">
    <w:abstractNumId w:val="20"/>
  </w:num>
  <w:num w:numId="20" w16cid:durableId="1589534415">
    <w:abstractNumId w:val="23"/>
    <w:lvlOverride w:ilvl="0">
      <w:startOverride w:val="1"/>
    </w:lvlOverride>
  </w:num>
  <w:num w:numId="21" w16cid:durableId="1552962026">
    <w:abstractNumId w:val="41"/>
  </w:num>
  <w:num w:numId="22" w16cid:durableId="658383010">
    <w:abstractNumId w:val="17"/>
  </w:num>
  <w:num w:numId="23" w16cid:durableId="375591055">
    <w:abstractNumId w:val="15"/>
  </w:num>
  <w:num w:numId="24" w16cid:durableId="550772202">
    <w:abstractNumId w:val="26"/>
  </w:num>
  <w:num w:numId="25" w16cid:durableId="1276983454">
    <w:abstractNumId w:val="24"/>
  </w:num>
  <w:num w:numId="26" w16cid:durableId="730541721">
    <w:abstractNumId w:val="34"/>
  </w:num>
  <w:num w:numId="27" w16cid:durableId="1994482158">
    <w:abstractNumId w:val="12"/>
  </w:num>
  <w:num w:numId="28" w16cid:durableId="471676908">
    <w:abstractNumId w:val="3"/>
  </w:num>
  <w:num w:numId="29" w16cid:durableId="2031760162">
    <w:abstractNumId w:val="33"/>
  </w:num>
  <w:num w:numId="30" w16cid:durableId="2072149727">
    <w:abstractNumId w:val="2"/>
  </w:num>
  <w:num w:numId="31" w16cid:durableId="1777480698">
    <w:abstractNumId w:val="19"/>
  </w:num>
  <w:num w:numId="32" w16cid:durableId="1374844284">
    <w:abstractNumId w:val="40"/>
  </w:num>
  <w:num w:numId="33" w16cid:durableId="735859193">
    <w:abstractNumId w:val="1"/>
  </w:num>
  <w:num w:numId="34" w16cid:durableId="593896887">
    <w:abstractNumId w:val="4"/>
  </w:num>
  <w:num w:numId="35" w16cid:durableId="80612885">
    <w:abstractNumId w:val="38"/>
  </w:num>
  <w:num w:numId="36" w16cid:durableId="1301955089">
    <w:abstractNumId w:val="22"/>
  </w:num>
  <w:num w:numId="37" w16cid:durableId="643387427">
    <w:abstractNumId w:val="11"/>
  </w:num>
  <w:num w:numId="38" w16cid:durableId="495727423">
    <w:abstractNumId w:val="30"/>
  </w:num>
  <w:num w:numId="39" w16cid:durableId="1173447913">
    <w:abstractNumId w:val="31"/>
  </w:num>
  <w:num w:numId="40" w16cid:durableId="2037151764">
    <w:abstractNumId w:val="25"/>
  </w:num>
  <w:num w:numId="41" w16cid:durableId="612591037">
    <w:abstractNumId w:val="18"/>
  </w:num>
  <w:num w:numId="42" w16cid:durableId="1361206612">
    <w:abstractNumId w:val="9"/>
  </w:num>
  <w:num w:numId="43" w16cid:durableId="1568221179">
    <w:abstractNumId w:val="10"/>
  </w:num>
  <w:num w:numId="44" w16cid:durableId="688411385">
    <w:abstractNumId w:val="29"/>
  </w:num>
  <w:num w:numId="45" w16cid:durableId="21366006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comment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zNDEwNbW0NAWS5ko6SsGpxcWZ+XkgBaa1AJeahIYsAAAA"/>
  </w:docVars>
  <w:rsids>
    <w:rsidRoot w:val="00E83C66"/>
    <w:rsid w:val="0000165C"/>
    <w:rsid w:val="00003E35"/>
    <w:rsid w:val="000058E7"/>
    <w:rsid w:val="00005FC7"/>
    <w:rsid w:val="00006013"/>
    <w:rsid w:val="00013A73"/>
    <w:rsid w:val="00015D1D"/>
    <w:rsid w:val="00021009"/>
    <w:rsid w:val="00021956"/>
    <w:rsid w:val="00023A66"/>
    <w:rsid w:val="0002435C"/>
    <w:rsid w:val="00026645"/>
    <w:rsid w:val="0003097B"/>
    <w:rsid w:val="00032724"/>
    <w:rsid w:val="00035AE8"/>
    <w:rsid w:val="00036678"/>
    <w:rsid w:val="00044DF9"/>
    <w:rsid w:val="00057CD1"/>
    <w:rsid w:val="00062885"/>
    <w:rsid w:val="00092750"/>
    <w:rsid w:val="000950C8"/>
    <w:rsid w:val="000A0ECA"/>
    <w:rsid w:val="000A653A"/>
    <w:rsid w:val="000C21A8"/>
    <w:rsid w:val="000C2886"/>
    <w:rsid w:val="000D080C"/>
    <w:rsid w:val="000E16B2"/>
    <w:rsid w:val="000E1A49"/>
    <w:rsid w:val="000E2D8B"/>
    <w:rsid w:val="000F1BE5"/>
    <w:rsid w:val="000F4219"/>
    <w:rsid w:val="000F48EC"/>
    <w:rsid w:val="000F53A2"/>
    <w:rsid w:val="000F5E8F"/>
    <w:rsid w:val="000F68E2"/>
    <w:rsid w:val="001026FB"/>
    <w:rsid w:val="00107E8A"/>
    <w:rsid w:val="001123BA"/>
    <w:rsid w:val="00116048"/>
    <w:rsid w:val="001179FD"/>
    <w:rsid w:val="001208FF"/>
    <w:rsid w:val="00127BC4"/>
    <w:rsid w:val="00135DDB"/>
    <w:rsid w:val="00140A00"/>
    <w:rsid w:val="00141994"/>
    <w:rsid w:val="00142209"/>
    <w:rsid w:val="001432AE"/>
    <w:rsid w:val="00145D93"/>
    <w:rsid w:val="001479B1"/>
    <w:rsid w:val="00152265"/>
    <w:rsid w:val="00161742"/>
    <w:rsid w:val="00165BA2"/>
    <w:rsid w:val="00170656"/>
    <w:rsid w:val="00173AC1"/>
    <w:rsid w:val="0017424B"/>
    <w:rsid w:val="00177EE9"/>
    <w:rsid w:val="00180953"/>
    <w:rsid w:val="001860C1"/>
    <w:rsid w:val="00190AC9"/>
    <w:rsid w:val="001939C7"/>
    <w:rsid w:val="001946BB"/>
    <w:rsid w:val="001948E2"/>
    <w:rsid w:val="0019640D"/>
    <w:rsid w:val="001978DE"/>
    <w:rsid w:val="001A101D"/>
    <w:rsid w:val="001A51F3"/>
    <w:rsid w:val="001B0E46"/>
    <w:rsid w:val="001B31E9"/>
    <w:rsid w:val="001B694A"/>
    <w:rsid w:val="001B6C1D"/>
    <w:rsid w:val="001C1905"/>
    <w:rsid w:val="001C246F"/>
    <w:rsid w:val="001D0190"/>
    <w:rsid w:val="001D0EF0"/>
    <w:rsid w:val="001D10A2"/>
    <w:rsid w:val="001D2CF1"/>
    <w:rsid w:val="001D5D77"/>
    <w:rsid w:val="001E4A10"/>
    <w:rsid w:val="001E5484"/>
    <w:rsid w:val="001F0D90"/>
    <w:rsid w:val="001F2BF8"/>
    <w:rsid w:val="001F4159"/>
    <w:rsid w:val="00200BBF"/>
    <w:rsid w:val="0020740C"/>
    <w:rsid w:val="00214BDA"/>
    <w:rsid w:val="00224A5C"/>
    <w:rsid w:val="00230850"/>
    <w:rsid w:val="00236EDC"/>
    <w:rsid w:val="002415D5"/>
    <w:rsid w:val="0024547E"/>
    <w:rsid w:val="002477FF"/>
    <w:rsid w:val="00250BA1"/>
    <w:rsid w:val="00251EF7"/>
    <w:rsid w:val="002523EC"/>
    <w:rsid w:val="00253736"/>
    <w:rsid w:val="00261A4B"/>
    <w:rsid w:val="0027038D"/>
    <w:rsid w:val="0027153B"/>
    <w:rsid w:val="00273B12"/>
    <w:rsid w:val="00274A7A"/>
    <w:rsid w:val="0028454D"/>
    <w:rsid w:val="00287772"/>
    <w:rsid w:val="002900B6"/>
    <w:rsid w:val="00297768"/>
    <w:rsid w:val="002A0803"/>
    <w:rsid w:val="002A5E93"/>
    <w:rsid w:val="002B0761"/>
    <w:rsid w:val="002B318E"/>
    <w:rsid w:val="002B3ADD"/>
    <w:rsid w:val="002B45DB"/>
    <w:rsid w:val="002C3506"/>
    <w:rsid w:val="002C4029"/>
    <w:rsid w:val="002C5EE8"/>
    <w:rsid w:val="002D1A25"/>
    <w:rsid w:val="002D4BB4"/>
    <w:rsid w:val="002E2BA7"/>
    <w:rsid w:val="002E580B"/>
    <w:rsid w:val="002F2DEA"/>
    <w:rsid w:val="002F448F"/>
    <w:rsid w:val="002F47EB"/>
    <w:rsid w:val="002F6F07"/>
    <w:rsid w:val="00302122"/>
    <w:rsid w:val="00303331"/>
    <w:rsid w:val="0030335E"/>
    <w:rsid w:val="003036A6"/>
    <w:rsid w:val="00306E44"/>
    <w:rsid w:val="00310861"/>
    <w:rsid w:val="00310E09"/>
    <w:rsid w:val="00314E78"/>
    <w:rsid w:val="00316F74"/>
    <w:rsid w:val="00317A68"/>
    <w:rsid w:val="00320AAD"/>
    <w:rsid w:val="00323120"/>
    <w:rsid w:val="003249D2"/>
    <w:rsid w:val="003263E8"/>
    <w:rsid w:val="003268BD"/>
    <w:rsid w:val="00326BD8"/>
    <w:rsid w:val="003310A9"/>
    <w:rsid w:val="00333A28"/>
    <w:rsid w:val="0034160F"/>
    <w:rsid w:val="00341D88"/>
    <w:rsid w:val="00343C0A"/>
    <w:rsid w:val="00352F67"/>
    <w:rsid w:val="003552BC"/>
    <w:rsid w:val="003558F4"/>
    <w:rsid w:val="00357F6B"/>
    <w:rsid w:val="00360805"/>
    <w:rsid w:val="00360FFA"/>
    <w:rsid w:val="00361167"/>
    <w:rsid w:val="00361FB3"/>
    <w:rsid w:val="0037508C"/>
    <w:rsid w:val="00375C79"/>
    <w:rsid w:val="003802FF"/>
    <w:rsid w:val="00386DAA"/>
    <w:rsid w:val="003931A7"/>
    <w:rsid w:val="0039379F"/>
    <w:rsid w:val="003950CB"/>
    <w:rsid w:val="0039672B"/>
    <w:rsid w:val="00396E2D"/>
    <w:rsid w:val="0039730C"/>
    <w:rsid w:val="003A4127"/>
    <w:rsid w:val="003A4B07"/>
    <w:rsid w:val="003B0970"/>
    <w:rsid w:val="003B3F51"/>
    <w:rsid w:val="003B5125"/>
    <w:rsid w:val="003C03D6"/>
    <w:rsid w:val="003C0B49"/>
    <w:rsid w:val="003C21D1"/>
    <w:rsid w:val="003C2558"/>
    <w:rsid w:val="003D01FE"/>
    <w:rsid w:val="003D2022"/>
    <w:rsid w:val="003D4253"/>
    <w:rsid w:val="003D53B2"/>
    <w:rsid w:val="003D7A68"/>
    <w:rsid w:val="003E5AD7"/>
    <w:rsid w:val="003E7840"/>
    <w:rsid w:val="003F0113"/>
    <w:rsid w:val="003F2C46"/>
    <w:rsid w:val="003F440F"/>
    <w:rsid w:val="003F646D"/>
    <w:rsid w:val="003F7161"/>
    <w:rsid w:val="00400E02"/>
    <w:rsid w:val="0040159E"/>
    <w:rsid w:val="004024D1"/>
    <w:rsid w:val="00403F47"/>
    <w:rsid w:val="0041005A"/>
    <w:rsid w:val="004114D6"/>
    <w:rsid w:val="00413F90"/>
    <w:rsid w:val="0041687B"/>
    <w:rsid w:val="004175CD"/>
    <w:rsid w:val="00420944"/>
    <w:rsid w:val="00432CCD"/>
    <w:rsid w:val="0044347D"/>
    <w:rsid w:val="004438CF"/>
    <w:rsid w:val="00447C21"/>
    <w:rsid w:val="0045244A"/>
    <w:rsid w:val="004532C6"/>
    <w:rsid w:val="00456337"/>
    <w:rsid w:val="00462329"/>
    <w:rsid w:val="00485359"/>
    <w:rsid w:val="004864D7"/>
    <w:rsid w:val="004912A2"/>
    <w:rsid w:val="004968DC"/>
    <w:rsid w:val="004A20BD"/>
    <w:rsid w:val="004A28EF"/>
    <w:rsid w:val="004A4D94"/>
    <w:rsid w:val="004A5F57"/>
    <w:rsid w:val="004B05FA"/>
    <w:rsid w:val="004B25D8"/>
    <w:rsid w:val="004B6FA7"/>
    <w:rsid w:val="004B7BBD"/>
    <w:rsid w:val="004C0D86"/>
    <w:rsid w:val="004C2598"/>
    <w:rsid w:val="004C31F8"/>
    <w:rsid w:val="004C7302"/>
    <w:rsid w:val="004D17A2"/>
    <w:rsid w:val="004D46F6"/>
    <w:rsid w:val="004D5B8A"/>
    <w:rsid w:val="004E2E8B"/>
    <w:rsid w:val="004E5EB8"/>
    <w:rsid w:val="004F2781"/>
    <w:rsid w:val="004F4555"/>
    <w:rsid w:val="005012B0"/>
    <w:rsid w:val="00502B61"/>
    <w:rsid w:val="00506517"/>
    <w:rsid w:val="0051526F"/>
    <w:rsid w:val="00515CB1"/>
    <w:rsid w:val="00516E8D"/>
    <w:rsid w:val="00517DC6"/>
    <w:rsid w:val="00521A7D"/>
    <w:rsid w:val="00521D64"/>
    <w:rsid w:val="005221E5"/>
    <w:rsid w:val="0053459F"/>
    <w:rsid w:val="00535162"/>
    <w:rsid w:val="0053551A"/>
    <w:rsid w:val="00537F63"/>
    <w:rsid w:val="00541CF7"/>
    <w:rsid w:val="005432DD"/>
    <w:rsid w:val="005442E2"/>
    <w:rsid w:val="00545443"/>
    <w:rsid w:val="00547308"/>
    <w:rsid w:val="00547AA5"/>
    <w:rsid w:val="0055256C"/>
    <w:rsid w:val="005529B0"/>
    <w:rsid w:val="00561F39"/>
    <w:rsid w:val="00565352"/>
    <w:rsid w:val="00572DB9"/>
    <w:rsid w:val="0057400B"/>
    <w:rsid w:val="00581703"/>
    <w:rsid w:val="0058556A"/>
    <w:rsid w:val="00592565"/>
    <w:rsid w:val="0059282E"/>
    <w:rsid w:val="005A0949"/>
    <w:rsid w:val="005A5F28"/>
    <w:rsid w:val="005A633C"/>
    <w:rsid w:val="005A7119"/>
    <w:rsid w:val="005B4298"/>
    <w:rsid w:val="005B4BAE"/>
    <w:rsid w:val="005B7F7A"/>
    <w:rsid w:val="005C32D8"/>
    <w:rsid w:val="005D05B1"/>
    <w:rsid w:val="005D105B"/>
    <w:rsid w:val="005D27FE"/>
    <w:rsid w:val="005D416F"/>
    <w:rsid w:val="005D56F3"/>
    <w:rsid w:val="005D75B4"/>
    <w:rsid w:val="005D79FA"/>
    <w:rsid w:val="005E6901"/>
    <w:rsid w:val="005F346E"/>
    <w:rsid w:val="005F3D83"/>
    <w:rsid w:val="005F4329"/>
    <w:rsid w:val="006077B3"/>
    <w:rsid w:val="00613294"/>
    <w:rsid w:val="00614B8B"/>
    <w:rsid w:val="0061764B"/>
    <w:rsid w:val="006179D7"/>
    <w:rsid w:val="0062204F"/>
    <w:rsid w:val="006247FA"/>
    <w:rsid w:val="00626457"/>
    <w:rsid w:val="0063597C"/>
    <w:rsid w:val="00637EA6"/>
    <w:rsid w:val="00641F7D"/>
    <w:rsid w:val="00643FC9"/>
    <w:rsid w:val="00644539"/>
    <w:rsid w:val="0064598F"/>
    <w:rsid w:val="00647492"/>
    <w:rsid w:val="0065325B"/>
    <w:rsid w:val="00656044"/>
    <w:rsid w:val="00661A75"/>
    <w:rsid w:val="00665DE0"/>
    <w:rsid w:val="00666830"/>
    <w:rsid w:val="006706F6"/>
    <w:rsid w:val="00672BCA"/>
    <w:rsid w:val="006837B0"/>
    <w:rsid w:val="00683C92"/>
    <w:rsid w:val="0068627A"/>
    <w:rsid w:val="006876AB"/>
    <w:rsid w:val="00692AD5"/>
    <w:rsid w:val="006941D6"/>
    <w:rsid w:val="00694531"/>
    <w:rsid w:val="00696EFE"/>
    <w:rsid w:val="006A333F"/>
    <w:rsid w:val="006A3C6A"/>
    <w:rsid w:val="006A6B10"/>
    <w:rsid w:val="006B0476"/>
    <w:rsid w:val="006B7253"/>
    <w:rsid w:val="006B7712"/>
    <w:rsid w:val="006C3870"/>
    <w:rsid w:val="006C4654"/>
    <w:rsid w:val="006C6692"/>
    <w:rsid w:val="006D277B"/>
    <w:rsid w:val="006E062E"/>
    <w:rsid w:val="006E5307"/>
    <w:rsid w:val="006F1403"/>
    <w:rsid w:val="006F216C"/>
    <w:rsid w:val="006F2BD8"/>
    <w:rsid w:val="006F5452"/>
    <w:rsid w:val="006F5C79"/>
    <w:rsid w:val="007015BE"/>
    <w:rsid w:val="00703459"/>
    <w:rsid w:val="007039EB"/>
    <w:rsid w:val="00716C9C"/>
    <w:rsid w:val="00721E7A"/>
    <w:rsid w:val="00731C87"/>
    <w:rsid w:val="007333E4"/>
    <w:rsid w:val="0073466F"/>
    <w:rsid w:val="00736D4B"/>
    <w:rsid w:val="00737413"/>
    <w:rsid w:val="0074146A"/>
    <w:rsid w:val="007426EA"/>
    <w:rsid w:val="00743437"/>
    <w:rsid w:val="00747226"/>
    <w:rsid w:val="00747D63"/>
    <w:rsid w:val="007525E6"/>
    <w:rsid w:val="00754B37"/>
    <w:rsid w:val="00756EF7"/>
    <w:rsid w:val="00761FA3"/>
    <w:rsid w:val="00767B99"/>
    <w:rsid w:val="007717AC"/>
    <w:rsid w:val="00773BFF"/>
    <w:rsid w:val="00776295"/>
    <w:rsid w:val="0078680E"/>
    <w:rsid w:val="0079308C"/>
    <w:rsid w:val="00793DEE"/>
    <w:rsid w:val="007A2F8D"/>
    <w:rsid w:val="007A3942"/>
    <w:rsid w:val="007A4CEB"/>
    <w:rsid w:val="007A6AB9"/>
    <w:rsid w:val="007A703C"/>
    <w:rsid w:val="007C0674"/>
    <w:rsid w:val="007C4D6B"/>
    <w:rsid w:val="007D0860"/>
    <w:rsid w:val="007D49ED"/>
    <w:rsid w:val="007D5D70"/>
    <w:rsid w:val="007E1483"/>
    <w:rsid w:val="007E2658"/>
    <w:rsid w:val="007F080F"/>
    <w:rsid w:val="007F2776"/>
    <w:rsid w:val="007F5A80"/>
    <w:rsid w:val="007F76B7"/>
    <w:rsid w:val="0080432B"/>
    <w:rsid w:val="0081160F"/>
    <w:rsid w:val="00812579"/>
    <w:rsid w:val="008128B6"/>
    <w:rsid w:val="00813FDD"/>
    <w:rsid w:val="00822A8E"/>
    <w:rsid w:val="00824D10"/>
    <w:rsid w:val="00834811"/>
    <w:rsid w:val="0083681D"/>
    <w:rsid w:val="00850521"/>
    <w:rsid w:val="0085244E"/>
    <w:rsid w:val="00854C79"/>
    <w:rsid w:val="00855246"/>
    <w:rsid w:val="008577EE"/>
    <w:rsid w:val="00857AF2"/>
    <w:rsid w:val="00857D13"/>
    <w:rsid w:val="00864066"/>
    <w:rsid w:val="00870582"/>
    <w:rsid w:val="00871AB3"/>
    <w:rsid w:val="00885224"/>
    <w:rsid w:val="00885377"/>
    <w:rsid w:val="008875AD"/>
    <w:rsid w:val="00890C0E"/>
    <w:rsid w:val="00891257"/>
    <w:rsid w:val="0089223A"/>
    <w:rsid w:val="00893011"/>
    <w:rsid w:val="0089560C"/>
    <w:rsid w:val="008A1C28"/>
    <w:rsid w:val="008A7289"/>
    <w:rsid w:val="008B0E0B"/>
    <w:rsid w:val="008B6321"/>
    <w:rsid w:val="008B7307"/>
    <w:rsid w:val="008C5DE7"/>
    <w:rsid w:val="008C5DF2"/>
    <w:rsid w:val="008C6935"/>
    <w:rsid w:val="008C732D"/>
    <w:rsid w:val="008C759F"/>
    <w:rsid w:val="008D52D9"/>
    <w:rsid w:val="008D6C16"/>
    <w:rsid w:val="008E223E"/>
    <w:rsid w:val="008F379E"/>
    <w:rsid w:val="008F6069"/>
    <w:rsid w:val="008F6407"/>
    <w:rsid w:val="008F7C48"/>
    <w:rsid w:val="009017A2"/>
    <w:rsid w:val="00904B9E"/>
    <w:rsid w:val="00907F01"/>
    <w:rsid w:val="00913319"/>
    <w:rsid w:val="00913C81"/>
    <w:rsid w:val="00914836"/>
    <w:rsid w:val="00915E09"/>
    <w:rsid w:val="00921203"/>
    <w:rsid w:val="00924D4C"/>
    <w:rsid w:val="00925D95"/>
    <w:rsid w:val="00927BD7"/>
    <w:rsid w:val="0093064C"/>
    <w:rsid w:val="00931C98"/>
    <w:rsid w:val="009331B2"/>
    <w:rsid w:val="00934454"/>
    <w:rsid w:val="00934919"/>
    <w:rsid w:val="0094328F"/>
    <w:rsid w:val="00944F42"/>
    <w:rsid w:val="00946787"/>
    <w:rsid w:val="009510E4"/>
    <w:rsid w:val="00952F29"/>
    <w:rsid w:val="0095396C"/>
    <w:rsid w:val="009553B6"/>
    <w:rsid w:val="00955587"/>
    <w:rsid w:val="00955D77"/>
    <w:rsid w:val="0096376B"/>
    <w:rsid w:val="0096381D"/>
    <w:rsid w:val="00971FA7"/>
    <w:rsid w:val="009727D6"/>
    <w:rsid w:val="00974382"/>
    <w:rsid w:val="00977019"/>
    <w:rsid w:val="00977956"/>
    <w:rsid w:val="009827DB"/>
    <w:rsid w:val="00983558"/>
    <w:rsid w:val="0098487D"/>
    <w:rsid w:val="00986C24"/>
    <w:rsid w:val="00987128"/>
    <w:rsid w:val="00990069"/>
    <w:rsid w:val="0099141A"/>
    <w:rsid w:val="00994B90"/>
    <w:rsid w:val="00997659"/>
    <w:rsid w:val="009A1A10"/>
    <w:rsid w:val="009A2B89"/>
    <w:rsid w:val="009A325F"/>
    <w:rsid w:val="009B21F3"/>
    <w:rsid w:val="009B4751"/>
    <w:rsid w:val="009C1858"/>
    <w:rsid w:val="009C34A6"/>
    <w:rsid w:val="009C3964"/>
    <w:rsid w:val="009C40E4"/>
    <w:rsid w:val="009C54BE"/>
    <w:rsid w:val="009C64D5"/>
    <w:rsid w:val="009C7155"/>
    <w:rsid w:val="009D0700"/>
    <w:rsid w:val="009D28E8"/>
    <w:rsid w:val="009D3C59"/>
    <w:rsid w:val="009D5234"/>
    <w:rsid w:val="009D58BA"/>
    <w:rsid w:val="009E2B63"/>
    <w:rsid w:val="009E2C50"/>
    <w:rsid w:val="009E48D1"/>
    <w:rsid w:val="009E6EBF"/>
    <w:rsid w:val="009E7120"/>
    <w:rsid w:val="009E76E0"/>
    <w:rsid w:val="009F106E"/>
    <w:rsid w:val="009F147B"/>
    <w:rsid w:val="009F2FB2"/>
    <w:rsid w:val="009F3CD7"/>
    <w:rsid w:val="009F495B"/>
    <w:rsid w:val="009F60DF"/>
    <w:rsid w:val="009F793C"/>
    <w:rsid w:val="00A00E16"/>
    <w:rsid w:val="00A02ED4"/>
    <w:rsid w:val="00A03131"/>
    <w:rsid w:val="00A07375"/>
    <w:rsid w:val="00A12D08"/>
    <w:rsid w:val="00A1326D"/>
    <w:rsid w:val="00A218D8"/>
    <w:rsid w:val="00A23014"/>
    <w:rsid w:val="00A238E8"/>
    <w:rsid w:val="00A34E93"/>
    <w:rsid w:val="00A34F87"/>
    <w:rsid w:val="00A44140"/>
    <w:rsid w:val="00A51C33"/>
    <w:rsid w:val="00A56C9B"/>
    <w:rsid w:val="00A62C68"/>
    <w:rsid w:val="00A65731"/>
    <w:rsid w:val="00A738AC"/>
    <w:rsid w:val="00A75F2A"/>
    <w:rsid w:val="00A7767F"/>
    <w:rsid w:val="00A8115C"/>
    <w:rsid w:val="00A851AF"/>
    <w:rsid w:val="00A866B1"/>
    <w:rsid w:val="00A87E4E"/>
    <w:rsid w:val="00A93496"/>
    <w:rsid w:val="00A94F8D"/>
    <w:rsid w:val="00AA054A"/>
    <w:rsid w:val="00AA1FC8"/>
    <w:rsid w:val="00AA22B8"/>
    <w:rsid w:val="00AA2DB4"/>
    <w:rsid w:val="00AA77AA"/>
    <w:rsid w:val="00AB5625"/>
    <w:rsid w:val="00AB5FFA"/>
    <w:rsid w:val="00AC43E3"/>
    <w:rsid w:val="00AD29EE"/>
    <w:rsid w:val="00AE0E89"/>
    <w:rsid w:val="00AE6B64"/>
    <w:rsid w:val="00AF3702"/>
    <w:rsid w:val="00AF3BD9"/>
    <w:rsid w:val="00AF6D9B"/>
    <w:rsid w:val="00B00BA2"/>
    <w:rsid w:val="00B02888"/>
    <w:rsid w:val="00B1162A"/>
    <w:rsid w:val="00B140AC"/>
    <w:rsid w:val="00B144E9"/>
    <w:rsid w:val="00B205B1"/>
    <w:rsid w:val="00B211F5"/>
    <w:rsid w:val="00B26BC0"/>
    <w:rsid w:val="00B32818"/>
    <w:rsid w:val="00B34E46"/>
    <w:rsid w:val="00B37609"/>
    <w:rsid w:val="00B42BE9"/>
    <w:rsid w:val="00B448FF"/>
    <w:rsid w:val="00B57456"/>
    <w:rsid w:val="00B6384A"/>
    <w:rsid w:val="00B6423F"/>
    <w:rsid w:val="00B7076B"/>
    <w:rsid w:val="00B71E59"/>
    <w:rsid w:val="00B72AC4"/>
    <w:rsid w:val="00B73F57"/>
    <w:rsid w:val="00B802D9"/>
    <w:rsid w:val="00B8340C"/>
    <w:rsid w:val="00B87200"/>
    <w:rsid w:val="00B917CE"/>
    <w:rsid w:val="00BA2628"/>
    <w:rsid w:val="00BA47E9"/>
    <w:rsid w:val="00BA5689"/>
    <w:rsid w:val="00BA59D4"/>
    <w:rsid w:val="00BB4167"/>
    <w:rsid w:val="00BB48AA"/>
    <w:rsid w:val="00BB50BD"/>
    <w:rsid w:val="00BB59D7"/>
    <w:rsid w:val="00BB74DE"/>
    <w:rsid w:val="00BC10C0"/>
    <w:rsid w:val="00BD117A"/>
    <w:rsid w:val="00BD5C81"/>
    <w:rsid w:val="00BE0C8B"/>
    <w:rsid w:val="00BE22FC"/>
    <w:rsid w:val="00BE36F4"/>
    <w:rsid w:val="00BE5563"/>
    <w:rsid w:val="00BE765E"/>
    <w:rsid w:val="00BE77CD"/>
    <w:rsid w:val="00BF1406"/>
    <w:rsid w:val="00BF174A"/>
    <w:rsid w:val="00BF634E"/>
    <w:rsid w:val="00C013FB"/>
    <w:rsid w:val="00C035A7"/>
    <w:rsid w:val="00C047D6"/>
    <w:rsid w:val="00C068F7"/>
    <w:rsid w:val="00C06D95"/>
    <w:rsid w:val="00C10A49"/>
    <w:rsid w:val="00C15C81"/>
    <w:rsid w:val="00C168CC"/>
    <w:rsid w:val="00C2040F"/>
    <w:rsid w:val="00C277D8"/>
    <w:rsid w:val="00C3123A"/>
    <w:rsid w:val="00C31FE5"/>
    <w:rsid w:val="00C3262E"/>
    <w:rsid w:val="00C36D91"/>
    <w:rsid w:val="00C54C9D"/>
    <w:rsid w:val="00C64E95"/>
    <w:rsid w:val="00C72861"/>
    <w:rsid w:val="00C77A63"/>
    <w:rsid w:val="00C8134B"/>
    <w:rsid w:val="00C8295D"/>
    <w:rsid w:val="00C85274"/>
    <w:rsid w:val="00C94B7A"/>
    <w:rsid w:val="00C95FCE"/>
    <w:rsid w:val="00CA1513"/>
    <w:rsid w:val="00CA706A"/>
    <w:rsid w:val="00CB0B5F"/>
    <w:rsid w:val="00CB0F04"/>
    <w:rsid w:val="00CB457C"/>
    <w:rsid w:val="00CB5E9C"/>
    <w:rsid w:val="00CB5ECE"/>
    <w:rsid w:val="00CB6622"/>
    <w:rsid w:val="00CC00F0"/>
    <w:rsid w:val="00CC4648"/>
    <w:rsid w:val="00CC4B76"/>
    <w:rsid w:val="00CD2BDA"/>
    <w:rsid w:val="00CD41C1"/>
    <w:rsid w:val="00CE22D1"/>
    <w:rsid w:val="00CF1121"/>
    <w:rsid w:val="00CF42CA"/>
    <w:rsid w:val="00CF5D14"/>
    <w:rsid w:val="00D00AC0"/>
    <w:rsid w:val="00D03A33"/>
    <w:rsid w:val="00D04CA9"/>
    <w:rsid w:val="00D13A1C"/>
    <w:rsid w:val="00D13B20"/>
    <w:rsid w:val="00D13E2B"/>
    <w:rsid w:val="00D24F9E"/>
    <w:rsid w:val="00D31D08"/>
    <w:rsid w:val="00D324D4"/>
    <w:rsid w:val="00D3299B"/>
    <w:rsid w:val="00D32FCD"/>
    <w:rsid w:val="00D3719F"/>
    <w:rsid w:val="00D40027"/>
    <w:rsid w:val="00D435FB"/>
    <w:rsid w:val="00D5030F"/>
    <w:rsid w:val="00D51C91"/>
    <w:rsid w:val="00D5468D"/>
    <w:rsid w:val="00D565E0"/>
    <w:rsid w:val="00D61801"/>
    <w:rsid w:val="00D62E9D"/>
    <w:rsid w:val="00D6465A"/>
    <w:rsid w:val="00D6471C"/>
    <w:rsid w:val="00D6535F"/>
    <w:rsid w:val="00D763A0"/>
    <w:rsid w:val="00D77D00"/>
    <w:rsid w:val="00D80BC7"/>
    <w:rsid w:val="00D83656"/>
    <w:rsid w:val="00D84DEF"/>
    <w:rsid w:val="00D85A4D"/>
    <w:rsid w:val="00D91957"/>
    <w:rsid w:val="00D93ABF"/>
    <w:rsid w:val="00D94606"/>
    <w:rsid w:val="00DA207D"/>
    <w:rsid w:val="00DA43EF"/>
    <w:rsid w:val="00DA50AB"/>
    <w:rsid w:val="00DA6373"/>
    <w:rsid w:val="00DA6898"/>
    <w:rsid w:val="00DB1904"/>
    <w:rsid w:val="00DB4462"/>
    <w:rsid w:val="00DB7BE4"/>
    <w:rsid w:val="00DC022E"/>
    <w:rsid w:val="00DC56F7"/>
    <w:rsid w:val="00DC6BC1"/>
    <w:rsid w:val="00DD1964"/>
    <w:rsid w:val="00DD3EC9"/>
    <w:rsid w:val="00DD72FD"/>
    <w:rsid w:val="00DE4D19"/>
    <w:rsid w:val="00DE4EDB"/>
    <w:rsid w:val="00DE5F0F"/>
    <w:rsid w:val="00DE6B93"/>
    <w:rsid w:val="00DF1372"/>
    <w:rsid w:val="00DF53DC"/>
    <w:rsid w:val="00DF546B"/>
    <w:rsid w:val="00DF7FB3"/>
    <w:rsid w:val="00E02748"/>
    <w:rsid w:val="00E02EB3"/>
    <w:rsid w:val="00E050DA"/>
    <w:rsid w:val="00E237BF"/>
    <w:rsid w:val="00E26932"/>
    <w:rsid w:val="00E37AA0"/>
    <w:rsid w:val="00E40774"/>
    <w:rsid w:val="00E41DC1"/>
    <w:rsid w:val="00E42AFA"/>
    <w:rsid w:val="00E441D8"/>
    <w:rsid w:val="00E45F49"/>
    <w:rsid w:val="00E557BF"/>
    <w:rsid w:val="00E57F18"/>
    <w:rsid w:val="00E6086E"/>
    <w:rsid w:val="00E627E6"/>
    <w:rsid w:val="00E6605D"/>
    <w:rsid w:val="00E67648"/>
    <w:rsid w:val="00E70B23"/>
    <w:rsid w:val="00E72BD0"/>
    <w:rsid w:val="00E768F3"/>
    <w:rsid w:val="00E76C93"/>
    <w:rsid w:val="00E83C66"/>
    <w:rsid w:val="00E933BF"/>
    <w:rsid w:val="00E95339"/>
    <w:rsid w:val="00E96169"/>
    <w:rsid w:val="00EA5CA5"/>
    <w:rsid w:val="00EA6E66"/>
    <w:rsid w:val="00EA78BB"/>
    <w:rsid w:val="00EB33A1"/>
    <w:rsid w:val="00EB6ECF"/>
    <w:rsid w:val="00EB73C3"/>
    <w:rsid w:val="00EC0326"/>
    <w:rsid w:val="00EC3273"/>
    <w:rsid w:val="00EC32AE"/>
    <w:rsid w:val="00EC60A1"/>
    <w:rsid w:val="00EC6389"/>
    <w:rsid w:val="00EC702D"/>
    <w:rsid w:val="00ED000B"/>
    <w:rsid w:val="00ED2366"/>
    <w:rsid w:val="00ED7060"/>
    <w:rsid w:val="00ED7C8A"/>
    <w:rsid w:val="00EE22F5"/>
    <w:rsid w:val="00EE3527"/>
    <w:rsid w:val="00EE3DFC"/>
    <w:rsid w:val="00EE455F"/>
    <w:rsid w:val="00EE51EC"/>
    <w:rsid w:val="00EE54D4"/>
    <w:rsid w:val="00EE66E9"/>
    <w:rsid w:val="00EE6A28"/>
    <w:rsid w:val="00EF0329"/>
    <w:rsid w:val="00EF0D5B"/>
    <w:rsid w:val="00EF1CF5"/>
    <w:rsid w:val="00EF31C2"/>
    <w:rsid w:val="00EF4A47"/>
    <w:rsid w:val="00EF55D9"/>
    <w:rsid w:val="00EF71D5"/>
    <w:rsid w:val="00F02A8A"/>
    <w:rsid w:val="00F10F0C"/>
    <w:rsid w:val="00F12BB5"/>
    <w:rsid w:val="00F132AA"/>
    <w:rsid w:val="00F21971"/>
    <w:rsid w:val="00F24018"/>
    <w:rsid w:val="00F26074"/>
    <w:rsid w:val="00F2717B"/>
    <w:rsid w:val="00F321FC"/>
    <w:rsid w:val="00F34C5E"/>
    <w:rsid w:val="00F3541E"/>
    <w:rsid w:val="00F3711C"/>
    <w:rsid w:val="00F37647"/>
    <w:rsid w:val="00F4137E"/>
    <w:rsid w:val="00F42B3C"/>
    <w:rsid w:val="00F43222"/>
    <w:rsid w:val="00F465B4"/>
    <w:rsid w:val="00F51737"/>
    <w:rsid w:val="00F54268"/>
    <w:rsid w:val="00F556DE"/>
    <w:rsid w:val="00F57B58"/>
    <w:rsid w:val="00F617E7"/>
    <w:rsid w:val="00F618AC"/>
    <w:rsid w:val="00F66DA7"/>
    <w:rsid w:val="00F70696"/>
    <w:rsid w:val="00F71253"/>
    <w:rsid w:val="00F7127C"/>
    <w:rsid w:val="00F863CC"/>
    <w:rsid w:val="00F9265B"/>
    <w:rsid w:val="00F96A66"/>
    <w:rsid w:val="00FA1C34"/>
    <w:rsid w:val="00FA30F5"/>
    <w:rsid w:val="00FA5C0B"/>
    <w:rsid w:val="00FB404F"/>
    <w:rsid w:val="00FB49CB"/>
    <w:rsid w:val="00FB7C6B"/>
    <w:rsid w:val="00FD09EE"/>
    <w:rsid w:val="00FD39A1"/>
    <w:rsid w:val="00FD6D26"/>
    <w:rsid w:val="00FE3EEF"/>
    <w:rsid w:val="00FE6F5A"/>
    <w:rsid w:val="00FE7024"/>
    <w:rsid w:val="00FF2DA0"/>
    <w:rsid w:val="00FF2F68"/>
    <w:rsid w:val="00FF4964"/>
    <w:rsid w:val="00FF56D4"/>
    <w:rsid w:val="02CA3629"/>
    <w:rsid w:val="045E97EE"/>
    <w:rsid w:val="06AC947B"/>
    <w:rsid w:val="0ADF87F3"/>
    <w:rsid w:val="0C9E8CE2"/>
    <w:rsid w:val="172C637A"/>
    <w:rsid w:val="1FD56E4E"/>
    <w:rsid w:val="31004419"/>
    <w:rsid w:val="312AFE77"/>
    <w:rsid w:val="4BC05F1D"/>
    <w:rsid w:val="53D33D61"/>
    <w:rsid w:val="576E615D"/>
    <w:rsid w:val="5F65D1D4"/>
    <w:rsid w:val="77B975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B3C3"/>
  <w15:docId w15:val="{0F315DD8-2E50-4A77-8D12-D05E133C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7FF"/>
    <w:pPr>
      <w:spacing w:before="60" w:after="60"/>
    </w:pPr>
    <w:rPr>
      <w:rFonts w:ascii="Arial" w:hAnsi="Arial"/>
    </w:rPr>
  </w:style>
  <w:style w:type="paragraph" w:styleId="Heading1">
    <w:name w:val="heading 1"/>
    <w:basedOn w:val="Header"/>
    <w:next w:val="Normal"/>
    <w:link w:val="Heading1Char"/>
    <w:uiPriority w:val="9"/>
    <w:qFormat/>
    <w:rsid w:val="001179FD"/>
    <w:pPr>
      <w:spacing w:after="0"/>
      <w:outlineLvl w:val="0"/>
    </w:pPr>
    <w:rPr>
      <w:b/>
      <w:bCs/>
      <w:sz w:val="44"/>
      <w:szCs w:val="44"/>
    </w:rPr>
  </w:style>
  <w:style w:type="paragraph" w:styleId="Heading2">
    <w:name w:val="heading 2"/>
    <w:basedOn w:val="Normal"/>
    <w:next w:val="Normal"/>
    <w:link w:val="Heading2Char"/>
    <w:uiPriority w:val="9"/>
    <w:unhideWhenUsed/>
    <w:qFormat/>
    <w:rsid w:val="00ED2366"/>
    <w:pPr>
      <w:keepLines/>
      <w:numPr>
        <w:numId w:val="11"/>
      </w:numPr>
      <w:spacing w:before="40" w:after="0"/>
      <w:ind w:left="357" w:hanging="357"/>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B7253"/>
    <w:pPr>
      <w:keepNext/>
      <w:keepLines/>
      <w:spacing w:before="40" w:after="0"/>
      <w:outlineLvl w:val="2"/>
    </w:pPr>
    <w:rPr>
      <w:rFonts w:eastAsiaTheme="majorEastAsia" w:cstheme="majorBidi"/>
      <w:b/>
      <w:szCs w:val="24"/>
      <w:u w:val="single"/>
    </w:rPr>
  </w:style>
  <w:style w:type="paragraph" w:styleId="Heading4">
    <w:name w:val="heading 4"/>
    <w:basedOn w:val="Normal"/>
    <w:next w:val="Normal"/>
    <w:link w:val="Heading4Char"/>
    <w:uiPriority w:val="9"/>
    <w:unhideWhenUsed/>
    <w:qFormat/>
    <w:rsid w:val="006B7253"/>
    <w:pPr>
      <w:keepNext/>
      <w:keepLines/>
      <w:spacing w:before="40" w:after="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407"/>
    <w:pPr>
      <w:tabs>
        <w:tab w:val="right" w:pos="10433"/>
      </w:tabs>
      <w:spacing w:after="120" w:line="240" w:lineRule="auto"/>
    </w:pPr>
  </w:style>
  <w:style w:type="character" w:customStyle="1" w:styleId="HeaderChar">
    <w:name w:val="Header Char"/>
    <w:basedOn w:val="DefaultParagraphFont"/>
    <w:link w:val="Header"/>
    <w:uiPriority w:val="99"/>
    <w:rsid w:val="008F6407"/>
  </w:style>
  <w:style w:type="paragraph" w:styleId="Footer">
    <w:name w:val="footer"/>
    <w:basedOn w:val="Normal"/>
    <w:link w:val="FooterChar"/>
    <w:uiPriority w:val="99"/>
    <w:unhideWhenUsed/>
    <w:rsid w:val="00003E35"/>
    <w:pPr>
      <w:tabs>
        <w:tab w:val="center" w:pos="8051"/>
        <w:tab w:val="right" w:pos="10433"/>
      </w:tabs>
      <w:spacing w:before="120" w:after="0" w:line="240" w:lineRule="auto"/>
      <w:contextualSpacing/>
    </w:pPr>
    <w:rPr>
      <w:sz w:val="20"/>
      <w:szCs w:val="20"/>
    </w:rPr>
  </w:style>
  <w:style w:type="character" w:customStyle="1" w:styleId="FooterChar">
    <w:name w:val="Footer Char"/>
    <w:basedOn w:val="DefaultParagraphFont"/>
    <w:link w:val="Footer"/>
    <w:uiPriority w:val="99"/>
    <w:rsid w:val="00003E35"/>
    <w:rPr>
      <w:rFonts w:ascii="Arial" w:hAnsi="Arial"/>
      <w:sz w:val="20"/>
      <w:szCs w:val="20"/>
    </w:rPr>
  </w:style>
  <w:style w:type="paragraph" w:customStyle="1" w:styleId="References">
    <w:name w:val="References"/>
    <w:basedOn w:val="ListParagraph"/>
    <w:qFormat/>
    <w:rsid w:val="00A34F87"/>
    <w:pPr>
      <w:numPr>
        <w:numId w:val="14"/>
      </w:numPr>
      <w:spacing w:after="0" w:line="240" w:lineRule="auto"/>
    </w:pPr>
  </w:style>
  <w:style w:type="character" w:styleId="Strong">
    <w:name w:val="Strong"/>
    <w:basedOn w:val="DefaultParagraphFont"/>
    <w:uiPriority w:val="22"/>
    <w:qFormat/>
    <w:rsid w:val="00E83C66"/>
    <w:rPr>
      <w:b/>
      <w:bCs/>
    </w:rPr>
  </w:style>
  <w:style w:type="character" w:styleId="FollowedHyperlink">
    <w:name w:val="FollowedHyperlink"/>
    <w:basedOn w:val="DefaultParagraphFont"/>
    <w:uiPriority w:val="99"/>
    <w:semiHidden/>
    <w:unhideWhenUsed/>
    <w:rsid w:val="00747226"/>
    <w:rPr>
      <w:color w:val="954F72" w:themeColor="followedHyperlink"/>
      <w:u w:val="single"/>
    </w:rPr>
  </w:style>
  <w:style w:type="table" w:styleId="TableGrid">
    <w:name w:val="Table Grid"/>
    <w:basedOn w:val="TableNormal"/>
    <w:uiPriority w:val="39"/>
    <w:rsid w:val="00BB5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2366"/>
    <w:rPr>
      <w:rFonts w:eastAsiaTheme="majorEastAsia" w:cstheme="majorBidi"/>
      <w:b/>
      <w:szCs w:val="26"/>
    </w:rPr>
  </w:style>
  <w:style w:type="character" w:customStyle="1" w:styleId="Heading1Char">
    <w:name w:val="Heading 1 Char"/>
    <w:basedOn w:val="DefaultParagraphFont"/>
    <w:link w:val="Heading1"/>
    <w:uiPriority w:val="9"/>
    <w:rsid w:val="001179FD"/>
    <w:rPr>
      <w:b/>
      <w:bCs/>
      <w:sz w:val="44"/>
      <w:szCs w:val="44"/>
    </w:rPr>
  </w:style>
  <w:style w:type="character" w:customStyle="1" w:styleId="Heading3Char">
    <w:name w:val="Heading 3 Char"/>
    <w:basedOn w:val="DefaultParagraphFont"/>
    <w:link w:val="Heading3"/>
    <w:uiPriority w:val="9"/>
    <w:rsid w:val="006B7253"/>
    <w:rPr>
      <w:rFonts w:ascii="Arial" w:eastAsiaTheme="majorEastAsia" w:hAnsi="Arial" w:cstheme="majorBidi"/>
      <w:b/>
      <w:szCs w:val="24"/>
      <w:u w:val="single"/>
    </w:rPr>
  </w:style>
  <w:style w:type="paragraph" w:styleId="Title">
    <w:name w:val="Title"/>
    <w:basedOn w:val="Normal"/>
    <w:next w:val="Normal"/>
    <w:link w:val="TitleChar"/>
    <w:uiPriority w:val="10"/>
    <w:qFormat/>
    <w:rsid w:val="001522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265"/>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D1A25"/>
    <w:rPr>
      <w:color w:val="0563C1" w:themeColor="hyperlink"/>
      <w:u w:val="single"/>
    </w:rPr>
  </w:style>
  <w:style w:type="character" w:customStyle="1" w:styleId="UnresolvedMention1">
    <w:name w:val="Unresolved Mention1"/>
    <w:basedOn w:val="DefaultParagraphFont"/>
    <w:uiPriority w:val="99"/>
    <w:semiHidden/>
    <w:unhideWhenUsed/>
    <w:rsid w:val="002D1A25"/>
    <w:rPr>
      <w:color w:val="605E5C"/>
      <w:shd w:val="clear" w:color="auto" w:fill="E1DFDD"/>
    </w:rPr>
  </w:style>
  <w:style w:type="character" w:styleId="CommentReference">
    <w:name w:val="annotation reference"/>
    <w:basedOn w:val="DefaultParagraphFont"/>
    <w:uiPriority w:val="99"/>
    <w:semiHidden/>
    <w:unhideWhenUsed/>
    <w:rsid w:val="00592565"/>
    <w:rPr>
      <w:sz w:val="16"/>
      <w:szCs w:val="16"/>
    </w:rPr>
  </w:style>
  <w:style w:type="paragraph" w:styleId="CommentText">
    <w:name w:val="annotation text"/>
    <w:basedOn w:val="Normal"/>
    <w:link w:val="CommentTextChar"/>
    <w:uiPriority w:val="99"/>
    <w:unhideWhenUsed/>
    <w:rsid w:val="00592565"/>
    <w:pPr>
      <w:spacing w:line="240" w:lineRule="auto"/>
    </w:pPr>
    <w:rPr>
      <w:sz w:val="20"/>
      <w:szCs w:val="20"/>
    </w:rPr>
  </w:style>
  <w:style w:type="character" w:customStyle="1" w:styleId="CommentTextChar">
    <w:name w:val="Comment Text Char"/>
    <w:basedOn w:val="DefaultParagraphFont"/>
    <w:link w:val="CommentText"/>
    <w:uiPriority w:val="99"/>
    <w:rsid w:val="00592565"/>
    <w:rPr>
      <w:sz w:val="20"/>
      <w:szCs w:val="20"/>
    </w:rPr>
  </w:style>
  <w:style w:type="paragraph" w:styleId="CommentSubject">
    <w:name w:val="annotation subject"/>
    <w:basedOn w:val="CommentText"/>
    <w:next w:val="CommentText"/>
    <w:link w:val="CommentSubjectChar"/>
    <w:uiPriority w:val="99"/>
    <w:semiHidden/>
    <w:unhideWhenUsed/>
    <w:rsid w:val="00592565"/>
    <w:rPr>
      <w:b/>
      <w:bCs/>
    </w:rPr>
  </w:style>
  <w:style w:type="character" w:customStyle="1" w:styleId="CommentSubjectChar">
    <w:name w:val="Comment Subject Char"/>
    <w:basedOn w:val="CommentTextChar"/>
    <w:link w:val="CommentSubject"/>
    <w:uiPriority w:val="99"/>
    <w:semiHidden/>
    <w:rsid w:val="00592565"/>
    <w:rPr>
      <w:b/>
      <w:bCs/>
      <w:sz w:val="20"/>
      <w:szCs w:val="20"/>
    </w:rPr>
  </w:style>
  <w:style w:type="paragraph" w:styleId="ListParagraph">
    <w:name w:val="List Paragraph"/>
    <w:basedOn w:val="Normal"/>
    <w:uiPriority w:val="34"/>
    <w:qFormat/>
    <w:rsid w:val="00694531"/>
    <w:pPr>
      <w:ind w:left="720"/>
    </w:pPr>
  </w:style>
  <w:style w:type="paragraph" w:customStyle="1" w:styleId="Default">
    <w:name w:val="Default"/>
    <w:rsid w:val="00DA50AB"/>
    <w:pPr>
      <w:autoSpaceDE w:val="0"/>
      <w:autoSpaceDN w:val="0"/>
      <w:adjustRightInd w:val="0"/>
      <w:spacing w:after="0" w:line="240" w:lineRule="auto"/>
    </w:pPr>
    <w:rPr>
      <w:rFonts w:ascii="Calibri" w:hAnsi="Calibri" w:cs="Calibri"/>
      <w:color w:val="000000"/>
      <w:sz w:val="24"/>
      <w:szCs w:val="24"/>
    </w:rPr>
  </w:style>
  <w:style w:type="table" w:customStyle="1" w:styleId="TableGridLight1">
    <w:name w:val="Table Grid Light1"/>
    <w:basedOn w:val="TableNormal"/>
    <w:uiPriority w:val="40"/>
    <w:rsid w:val="00C72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A77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767F"/>
    <w:rPr>
      <w:rFonts w:ascii="Tahoma" w:hAnsi="Tahoma" w:cs="Tahoma"/>
      <w:sz w:val="16"/>
      <w:szCs w:val="16"/>
    </w:rPr>
  </w:style>
  <w:style w:type="character" w:styleId="UnresolvedMention">
    <w:name w:val="Unresolved Mention"/>
    <w:basedOn w:val="DefaultParagraphFont"/>
    <w:uiPriority w:val="99"/>
    <w:semiHidden/>
    <w:unhideWhenUsed/>
    <w:rsid w:val="00904B9E"/>
    <w:rPr>
      <w:color w:val="605E5C"/>
      <w:shd w:val="clear" w:color="auto" w:fill="E1DFDD"/>
    </w:rPr>
  </w:style>
  <w:style w:type="character" w:customStyle="1" w:styleId="Heading4Char">
    <w:name w:val="Heading 4 Char"/>
    <w:basedOn w:val="DefaultParagraphFont"/>
    <w:link w:val="Heading4"/>
    <w:uiPriority w:val="9"/>
    <w:rsid w:val="006B7253"/>
    <w:rPr>
      <w:rFonts w:ascii="Arial" w:eastAsiaTheme="majorEastAsia" w:hAnsi="Arial" w:cstheme="majorBidi"/>
      <w:b/>
      <w:iCs/>
    </w:rPr>
  </w:style>
  <w:style w:type="paragraph" w:styleId="Revision">
    <w:name w:val="Revision"/>
    <w:hidden/>
    <w:uiPriority w:val="99"/>
    <w:semiHidden/>
    <w:rsid w:val="00E41DC1"/>
    <w:pPr>
      <w:spacing w:after="0" w:line="240" w:lineRule="auto"/>
    </w:pPr>
    <w:rPr>
      <w:rFonts w:ascii="Arial" w:hAnsi="Arial"/>
    </w:rPr>
  </w:style>
  <w:style w:type="paragraph" w:styleId="TOCHeading">
    <w:name w:val="TOC Heading"/>
    <w:basedOn w:val="Heading1"/>
    <w:next w:val="Normal"/>
    <w:uiPriority w:val="39"/>
    <w:unhideWhenUsed/>
    <w:qFormat/>
    <w:rsid w:val="00BF174A"/>
    <w:pPr>
      <w:keepNext/>
      <w:keepLines/>
      <w:tabs>
        <w:tab w:val="clear" w:pos="10433"/>
      </w:tab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BF174A"/>
    <w:pPr>
      <w:spacing w:after="100"/>
      <w:ind w:left="220"/>
    </w:pPr>
  </w:style>
  <w:style w:type="paragraph" w:styleId="TOC3">
    <w:name w:val="toc 3"/>
    <w:basedOn w:val="Normal"/>
    <w:next w:val="Normal"/>
    <w:autoRedefine/>
    <w:uiPriority w:val="39"/>
    <w:unhideWhenUsed/>
    <w:rsid w:val="00BF174A"/>
    <w:pPr>
      <w:spacing w:after="100"/>
      <w:ind w:left="440"/>
    </w:pPr>
  </w:style>
  <w:style w:type="character" w:styleId="Mention">
    <w:name w:val="Mention"/>
    <w:basedOn w:val="DefaultParagraphFont"/>
    <w:uiPriority w:val="99"/>
    <w:unhideWhenUsed/>
    <w:rsid w:val="009C54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9076">
      <w:bodyDiv w:val="1"/>
      <w:marLeft w:val="0"/>
      <w:marRight w:val="0"/>
      <w:marTop w:val="0"/>
      <w:marBottom w:val="0"/>
      <w:divBdr>
        <w:top w:val="none" w:sz="0" w:space="0" w:color="auto"/>
        <w:left w:val="none" w:sz="0" w:space="0" w:color="auto"/>
        <w:bottom w:val="none" w:sz="0" w:space="0" w:color="auto"/>
        <w:right w:val="none" w:sz="0" w:space="0" w:color="auto"/>
      </w:divBdr>
    </w:div>
    <w:div w:id="98724605">
      <w:bodyDiv w:val="1"/>
      <w:marLeft w:val="0"/>
      <w:marRight w:val="0"/>
      <w:marTop w:val="0"/>
      <w:marBottom w:val="0"/>
      <w:divBdr>
        <w:top w:val="none" w:sz="0" w:space="0" w:color="auto"/>
        <w:left w:val="none" w:sz="0" w:space="0" w:color="auto"/>
        <w:bottom w:val="none" w:sz="0" w:space="0" w:color="auto"/>
        <w:right w:val="none" w:sz="0" w:space="0" w:color="auto"/>
      </w:divBdr>
    </w:div>
    <w:div w:id="392434290">
      <w:bodyDiv w:val="1"/>
      <w:marLeft w:val="0"/>
      <w:marRight w:val="0"/>
      <w:marTop w:val="0"/>
      <w:marBottom w:val="0"/>
      <w:divBdr>
        <w:top w:val="none" w:sz="0" w:space="0" w:color="auto"/>
        <w:left w:val="none" w:sz="0" w:space="0" w:color="auto"/>
        <w:bottom w:val="none" w:sz="0" w:space="0" w:color="auto"/>
        <w:right w:val="none" w:sz="0" w:space="0" w:color="auto"/>
      </w:divBdr>
    </w:div>
    <w:div w:id="442118525">
      <w:bodyDiv w:val="1"/>
      <w:marLeft w:val="0"/>
      <w:marRight w:val="0"/>
      <w:marTop w:val="0"/>
      <w:marBottom w:val="0"/>
      <w:divBdr>
        <w:top w:val="none" w:sz="0" w:space="0" w:color="auto"/>
        <w:left w:val="none" w:sz="0" w:space="0" w:color="auto"/>
        <w:bottom w:val="none" w:sz="0" w:space="0" w:color="auto"/>
        <w:right w:val="none" w:sz="0" w:space="0" w:color="auto"/>
      </w:divBdr>
    </w:div>
    <w:div w:id="611598489">
      <w:bodyDiv w:val="1"/>
      <w:marLeft w:val="0"/>
      <w:marRight w:val="0"/>
      <w:marTop w:val="0"/>
      <w:marBottom w:val="0"/>
      <w:divBdr>
        <w:top w:val="none" w:sz="0" w:space="0" w:color="auto"/>
        <w:left w:val="none" w:sz="0" w:space="0" w:color="auto"/>
        <w:bottom w:val="none" w:sz="0" w:space="0" w:color="auto"/>
        <w:right w:val="none" w:sz="0" w:space="0" w:color="auto"/>
      </w:divBdr>
    </w:div>
    <w:div w:id="758213889">
      <w:bodyDiv w:val="1"/>
      <w:marLeft w:val="0"/>
      <w:marRight w:val="0"/>
      <w:marTop w:val="0"/>
      <w:marBottom w:val="0"/>
      <w:divBdr>
        <w:top w:val="none" w:sz="0" w:space="0" w:color="auto"/>
        <w:left w:val="none" w:sz="0" w:space="0" w:color="auto"/>
        <w:bottom w:val="none" w:sz="0" w:space="0" w:color="auto"/>
        <w:right w:val="none" w:sz="0" w:space="0" w:color="auto"/>
      </w:divBdr>
    </w:div>
    <w:div w:id="788476080">
      <w:bodyDiv w:val="1"/>
      <w:marLeft w:val="0"/>
      <w:marRight w:val="0"/>
      <w:marTop w:val="0"/>
      <w:marBottom w:val="0"/>
      <w:divBdr>
        <w:top w:val="none" w:sz="0" w:space="0" w:color="auto"/>
        <w:left w:val="none" w:sz="0" w:space="0" w:color="auto"/>
        <w:bottom w:val="none" w:sz="0" w:space="0" w:color="auto"/>
        <w:right w:val="none" w:sz="0" w:space="0" w:color="auto"/>
      </w:divBdr>
    </w:div>
    <w:div w:id="831526969">
      <w:bodyDiv w:val="1"/>
      <w:marLeft w:val="0"/>
      <w:marRight w:val="0"/>
      <w:marTop w:val="0"/>
      <w:marBottom w:val="0"/>
      <w:divBdr>
        <w:top w:val="none" w:sz="0" w:space="0" w:color="auto"/>
        <w:left w:val="none" w:sz="0" w:space="0" w:color="auto"/>
        <w:bottom w:val="none" w:sz="0" w:space="0" w:color="auto"/>
        <w:right w:val="none" w:sz="0" w:space="0" w:color="auto"/>
      </w:divBdr>
    </w:div>
    <w:div w:id="967393288">
      <w:bodyDiv w:val="1"/>
      <w:marLeft w:val="0"/>
      <w:marRight w:val="0"/>
      <w:marTop w:val="0"/>
      <w:marBottom w:val="0"/>
      <w:divBdr>
        <w:top w:val="none" w:sz="0" w:space="0" w:color="auto"/>
        <w:left w:val="none" w:sz="0" w:space="0" w:color="auto"/>
        <w:bottom w:val="none" w:sz="0" w:space="0" w:color="auto"/>
        <w:right w:val="none" w:sz="0" w:space="0" w:color="auto"/>
      </w:divBdr>
    </w:div>
    <w:div w:id="1046831858">
      <w:bodyDiv w:val="1"/>
      <w:marLeft w:val="0"/>
      <w:marRight w:val="0"/>
      <w:marTop w:val="0"/>
      <w:marBottom w:val="0"/>
      <w:divBdr>
        <w:top w:val="none" w:sz="0" w:space="0" w:color="auto"/>
        <w:left w:val="none" w:sz="0" w:space="0" w:color="auto"/>
        <w:bottom w:val="none" w:sz="0" w:space="0" w:color="auto"/>
        <w:right w:val="none" w:sz="0" w:space="0" w:color="auto"/>
      </w:divBdr>
    </w:div>
    <w:div w:id="1260218562">
      <w:bodyDiv w:val="1"/>
      <w:marLeft w:val="0"/>
      <w:marRight w:val="0"/>
      <w:marTop w:val="0"/>
      <w:marBottom w:val="0"/>
      <w:divBdr>
        <w:top w:val="none" w:sz="0" w:space="0" w:color="auto"/>
        <w:left w:val="none" w:sz="0" w:space="0" w:color="auto"/>
        <w:bottom w:val="none" w:sz="0" w:space="0" w:color="auto"/>
        <w:right w:val="none" w:sz="0" w:space="0" w:color="auto"/>
      </w:divBdr>
    </w:div>
    <w:div w:id="1312754261">
      <w:bodyDiv w:val="1"/>
      <w:marLeft w:val="0"/>
      <w:marRight w:val="0"/>
      <w:marTop w:val="0"/>
      <w:marBottom w:val="0"/>
      <w:divBdr>
        <w:top w:val="none" w:sz="0" w:space="0" w:color="auto"/>
        <w:left w:val="none" w:sz="0" w:space="0" w:color="auto"/>
        <w:bottom w:val="none" w:sz="0" w:space="0" w:color="auto"/>
        <w:right w:val="none" w:sz="0" w:space="0" w:color="auto"/>
      </w:divBdr>
    </w:div>
    <w:div w:id="1434281738">
      <w:bodyDiv w:val="1"/>
      <w:marLeft w:val="0"/>
      <w:marRight w:val="0"/>
      <w:marTop w:val="0"/>
      <w:marBottom w:val="0"/>
      <w:divBdr>
        <w:top w:val="none" w:sz="0" w:space="0" w:color="auto"/>
        <w:left w:val="none" w:sz="0" w:space="0" w:color="auto"/>
        <w:bottom w:val="none" w:sz="0" w:space="0" w:color="auto"/>
        <w:right w:val="none" w:sz="0" w:space="0" w:color="auto"/>
      </w:divBdr>
    </w:div>
    <w:div w:id="1468887476">
      <w:bodyDiv w:val="1"/>
      <w:marLeft w:val="0"/>
      <w:marRight w:val="0"/>
      <w:marTop w:val="0"/>
      <w:marBottom w:val="0"/>
      <w:divBdr>
        <w:top w:val="none" w:sz="0" w:space="0" w:color="auto"/>
        <w:left w:val="none" w:sz="0" w:space="0" w:color="auto"/>
        <w:bottom w:val="none" w:sz="0" w:space="0" w:color="auto"/>
        <w:right w:val="none" w:sz="0" w:space="0" w:color="auto"/>
      </w:divBdr>
      <w:divsChild>
        <w:div w:id="2101481922">
          <w:marLeft w:val="0"/>
          <w:marRight w:val="0"/>
          <w:marTop w:val="480"/>
          <w:marBottom w:val="480"/>
          <w:divBdr>
            <w:top w:val="none" w:sz="0" w:space="0" w:color="auto"/>
            <w:left w:val="none" w:sz="0" w:space="0" w:color="auto"/>
            <w:bottom w:val="none" w:sz="0" w:space="0" w:color="auto"/>
            <w:right w:val="none" w:sz="0" w:space="0" w:color="auto"/>
          </w:divBdr>
        </w:div>
      </w:divsChild>
    </w:div>
    <w:div w:id="1583103760">
      <w:bodyDiv w:val="1"/>
      <w:marLeft w:val="0"/>
      <w:marRight w:val="0"/>
      <w:marTop w:val="0"/>
      <w:marBottom w:val="0"/>
      <w:divBdr>
        <w:top w:val="none" w:sz="0" w:space="0" w:color="auto"/>
        <w:left w:val="none" w:sz="0" w:space="0" w:color="auto"/>
        <w:bottom w:val="none" w:sz="0" w:space="0" w:color="auto"/>
        <w:right w:val="none" w:sz="0" w:space="0" w:color="auto"/>
      </w:divBdr>
    </w:div>
    <w:div w:id="1605259600">
      <w:bodyDiv w:val="1"/>
      <w:marLeft w:val="0"/>
      <w:marRight w:val="0"/>
      <w:marTop w:val="0"/>
      <w:marBottom w:val="0"/>
      <w:divBdr>
        <w:top w:val="none" w:sz="0" w:space="0" w:color="auto"/>
        <w:left w:val="none" w:sz="0" w:space="0" w:color="auto"/>
        <w:bottom w:val="none" w:sz="0" w:space="0" w:color="auto"/>
        <w:right w:val="none" w:sz="0" w:space="0" w:color="auto"/>
      </w:divBdr>
    </w:div>
    <w:div w:id="1733887725">
      <w:bodyDiv w:val="1"/>
      <w:marLeft w:val="0"/>
      <w:marRight w:val="0"/>
      <w:marTop w:val="0"/>
      <w:marBottom w:val="0"/>
      <w:divBdr>
        <w:top w:val="none" w:sz="0" w:space="0" w:color="auto"/>
        <w:left w:val="none" w:sz="0" w:space="0" w:color="auto"/>
        <w:bottom w:val="none" w:sz="0" w:space="0" w:color="auto"/>
        <w:right w:val="none" w:sz="0" w:space="0" w:color="auto"/>
      </w:divBdr>
    </w:div>
    <w:div w:id="1868445490">
      <w:bodyDiv w:val="1"/>
      <w:marLeft w:val="0"/>
      <w:marRight w:val="0"/>
      <w:marTop w:val="0"/>
      <w:marBottom w:val="0"/>
      <w:divBdr>
        <w:top w:val="none" w:sz="0" w:space="0" w:color="auto"/>
        <w:left w:val="none" w:sz="0" w:space="0" w:color="auto"/>
        <w:bottom w:val="none" w:sz="0" w:space="0" w:color="auto"/>
        <w:right w:val="none" w:sz="0" w:space="0" w:color="auto"/>
      </w:divBdr>
    </w:div>
    <w:div w:id="1890533152">
      <w:bodyDiv w:val="1"/>
      <w:marLeft w:val="0"/>
      <w:marRight w:val="0"/>
      <w:marTop w:val="0"/>
      <w:marBottom w:val="0"/>
      <w:divBdr>
        <w:top w:val="none" w:sz="0" w:space="0" w:color="auto"/>
        <w:left w:val="none" w:sz="0" w:space="0" w:color="auto"/>
        <w:bottom w:val="none" w:sz="0" w:space="0" w:color="auto"/>
        <w:right w:val="none" w:sz="0" w:space="0" w:color="auto"/>
      </w:divBdr>
    </w:div>
    <w:div w:id="1933708539">
      <w:bodyDiv w:val="1"/>
      <w:marLeft w:val="0"/>
      <w:marRight w:val="0"/>
      <w:marTop w:val="0"/>
      <w:marBottom w:val="0"/>
      <w:divBdr>
        <w:top w:val="none" w:sz="0" w:space="0" w:color="auto"/>
        <w:left w:val="none" w:sz="0" w:space="0" w:color="auto"/>
        <w:bottom w:val="none" w:sz="0" w:space="0" w:color="auto"/>
        <w:right w:val="none" w:sz="0" w:space="0" w:color="auto"/>
      </w:divBdr>
    </w:div>
    <w:div w:id="211382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gland.nhs.uk/long-read/items-which-should-not-routinely-be-prescribed-in-primary-care-policy-guidance/" TargetMode="External"/><Relationship Id="rId18" Type="http://schemas.openxmlformats.org/officeDocument/2006/relationships/hyperlink" Target="https://www.medicines.org.uk/emc/search?q=amiodarone" TargetMode="External"/><Relationship Id="rId26" Type="http://schemas.openxmlformats.org/officeDocument/2006/relationships/hyperlink" Target="http://www.mhra.gov.uk/yellowcard" TargetMode="External"/><Relationship Id="rId39" Type="http://schemas.openxmlformats.org/officeDocument/2006/relationships/hyperlink" Target="https://www.sps.nhs.uk/medicines/amiodarone/" TargetMode="External"/><Relationship Id="rId21" Type="http://schemas.openxmlformats.org/officeDocument/2006/relationships/hyperlink" Target="https://www.medicines.org.uk/emc/search?q=amiodarone" TargetMode="External"/><Relationship Id="rId34" Type="http://schemas.openxmlformats.org/officeDocument/2006/relationships/hyperlink" Target="https://products.mhra.gov.uk/" TargetMode="External"/><Relationship Id="rId42" Type="http://schemas.openxmlformats.org/officeDocument/2006/relationships/hyperlink" Target="https://www.newtguidelines.com/" TargetMode="External"/><Relationship Id="rId47" Type="http://schemas.openxmlformats.org/officeDocument/2006/relationships/hyperlink" Target="https://www.nice.org.uk/guidance/ng145/" TargetMode="External"/><Relationship Id="rId50" Type="http://schemas.openxmlformats.org/officeDocument/2006/relationships/hyperlink" Target="https://www.gmc-uk.org/ethical-guidance/ethical-guidance-for-doctors/good-practice-in-prescribing-and-managing-medicines-and-devices/shared-care"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ps.nhs.uk/home/tools/drug-monitoring/" TargetMode="External"/><Relationship Id="rId29" Type="http://schemas.openxmlformats.org/officeDocument/2006/relationships/hyperlink" Target="https://www.medicines.org.uk/emc/rmm/2415/Document" TargetMode="External"/><Relationship Id="rId11" Type="http://schemas.openxmlformats.org/officeDocument/2006/relationships/hyperlink" Target="https://www.england.nhs.uk/wp-content/uploads/2018/03/responsibility-prescribing-between-primary-secondary-care-v2.pdf" TargetMode="External"/><Relationship Id="rId24" Type="http://schemas.openxmlformats.org/officeDocument/2006/relationships/hyperlink" Target="https://www.medicines.org.uk/emc/search?q=amiodarone" TargetMode="External"/><Relationship Id="rId32" Type="http://schemas.openxmlformats.org/officeDocument/2006/relationships/hyperlink" Target="https://bnf.nice.org.uk/" TargetMode="External"/><Relationship Id="rId37" Type="http://schemas.openxmlformats.org/officeDocument/2006/relationships/hyperlink" Target="https://www.england.nhs.uk/long-read/items-which-should-not-routinely-be-prescribed-in-primary-care-policy-guidance/" TargetMode="External"/><Relationship Id="rId40" Type="http://schemas.openxmlformats.org/officeDocument/2006/relationships/hyperlink" Target="https://www.sps.nhs.uk/monitorings/amiodarone-monitoring/" TargetMode="External"/><Relationship Id="rId45" Type="http://schemas.openxmlformats.org/officeDocument/2006/relationships/hyperlink" Target="https://www.gov.uk/drug-safety-update/amiodarone-cordarone-x-reminder-of-risks-of-treatment-and-need-for-patient-monitoring-and-supervision" TargetMode="External"/><Relationship Id="rId53"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drug-safety-update/amiodarone-cordarone-x-reminder-of-risks-of-treatment-and-need-for-patient-monitoring-and-supervision" TargetMode="External"/><Relationship Id="rId31" Type="http://schemas.openxmlformats.org/officeDocument/2006/relationships/hyperlink" Target="https://www.sps.nhs.uk/medicines/amiodarone/" TargetMode="External"/><Relationship Id="rId44" Type="http://schemas.openxmlformats.org/officeDocument/2006/relationships/hyperlink" Target="https://www.gov.uk/drug-safety-update/simeprevir-with-sofosbuvir-risk-of-severe-bradycardia-and-heart-block-when-taken-with-amiodarone"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ng196/chapter/Recommendations" TargetMode="External"/><Relationship Id="rId22" Type="http://schemas.openxmlformats.org/officeDocument/2006/relationships/hyperlink" Target="https://www.gov.uk/drug-safety-update/sofosbuvir-with-daclatasvir-sofosbuvir-and-ledipasvir-risks-of-severe-bradycardia-and-heart-block-when-taken-with-amiodarone" TargetMode="External"/><Relationship Id="rId27" Type="http://schemas.openxmlformats.org/officeDocument/2006/relationships/hyperlink" Target="https://www.sps.nhs.uk/articles/hypokalaemia/" TargetMode="External"/><Relationship Id="rId30" Type="http://schemas.openxmlformats.org/officeDocument/2006/relationships/hyperlink" Target="https://www.bhf.org.uk/informationsupport/heart-matters-magazine/medical/drug-cabinet/anti-arrhythmics" TargetMode="External"/><Relationship Id="rId35" Type="http://schemas.openxmlformats.org/officeDocument/2006/relationships/hyperlink" Target="https://products.mhra.gov.uk/" TargetMode="External"/><Relationship Id="rId43" Type="http://schemas.openxmlformats.org/officeDocument/2006/relationships/hyperlink" Target="https://www.gov.uk/drug-safety-update/sofosbuvir-with-daclatasvir-sofosbuvir-and-ledipasvir-risks-of-severe-bradycardia-and-heart-block-when-taken-with-amiodarone" TargetMode="External"/><Relationship Id="rId48" Type="http://schemas.openxmlformats.org/officeDocument/2006/relationships/hyperlink" Target="https://www.medicinesresources.nhs.uk/shared-care-for-medicines-guidance-a-standard-approach-rmoc.html" TargetMode="External"/><Relationship Id="rId8" Type="http://schemas.openxmlformats.org/officeDocument/2006/relationships/webSettings" Target="webSettings.xml"/><Relationship Id="rId51" Type="http://schemas.openxmlformats.org/officeDocument/2006/relationships/hyperlink" Target="https://www.nice.org.uk/guidance/ng197/" TargetMode="External"/><Relationship Id="rId3" Type="http://schemas.openxmlformats.org/officeDocument/2006/relationships/customXml" Target="../customXml/item3.xml"/><Relationship Id="rId12" Type="http://schemas.openxmlformats.org/officeDocument/2006/relationships/hyperlink" Target="https://rdtc.nhs.uk/publication-type/shared-care/" TargetMode="External"/><Relationship Id="rId17" Type="http://schemas.openxmlformats.org/officeDocument/2006/relationships/hyperlink" Target="https://bnf.nice.org.uk/drugs/amiodarone-hydrochloride/" TargetMode="External"/><Relationship Id="rId25" Type="http://schemas.openxmlformats.org/officeDocument/2006/relationships/hyperlink" Target="https://www.medicines.org.uk/emc/search?q=amiodarone" TargetMode="External"/><Relationship Id="rId33" Type="http://schemas.openxmlformats.org/officeDocument/2006/relationships/hyperlink" Target="https://www.medicines.org.uk/emc/" TargetMode="External"/><Relationship Id="rId38" Type="http://schemas.openxmlformats.org/officeDocument/2006/relationships/hyperlink" Target="https://www.nice.org.uk/guidance/ng196" TargetMode="External"/><Relationship Id="rId46" Type="http://schemas.openxmlformats.org/officeDocument/2006/relationships/hyperlink" Target="https://www.british-thyroid-association.org/sandbox/bta2016/uk_guidelines_for_the_use_of_thyroid_function_tests.pdf%20on%2026/10/2023" TargetMode="External"/><Relationship Id="rId20" Type="http://schemas.openxmlformats.org/officeDocument/2006/relationships/hyperlink" Target="https://bnf.nice.org.uk/drugs/amiodarone-hydrochloride/" TargetMode="External"/><Relationship Id="rId41" Type="http://schemas.openxmlformats.org/officeDocument/2006/relationships/hyperlink" Target="https://www.ncbi.nlm.nih.gov/books/NBK54810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ps.nhs.uk/monitorings/amiodarone-monitoring/" TargetMode="External"/><Relationship Id="rId23" Type="http://schemas.openxmlformats.org/officeDocument/2006/relationships/hyperlink" Target="https://www.gov.uk/drug-safety-update/simeprevir-with-sofosbuvir-risk-of-severe-bradycardia-and-heart-block-when-taken-with-amiodarone" TargetMode="External"/><Relationship Id="rId28" Type="http://schemas.openxmlformats.org/officeDocument/2006/relationships/hyperlink" Target="https://www.sps.nhs.uk/articles/treating-acute-hypomagnesaemia-in-adults/" TargetMode="External"/><Relationship Id="rId36" Type="http://schemas.openxmlformats.org/officeDocument/2006/relationships/hyperlink" Target="https://www.medicines.org.uk/emc/" TargetMode="External"/><Relationship Id="rId49" Type="http://schemas.openxmlformats.org/officeDocument/2006/relationships/hyperlink" Target="https://www.england.nhs.uk/publication/responsibility-for-prescribing-between-primary-and-secondary-tertiary-car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f8bb99-f63a-4e33-b200-ec62ac311639" xsi:nil="true"/>
    <lcf76f155ced4ddcb4097134ff3c332f xmlns="f20c8ee1-5c4d-4fe6-a884-671ceaf52101">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1174624CA836641BE22D1EB9A9E2204" ma:contentTypeVersion="19" ma:contentTypeDescription="Create a new document." ma:contentTypeScope="" ma:versionID="8c534e726c896b57c82b5b99f4f319a2">
  <xsd:schema xmlns:xsd="http://www.w3.org/2001/XMLSchema" xmlns:xs="http://www.w3.org/2001/XMLSchema" xmlns:p="http://schemas.microsoft.com/office/2006/metadata/properties" xmlns:ns1="http://schemas.microsoft.com/sharepoint/v3" xmlns:ns2="f20c8ee1-5c4d-4fe6-a884-671ceaf52101" xmlns:ns3="daf8bb99-f63a-4e33-b200-ec62ac311639" targetNamespace="http://schemas.microsoft.com/office/2006/metadata/properties" ma:root="true" ma:fieldsID="27677d382d494c3cc9cf583fe71f4b5e" ns1:_="" ns2:_="" ns3:_="">
    <xsd:import namespace="http://schemas.microsoft.com/sharepoint/v3"/>
    <xsd:import namespace="f20c8ee1-5c4d-4fe6-a884-671ceaf52101"/>
    <xsd:import namespace="daf8bb99-f63a-4e33-b200-ec62ac31163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c8ee1-5c4d-4fe6-a884-671ceaf52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f8bb99-f63a-4e33-b200-ec62ac31163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8631231-6f43-4857-8242-87355a4339e9}" ma:internalName="TaxCatchAll" ma:showField="CatchAllData" ma:web="daf8bb99-f63a-4e33-b200-ec62ac31163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F89DA-698B-430F-9822-AD922465335C}">
  <ds:schemaRefs>
    <ds:schemaRef ds:uri="http://schemas.microsoft.com/office/2006/metadata/properties"/>
    <ds:schemaRef ds:uri="http://schemas.microsoft.com/office/infopath/2007/PartnerControls"/>
    <ds:schemaRef ds:uri="daf8bb99-f63a-4e33-b200-ec62ac311639"/>
    <ds:schemaRef ds:uri="f20c8ee1-5c4d-4fe6-a884-671ceaf52101"/>
    <ds:schemaRef ds:uri="http://schemas.microsoft.com/sharepoint/v3"/>
  </ds:schemaRefs>
</ds:datastoreItem>
</file>

<file path=customXml/itemProps2.xml><?xml version="1.0" encoding="utf-8"?>
<ds:datastoreItem xmlns:ds="http://schemas.openxmlformats.org/officeDocument/2006/customXml" ds:itemID="{093E9162-DEC7-44E8-8273-8CB87F1B73B5}">
  <ds:schemaRefs>
    <ds:schemaRef ds:uri="http://schemas.openxmlformats.org/officeDocument/2006/bibliography"/>
  </ds:schemaRefs>
</ds:datastoreItem>
</file>

<file path=customXml/itemProps3.xml><?xml version="1.0" encoding="utf-8"?>
<ds:datastoreItem xmlns:ds="http://schemas.openxmlformats.org/officeDocument/2006/customXml" ds:itemID="{C66AB882-76C8-4C3A-80F2-A88BAF8090B7}">
  <ds:schemaRefs>
    <ds:schemaRef ds:uri="http://schemas.microsoft.com/sharepoint/v3/contenttype/forms"/>
  </ds:schemaRefs>
</ds:datastoreItem>
</file>

<file path=customXml/itemProps4.xml><?xml version="1.0" encoding="utf-8"?>
<ds:datastoreItem xmlns:ds="http://schemas.openxmlformats.org/officeDocument/2006/customXml" ds:itemID="{20FA168E-8D88-48A9-9DD5-1AFD047F36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0c8ee1-5c4d-4fe6-a884-671ceaf52101"/>
    <ds:schemaRef ds:uri="daf8bb99-f63a-4e33-b200-ec62ac311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19</TotalTime>
  <Pages>11</Pages>
  <Words>4705</Words>
  <Characters>26822</Characters>
  <Application>Microsoft Office Word</Application>
  <DocSecurity>0</DocSecurity>
  <Lines>223</Lines>
  <Paragraphs>62</Paragraphs>
  <ScaleCrop>false</ScaleCrop>
  <Company>RLBUHT</Company>
  <LinksUpToDate>false</LinksUpToDate>
  <CharactersWithSpaces>31465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Donlon Kieron (MLCSU)</dc:creator>
  <cp:keywords/>
  <cp:lastModifiedBy>STANIFORTH, Rachel (NHS HUMBER AND NORTH YORKSHIRE ICB - 42D)</cp:lastModifiedBy>
  <cp:revision>13</cp:revision>
  <cp:lastPrinted>2022-03-11T14:19:00Z</cp:lastPrinted>
  <dcterms:created xsi:type="dcterms:W3CDTF">2025-04-03T15:09:00Z</dcterms:created>
  <dcterms:modified xsi:type="dcterms:W3CDTF">2025-04-04T10:16:00Z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0x01010031174624CA836641BE22D1EB9A9E2204</vt:lpwstr>
  </property>
  <property fmtid="{D5CDD505-2E9C-101B-9397-08002B2CF9AE}" pid="3" name="_dlc_DocIdItemGuid">
    <vt:lpwstr>51b1480d-bcbe-4409-8965-5d4ba7a1fe1a</vt:lpwstr>
  </property>
  <property fmtid="{D5CDD505-2E9C-101B-9397-08002B2CF9AE}" pid="4" name="MediaServiceImageTags">
    <vt:lpwstr/>
  </property>
</Properties>
</file>