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42E42373" w14:textId="0CE03517" w:rsidR="00D75224" w:rsidRPr="00D75224" w:rsidRDefault="00D75224" w:rsidP="00D75224">
      <w:pPr>
        <w:pStyle w:val="Heading2"/>
        <w:numPr>
          <w:ilvl w:val="0"/>
          <w:numId w:val="0"/>
        </w:numPr>
        <w:ind w:left="357" w:hanging="357"/>
        <w:jc w:val="center"/>
        <w:rPr>
          <w:sz w:val="28"/>
          <w:szCs w:val="32"/>
        </w:rPr>
      </w:pPr>
      <w:r w:rsidRPr="00D75224">
        <w:rPr>
          <w:sz w:val="28"/>
          <w:szCs w:val="32"/>
        </w:rPr>
        <w:t>Dronedarone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38D33D16" w:rsidR="00812579" w:rsidRDefault="000E2CF5" w:rsidP="00BF1406">
            <w:pPr>
              <w:rPr>
                <w:rFonts w:cs="Arial"/>
              </w:rPr>
            </w:pPr>
            <w:r>
              <w:rPr>
                <w:rFonts w:cs="Arial"/>
              </w:rPr>
              <w:t xml:space="preserve">HNY </w:t>
            </w:r>
            <w:r w:rsidR="007A3852">
              <w:rPr>
                <w:rFonts w:cs="Arial"/>
              </w:rPr>
              <w:t>v1.0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1F4298D8" w:rsidR="00812579" w:rsidRDefault="000E2CF5" w:rsidP="00BF1406">
            <w:pPr>
              <w:rPr>
                <w:rFonts w:cs="Arial"/>
              </w:rPr>
            </w:pPr>
            <w:r>
              <w:rPr>
                <w:rFonts w:cs="Arial"/>
              </w:rPr>
              <w:t xml:space="preserve">RDTC </w:t>
            </w:r>
            <w:r w:rsidR="00FF4986">
              <w:rPr>
                <w:rFonts w:cs="Arial"/>
              </w:rPr>
              <w:t>v1.0</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46BCB88C" w:rsidR="00812579" w:rsidRDefault="00FF4986" w:rsidP="00BF1406">
            <w:pPr>
              <w:rPr>
                <w:rFonts w:cs="Arial"/>
              </w:rPr>
            </w:pPr>
            <w:r>
              <w:rPr>
                <w:rFonts w:cs="Arial"/>
              </w:rPr>
              <w:t>October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5E3D77F0" w:rsidR="00812579" w:rsidRPr="007A3852" w:rsidRDefault="00B934F3" w:rsidP="00BF1406">
            <w:pPr>
              <w:rPr>
                <w:rFonts w:cs="Arial"/>
              </w:rPr>
            </w:pPr>
            <w:r w:rsidRPr="007A3852">
              <w:rPr>
                <w:rFonts w:cs="Arial"/>
              </w:rPr>
              <w:t>October 202</w:t>
            </w:r>
            <w:r w:rsidR="009A5752" w:rsidRPr="007A3852">
              <w:rPr>
                <w:rFonts w:cs="Arial"/>
              </w:rPr>
              <w:t>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64C09081" w:rsidR="00812579" w:rsidRDefault="000B30A5" w:rsidP="00812579">
            <w:pPr>
              <w:rPr>
                <w:rFonts w:cs="Arial"/>
              </w:rPr>
            </w:pPr>
            <w:r>
              <w:rPr>
                <w:rFonts w:cs="Arial"/>
              </w:rPr>
              <w:t>7</w:t>
            </w:r>
            <w:r w:rsidRPr="000B30A5">
              <w:rPr>
                <w:rFonts w:cs="Arial"/>
                <w:vertAlign w:val="superscript"/>
              </w:rPr>
              <w:t>th</w:t>
            </w:r>
            <w:r>
              <w:rPr>
                <w:rFonts w:cs="Arial"/>
              </w:rPr>
              <w:t xml:space="preserve"> December 2023</w:t>
            </w:r>
          </w:p>
        </w:tc>
        <w:tc>
          <w:tcPr>
            <w:tcW w:w="7200" w:type="dxa"/>
          </w:tcPr>
          <w:p w14:paraId="261586B6" w14:textId="237B38A0" w:rsidR="00641F7D" w:rsidRDefault="00FF4986" w:rsidP="007A56FB">
            <w:pPr>
              <w:rPr>
                <w:rFonts w:cs="Arial"/>
              </w:rPr>
            </w:pPr>
            <w:r>
              <w:rPr>
                <w:rFonts w:cs="Arial"/>
              </w:rPr>
              <w:t xml:space="preserve">Hyperlinks updated to link to current resources.  </w:t>
            </w:r>
          </w:p>
          <w:p w14:paraId="0C63E3A0" w14:textId="77777777" w:rsidR="00FF4986" w:rsidRDefault="00FF4986" w:rsidP="007A56FB">
            <w:pPr>
              <w:rPr>
                <w:rFonts w:cs="Arial"/>
                <w:color w:val="000000"/>
              </w:rPr>
            </w:pPr>
            <w:r>
              <w:rPr>
                <w:rFonts w:cs="Arial"/>
                <w:color w:val="000000"/>
              </w:rPr>
              <w:t>Bepridil removed as an interacting drug (no longer marketed)</w:t>
            </w:r>
          </w:p>
          <w:p w14:paraId="36F87864" w14:textId="231DADC7" w:rsidR="00FF4986" w:rsidRPr="00FF4986" w:rsidRDefault="00FF4986" w:rsidP="007A56FB">
            <w:pPr>
              <w:rPr>
                <w:rFonts w:cs="Arial"/>
                <w:color w:val="000000"/>
              </w:rPr>
            </w:pPr>
            <w:r>
              <w:rPr>
                <w:rFonts w:cs="Arial"/>
                <w:color w:val="000000"/>
              </w:rPr>
              <w:t xml:space="preserve">Section 10: Cross reference added to contraindication if HR &lt;50bpm </w:t>
            </w:r>
          </w:p>
        </w:tc>
      </w:tr>
      <w:tr w:rsidR="00812579" w14:paraId="120F2CF5" w14:textId="77777777" w:rsidTr="005A7119">
        <w:tc>
          <w:tcPr>
            <w:tcW w:w="1413" w:type="dxa"/>
          </w:tcPr>
          <w:p w14:paraId="36E8A0C3" w14:textId="53F31EE6" w:rsidR="00812579" w:rsidRDefault="000E2CF5" w:rsidP="00812579">
            <w:pPr>
              <w:rPr>
                <w:rFonts w:cs="Arial"/>
              </w:rPr>
            </w:pPr>
            <w:r>
              <w:rPr>
                <w:rFonts w:cs="Arial"/>
              </w:rPr>
              <w:t>HNY v1.0</w:t>
            </w:r>
          </w:p>
        </w:tc>
        <w:tc>
          <w:tcPr>
            <w:tcW w:w="1843" w:type="dxa"/>
          </w:tcPr>
          <w:p w14:paraId="156C2558" w14:textId="70FD1228" w:rsidR="00812579" w:rsidRDefault="008402C0" w:rsidP="00812579">
            <w:pPr>
              <w:rPr>
                <w:rFonts w:cs="Arial"/>
              </w:rPr>
            </w:pPr>
            <w:r>
              <w:rPr>
                <w:rFonts w:cs="Arial"/>
              </w:rPr>
              <w:t>April 2025</w:t>
            </w:r>
          </w:p>
        </w:tc>
        <w:tc>
          <w:tcPr>
            <w:tcW w:w="7200" w:type="dxa"/>
          </w:tcPr>
          <w:p w14:paraId="14A03E66" w14:textId="77777777" w:rsidR="00812579" w:rsidRDefault="00C3622B" w:rsidP="00E1241F">
            <w:pPr>
              <w:pStyle w:val="ListParagraph"/>
              <w:numPr>
                <w:ilvl w:val="0"/>
                <w:numId w:val="44"/>
              </w:numPr>
              <w:rPr>
                <w:rFonts w:cs="Arial"/>
              </w:rPr>
            </w:pPr>
            <w:r w:rsidRPr="00825E03">
              <w:rPr>
                <w:rFonts w:cs="Arial"/>
              </w:rPr>
              <w:t>HNY logos added</w:t>
            </w:r>
          </w:p>
          <w:p w14:paraId="200722C4" w14:textId="074EB893" w:rsidR="00825E03" w:rsidRPr="009C383D" w:rsidRDefault="00825E03" w:rsidP="009C383D">
            <w:pPr>
              <w:pStyle w:val="ListParagraph"/>
              <w:numPr>
                <w:ilvl w:val="0"/>
                <w:numId w:val="44"/>
              </w:numPr>
              <w:rPr>
                <w:rFonts w:cs="Arial"/>
              </w:rPr>
            </w:pPr>
            <w:r w:rsidRPr="008402C0">
              <w:rPr>
                <w:rFonts w:cs="Arial"/>
              </w:rPr>
              <w:t xml:space="preserve">Section 4: </w:t>
            </w:r>
            <w:r w:rsidR="00BB73A0" w:rsidRPr="008402C0">
              <w:rPr>
                <w:rFonts w:cs="Arial"/>
              </w:rPr>
              <w:t xml:space="preserve">Transfer of monitoring and prescribing updated as per NHSE document - </w:t>
            </w:r>
            <w:hyperlink r:id="rId11" w:history="1">
              <w:r w:rsidR="00BB73A0" w:rsidRPr="008402C0">
                <w:rPr>
                  <w:rStyle w:val="Hyperlink"/>
                  <w:rFonts w:cs="Arial"/>
                </w:rPr>
                <w:t>https://www.england.nhs.uk/wp-content/uploads/2018/03/responsibility-prescribing-between-primary-secondary-care-v2.pdf</w:t>
              </w:r>
            </w:hyperlink>
            <w:r w:rsidR="008402C0">
              <w:t xml:space="preserve"> and following wording added: </w:t>
            </w:r>
            <w:r w:rsidR="008402C0"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4F392E05" w14:textId="3B2096E3" w:rsidR="00335D52" w:rsidRPr="006A6865" w:rsidRDefault="00335D52" w:rsidP="00E1241F">
            <w:pPr>
              <w:pStyle w:val="ListParagraph"/>
              <w:numPr>
                <w:ilvl w:val="0"/>
                <w:numId w:val="44"/>
              </w:numPr>
            </w:pPr>
            <w:r>
              <w:rPr>
                <w:rFonts w:cs="Arial"/>
              </w:rPr>
              <w:t>Section 5: Baseline investigations – added "</w:t>
            </w:r>
            <w:r>
              <w:t>Confirm that women of childbearing potential are not pregnant"</w:t>
            </w:r>
          </w:p>
          <w:p w14:paraId="2DA9762A" w14:textId="5F8F8E27" w:rsidR="0000666A" w:rsidRDefault="0000666A" w:rsidP="00E1241F">
            <w:pPr>
              <w:pStyle w:val="ListParagraph"/>
              <w:numPr>
                <w:ilvl w:val="0"/>
                <w:numId w:val="44"/>
              </w:numPr>
            </w:pPr>
            <w:r>
              <w:rPr>
                <w:rFonts w:cs="Arial"/>
              </w:rPr>
              <w:t xml:space="preserve">Section 5: Ongoing monitoring – removed </w:t>
            </w:r>
            <w:r w:rsidRPr="006A6865">
              <w:t>ECG, at least every six months</w:t>
            </w:r>
          </w:p>
          <w:p w14:paraId="1F3DDE0E" w14:textId="10B0E27E" w:rsidR="00E1241F" w:rsidRPr="00E1241F" w:rsidRDefault="00E1241F" w:rsidP="00E1241F">
            <w:pPr>
              <w:pStyle w:val="ListParagraph"/>
              <w:numPr>
                <w:ilvl w:val="0"/>
                <w:numId w:val="44"/>
              </w:numPr>
              <w:rPr>
                <w:rFonts w:cs="Arial"/>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3D1C26BD" w14:textId="77777777" w:rsidR="00932963" w:rsidRDefault="00932963" w:rsidP="00E1241F">
            <w:pPr>
              <w:pStyle w:val="ListParagraph"/>
              <w:numPr>
                <w:ilvl w:val="0"/>
                <w:numId w:val="44"/>
              </w:numPr>
              <w:rPr>
                <w:rFonts w:cs="Arial"/>
              </w:rPr>
            </w:pPr>
            <w:r>
              <w:rPr>
                <w:rFonts w:cs="Arial"/>
              </w:rPr>
              <w:t>Section 6: Magnesium now listed separately as not part of routine U&amp;E's</w:t>
            </w:r>
          </w:p>
          <w:p w14:paraId="7C0700DD" w14:textId="77777777" w:rsidR="00932963" w:rsidRDefault="00932963" w:rsidP="00E1241F">
            <w:pPr>
              <w:pStyle w:val="ListParagraph"/>
              <w:numPr>
                <w:ilvl w:val="0"/>
                <w:numId w:val="44"/>
              </w:numPr>
              <w:rPr>
                <w:rFonts w:cs="Arial"/>
              </w:rPr>
            </w:pPr>
            <w:r>
              <w:rPr>
                <w:rFonts w:cs="Arial"/>
              </w:rPr>
              <w:t>Section 6: ECG – removed "Monitoring may be conducted in primary care where this service is available"</w:t>
            </w:r>
          </w:p>
          <w:p w14:paraId="52475D00" w14:textId="397304AD" w:rsidR="00243F1F" w:rsidRDefault="00243F1F" w:rsidP="00E1241F">
            <w:pPr>
              <w:pStyle w:val="ListParagraph"/>
              <w:numPr>
                <w:ilvl w:val="0"/>
                <w:numId w:val="44"/>
              </w:numPr>
              <w:rPr>
                <w:rFonts w:cs="Arial"/>
              </w:rPr>
            </w:pPr>
            <w:r>
              <w:rPr>
                <w:rFonts w:cs="Arial"/>
              </w:rPr>
              <w:t>Section 9: added quetiapine, citalopram, escitalopram</w:t>
            </w:r>
            <w:r w:rsidR="00453CAF">
              <w:rPr>
                <w:rFonts w:cs="Arial"/>
              </w:rPr>
              <w:t xml:space="preserve"> </w:t>
            </w:r>
            <w:r w:rsidR="004D66F7">
              <w:rPr>
                <w:rFonts w:cs="Arial"/>
              </w:rPr>
              <w:t>to other medicines that prolong the QT interval</w:t>
            </w:r>
          </w:p>
          <w:p w14:paraId="5FC1F8DA" w14:textId="77777777" w:rsidR="00335D52" w:rsidRDefault="00DF45D0" w:rsidP="00E1241F">
            <w:pPr>
              <w:pStyle w:val="ListParagraph"/>
              <w:numPr>
                <w:ilvl w:val="0"/>
                <w:numId w:val="44"/>
              </w:numPr>
              <w:rPr>
                <w:rFonts w:cs="Arial"/>
              </w:rPr>
            </w:pPr>
            <w:r>
              <w:rPr>
                <w:rFonts w:cs="Arial"/>
              </w:rPr>
              <w:t xml:space="preserve">Section 10: </w:t>
            </w:r>
            <w:r w:rsidR="00DB1EB7">
              <w:rPr>
                <w:rFonts w:cs="Arial"/>
              </w:rPr>
              <w:t>Hypokalaemia / Hypomagnesaemia – added "or SPS" and hyperlink to SPS guidelines</w:t>
            </w:r>
          </w:p>
          <w:p w14:paraId="67BCE382" w14:textId="77777777" w:rsidR="00201BED" w:rsidRDefault="00201BED" w:rsidP="00E1241F">
            <w:pPr>
              <w:pStyle w:val="ListParagraph"/>
              <w:numPr>
                <w:ilvl w:val="0"/>
                <w:numId w:val="44"/>
              </w:numPr>
              <w:rPr>
                <w:rFonts w:cs="Arial"/>
              </w:rPr>
            </w:pPr>
            <w:r>
              <w:rPr>
                <w:rFonts w:cs="Arial"/>
              </w:rPr>
              <w:t>Section 12: Pregnancy – added " Women of childbearing potential should use effective methods of contraception during treatment with dronedarone and for 7 days after the final dose".</w:t>
            </w:r>
          </w:p>
          <w:p w14:paraId="74532D45" w14:textId="1BC5E1B7" w:rsidR="00354F4D" w:rsidRPr="00354F4D" w:rsidRDefault="00354F4D" w:rsidP="00E1241F">
            <w:pPr>
              <w:pStyle w:val="ListParagraph"/>
              <w:numPr>
                <w:ilvl w:val="0"/>
                <w:numId w:val="44"/>
              </w:numPr>
              <w:rPr>
                <w:rFonts w:cs="Arial"/>
              </w:rPr>
            </w:pPr>
            <w:r w:rsidRPr="00CD6693">
              <w:rPr>
                <w:rFonts w:cs="Arial"/>
              </w:rPr>
              <w:t>Section 13: Contact information updated to "</w:t>
            </w:r>
            <w:r w:rsidRPr="00377B31">
              <w:rPr>
                <w:rFonts w:cs="Arial"/>
                <w:i/>
                <w:iCs/>
              </w:rPr>
              <w:t xml:space="preserve"> </w:t>
            </w:r>
            <w:r w:rsidRPr="00377B31">
              <w:rPr>
                <w:rFonts w:cs="Arial"/>
              </w:rPr>
              <w:t>Details</w:t>
            </w:r>
            <w:r w:rsidRPr="00377B31">
              <w:rPr>
                <w:rFonts w:cs="Arial"/>
                <w:i/>
                <w:iCs/>
              </w:rPr>
              <w:t xml:space="preserve"> </w:t>
            </w:r>
            <w:r w:rsidRPr="00370D0C">
              <w:rPr>
                <w:rFonts w:cs="Arial"/>
              </w:rPr>
              <w:t>for contacting specialist must be included on clinic letter"</w:t>
            </w:r>
          </w:p>
          <w:p w14:paraId="70E165E6" w14:textId="4E194293" w:rsidR="005F44A7" w:rsidRPr="00825E03" w:rsidRDefault="005F44A7" w:rsidP="00594CBB">
            <w:pPr>
              <w:pStyle w:val="ListParagraph"/>
              <w:numPr>
                <w:ilvl w:val="0"/>
                <w:numId w:val="44"/>
              </w:numPr>
              <w:rPr>
                <w:rFonts w:cs="Arial"/>
              </w:rPr>
            </w:pPr>
            <w:r>
              <w:rPr>
                <w:rFonts w:cs="Arial"/>
              </w:rPr>
              <w:t xml:space="preserve">Section 16: </w:t>
            </w:r>
            <w:r w:rsidR="00846C33">
              <w:rPr>
                <w:rFonts w:cs="Arial"/>
              </w:rPr>
              <w:t>Hyperlink to Shared Care for Medicines Guidance updated</w:t>
            </w:r>
          </w:p>
        </w:tc>
      </w:tr>
    </w:tbl>
    <w:p w14:paraId="3EC6F559" w14:textId="3C0C2307" w:rsidR="009C383D" w:rsidRDefault="009C383D">
      <w:pPr>
        <w:rPr>
          <w:rFonts w:cs="Arial"/>
        </w:rPr>
      </w:pPr>
    </w:p>
    <w:p w14:paraId="38A8A241" w14:textId="77777777" w:rsidR="009C383D" w:rsidRDefault="009C383D">
      <w:pPr>
        <w:spacing w:before="0" w:after="160"/>
        <w:rPr>
          <w:rFonts w:cs="Arial"/>
        </w:rPr>
      </w:pPr>
      <w:r>
        <w:rPr>
          <w:rFonts w:cs="Arial"/>
        </w:rPr>
        <w:br w:type="page"/>
      </w:r>
    </w:p>
    <w:p w14:paraId="40313D5E"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48EC0ECA" w:rsidR="005A7119" w:rsidRDefault="00BF2B9E" w:rsidP="005A7119">
            <w:pPr>
              <w:rPr>
                <w:rFonts w:cs="Arial"/>
              </w:rPr>
            </w:pPr>
            <w:r>
              <w:rPr>
                <w:rFonts w:cs="Arial"/>
              </w:rPr>
              <w:t>March 2025</w:t>
            </w:r>
          </w:p>
        </w:tc>
      </w:tr>
      <w:tr w:rsidR="005A7119" w14:paraId="5274CE57" w14:textId="77777777" w:rsidTr="00716319">
        <w:tc>
          <w:tcPr>
            <w:tcW w:w="4248" w:type="dxa"/>
          </w:tcPr>
          <w:p w14:paraId="72D8275E" w14:textId="4313E93F" w:rsidR="005A7119" w:rsidRDefault="005A7119" w:rsidP="005A7119">
            <w:pPr>
              <w:rPr>
                <w:rFonts w:cs="Arial"/>
              </w:rPr>
            </w:pPr>
            <w:r>
              <w:rPr>
                <w:rFonts w:cs="Arial"/>
              </w:rPr>
              <w:t xml:space="preserve">Approved for use by </w:t>
            </w:r>
            <w:r w:rsidR="00150309">
              <w:rPr>
                <w:rFonts w:cs="Arial"/>
              </w:rPr>
              <w:t xml:space="preserve">Humber and North Yorkshire </w:t>
            </w:r>
            <w:r>
              <w:rPr>
                <w:rFonts w:cs="Arial"/>
              </w:rPr>
              <w:t xml:space="preserve">ICB </w:t>
            </w:r>
          </w:p>
        </w:tc>
        <w:tc>
          <w:tcPr>
            <w:tcW w:w="4365" w:type="dxa"/>
          </w:tcPr>
          <w:p w14:paraId="696B3FA0" w14:textId="14D1F068" w:rsidR="005A7119" w:rsidRDefault="00601DA3" w:rsidP="005A7119">
            <w:pPr>
              <w:rPr>
                <w:rFonts w:cs="Arial"/>
              </w:rPr>
            </w:pPr>
            <w:r>
              <w:rPr>
                <w:rFonts w:cs="Arial"/>
              </w:rPr>
              <w:t>2</w:t>
            </w:r>
            <w:r w:rsidRPr="00594CBB">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258A56E2"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North East and Yorkshire ICBs for localisation and approval through standard ICB processes. The most recent version is available on the RDTC website at </w:t>
      </w:r>
      <w:hyperlink r:id="rId12" w:history="1">
        <w:r w:rsidR="0035287A" w:rsidRPr="004F1AD9">
          <w:rPr>
            <w:rStyle w:val="Hyperlink"/>
            <w:rFonts w:cs="Arial"/>
            <w:sz w:val="24"/>
            <w:szCs w:val="24"/>
          </w:rPr>
          <w:t>https://rdtc.nhs.uk/publication-type/shared-care/</w:t>
        </w:r>
      </w:hyperlink>
      <w:r w:rsidR="0035287A">
        <w:rPr>
          <w:rFonts w:cs="Arial"/>
          <w:sz w:val="24"/>
          <w:szCs w:val="24"/>
        </w:rPr>
        <w:t xml:space="preserve">. </w:t>
      </w:r>
    </w:p>
    <w:p w14:paraId="58762991" w14:textId="77777777" w:rsidR="005A7119" w:rsidRDefault="005A7119" w:rsidP="005A7119">
      <w:pPr>
        <w:rPr>
          <w:rFonts w:cs="Arial"/>
          <w:sz w:val="24"/>
          <w:szCs w:val="24"/>
        </w:rPr>
      </w:pPr>
    </w:p>
    <w:p w14:paraId="48258EDF" w14:textId="2A6FCF6F"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524D9A29" w:rsidR="00F321FC" w:rsidRPr="00812579" w:rsidRDefault="00CD0E2E">
      <w:pPr>
        <w:rPr>
          <w:b/>
          <w:bCs/>
          <w:sz w:val="24"/>
          <w:szCs w:val="24"/>
        </w:rPr>
      </w:pPr>
      <w:r>
        <w:rPr>
          <w:rFonts w:cs="Arial"/>
          <w:b/>
          <w:bCs/>
          <w:sz w:val="24"/>
          <w:szCs w:val="24"/>
        </w:rPr>
        <w:t xml:space="preserve">Dronedarone </w:t>
      </w:r>
      <w:r w:rsidR="00F321FC" w:rsidRPr="00812579">
        <w:rPr>
          <w:rFonts w:cs="Arial"/>
          <w:b/>
          <w:bCs/>
          <w:sz w:val="24"/>
          <w:szCs w:val="24"/>
        </w:rPr>
        <w:t>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054D0C" w:rsidRPr="00F321FC" w14:paraId="3FF50130" w14:textId="77777777" w:rsidTr="0051526F">
        <w:tc>
          <w:tcPr>
            <w:tcW w:w="2199" w:type="dxa"/>
            <w:tcBorders>
              <w:top w:val="single" w:sz="4" w:space="0" w:color="BFBFBF" w:themeColor="background1" w:themeShade="BF"/>
            </w:tcBorders>
          </w:tcPr>
          <w:p w14:paraId="60850D61" w14:textId="74515AEE" w:rsidR="00054D0C" w:rsidRPr="00F321FC" w:rsidRDefault="00054D0C" w:rsidP="00054D0C">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01747842" w14:textId="77777777" w:rsidR="00054D0C" w:rsidRPr="00B91DF8" w:rsidRDefault="00054D0C" w:rsidP="00054D0C">
            <w:pPr>
              <w:rPr>
                <w:rFonts w:cs="Arial"/>
              </w:rPr>
            </w:pPr>
            <w:r w:rsidRPr="00B91DF8">
              <w:rPr>
                <w:rFonts w:cs="Arial"/>
              </w:rPr>
              <w:t xml:space="preserve">Dronedarone is used in the treatment of severe cardiac rhythm disorders, as a second line option when other drugs are ineffective or contraindicated. It has potentially serious adverse effects and its use requires monitoring both clinically and via laboratory testing.  </w:t>
            </w:r>
          </w:p>
          <w:p w14:paraId="6C362AF4" w14:textId="77777777" w:rsidR="00054D0C" w:rsidRPr="00B91DF8" w:rsidRDefault="00054D0C" w:rsidP="00054D0C">
            <w:pPr>
              <w:rPr>
                <w:rFonts w:cs="Arial"/>
              </w:rPr>
            </w:pPr>
            <w:r w:rsidRPr="00B91DF8">
              <w:rPr>
                <w:rFonts w:cs="Arial"/>
              </w:rPr>
              <w:t xml:space="preserve">Due to the significant safety concerns, NHS England (NHSE) and NHS Improvement’s </w:t>
            </w:r>
            <w:hyperlink r:id="rId13" w:history="1">
              <w:r w:rsidRPr="00F571FD">
                <w:rPr>
                  <w:rStyle w:val="Hyperlink"/>
                  <w:rFonts w:cs="Arial"/>
                </w:rPr>
                <w:t>guidance</w:t>
              </w:r>
            </w:hyperlink>
            <w:r w:rsidRPr="00B91DF8">
              <w:rPr>
                <w:rFonts w:cs="Arial"/>
              </w:rPr>
              <w:t xml:space="preserve"> advises that prescribers should not initiate dronedarone in primary care for any new patients. In exceptional circumstances, if there is a clinical need for dronedarone to be prescribed, this must be initiated by a specialist and only continued under a shared care arrangement in line with NICE clinical guidance (</w:t>
            </w:r>
            <w:hyperlink r:id="rId14" w:history="1">
              <w:r w:rsidRPr="00B91DF8">
                <w:rPr>
                  <w:rStyle w:val="Hyperlink"/>
                  <w:rFonts w:cs="Arial"/>
                </w:rPr>
                <w:t>Atrial fibrillation: NG 196</w:t>
              </w:r>
            </w:hyperlink>
            <w:r w:rsidRPr="00B91DF8">
              <w:rPr>
                <w:rFonts w:cs="Arial"/>
              </w:rPr>
              <w:t xml:space="preserve">). Dronedarone should be used as recommended in NICE </w:t>
            </w:r>
            <w:hyperlink r:id="rId15" w:history="1">
              <w:r w:rsidRPr="00B91DF8">
                <w:rPr>
                  <w:rStyle w:val="Hyperlink"/>
                  <w:rFonts w:cs="Arial"/>
                </w:rPr>
                <w:t>TA 197 Dronedarone for the treatment of non-permanent atrial fibrillation</w:t>
              </w:r>
            </w:hyperlink>
            <w:r>
              <w:rPr>
                <w:rFonts w:cs="Arial"/>
              </w:rPr>
              <w:t>.</w:t>
            </w:r>
            <w:r w:rsidRPr="00B91DF8">
              <w:rPr>
                <w:rFonts w:cs="Arial"/>
              </w:rPr>
              <w:t xml:space="preserve">  </w:t>
            </w:r>
          </w:p>
          <w:p w14:paraId="751ACE92" w14:textId="77777777" w:rsidR="00054D0C" w:rsidRPr="00B91DF8" w:rsidRDefault="00054D0C" w:rsidP="00054D0C">
            <w:pPr>
              <w:rPr>
                <w:rFonts w:cs="Arial"/>
              </w:rPr>
            </w:pPr>
            <w:r w:rsidRPr="00B91DF8">
              <w:rPr>
                <w:rFonts w:cs="Arial"/>
              </w:rPr>
              <w:t>Where there is an existing cohort taking dronedarone, it is recommended that these patients be reviewed to ensure that prescribing remains safe and appropriate.</w:t>
            </w:r>
          </w:p>
          <w:p w14:paraId="6B5F3EB1" w14:textId="2073AD0E" w:rsidR="00054D0C" w:rsidRPr="00B87200" w:rsidRDefault="00054D0C" w:rsidP="00054D0C">
            <w:pPr>
              <w:rPr>
                <w:rFonts w:cs="Arial"/>
              </w:rPr>
            </w:pPr>
            <w:r w:rsidRPr="00B91DF8">
              <w:rPr>
                <w:rFonts w:cs="Arial"/>
              </w:rPr>
              <w:t>This document applies to adults aged 18 and over.</w:t>
            </w:r>
          </w:p>
        </w:tc>
      </w:tr>
      <w:tr w:rsidR="00054D0C" w:rsidRPr="00F321FC" w14:paraId="700AF380" w14:textId="77777777" w:rsidTr="0051526F">
        <w:tc>
          <w:tcPr>
            <w:tcW w:w="2199" w:type="dxa"/>
          </w:tcPr>
          <w:p w14:paraId="353B7610" w14:textId="421AD839" w:rsidR="00054D0C" w:rsidRPr="00F321FC" w:rsidRDefault="00054D0C" w:rsidP="00054D0C">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05286292" w14:textId="77777777" w:rsidR="00054D0C" w:rsidRDefault="00054D0C" w:rsidP="00054D0C">
            <w:pPr>
              <w:rPr>
                <w:rFonts w:cs="Arial"/>
              </w:rPr>
            </w:pPr>
            <w:r w:rsidRPr="00B91DF8">
              <w:rPr>
                <w:rFonts w:cs="Arial"/>
              </w:rPr>
              <w:t>Licensed indication: maintenance of sinus rhythm after successful cardioversion in adult clinically stable patients with paroxysmal or persistent atrial fibrillation.</w:t>
            </w:r>
          </w:p>
          <w:p w14:paraId="795A26F2" w14:textId="77777777" w:rsidR="00054D0C" w:rsidRPr="00B91DF8" w:rsidRDefault="00054D0C" w:rsidP="00054D0C">
            <w:pPr>
              <w:rPr>
                <w:rFonts w:cs="Arial"/>
              </w:rPr>
            </w:pPr>
            <w:hyperlink r:id="rId16" w:history="1">
              <w:r w:rsidRPr="00B91DF8">
                <w:rPr>
                  <w:rStyle w:val="Hyperlink"/>
                  <w:rFonts w:cs="Arial"/>
                </w:rPr>
                <w:t>NICE TA 197</w:t>
              </w:r>
            </w:hyperlink>
            <w:r w:rsidRPr="00B91DF8">
              <w:rPr>
                <w:rFonts w:cs="Arial"/>
              </w:rPr>
              <w:t xml:space="preserve"> recommends dronedarone as an option in patients: </w:t>
            </w:r>
          </w:p>
          <w:p w14:paraId="1294FCB1" w14:textId="77777777" w:rsidR="00054D0C" w:rsidRPr="00B91DF8" w:rsidRDefault="00054D0C" w:rsidP="00054D0C">
            <w:pPr>
              <w:pStyle w:val="ListParagraph"/>
              <w:numPr>
                <w:ilvl w:val="0"/>
                <w:numId w:val="43"/>
              </w:numPr>
              <w:rPr>
                <w:rFonts w:cs="Arial"/>
              </w:rPr>
            </w:pPr>
            <w:r w:rsidRPr="00B91DF8">
              <w:rPr>
                <w:rFonts w:cs="Arial"/>
              </w:rPr>
              <w:t xml:space="preserve">whose atrial fibrillation is not controlled by first-line therapy (usually including beta-blockers), that is, as a second-line treatment option and after alternative options have been considered </w:t>
            </w:r>
            <w:r w:rsidRPr="00B91DF8">
              <w:rPr>
                <w:rFonts w:cs="Arial"/>
                <w:b/>
                <w:bCs/>
                <w:u w:val="single"/>
              </w:rPr>
              <w:t>and</w:t>
            </w:r>
          </w:p>
          <w:p w14:paraId="78AEBFA1" w14:textId="77777777" w:rsidR="00054D0C" w:rsidRPr="00B91DF8" w:rsidRDefault="00054D0C" w:rsidP="00054D0C">
            <w:pPr>
              <w:pStyle w:val="ListParagraph"/>
              <w:numPr>
                <w:ilvl w:val="0"/>
                <w:numId w:val="43"/>
              </w:numPr>
              <w:rPr>
                <w:rFonts w:cs="Arial"/>
              </w:rPr>
            </w:pPr>
            <w:r w:rsidRPr="00B91DF8">
              <w:rPr>
                <w:rFonts w:cs="Arial"/>
              </w:rPr>
              <w:t>who have at least 1 of the following cardiovascular risk factors:</w:t>
            </w:r>
          </w:p>
          <w:p w14:paraId="62FA7F91" w14:textId="77777777" w:rsidR="00054D0C" w:rsidRPr="00B91DF8" w:rsidRDefault="00054D0C" w:rsidP="00054D0C">
            <w:pPr>
              <w:pStyle w:val="ListParagraph"/>
              <w:numPr>
                <w:ilvl w:val="1"/>
                <w:numId w:val="43"/>
              </w:numPr>
              <w:rPr>
                <w:rFonts w:cs="Arial"/>
              </w:rPr>
            </w:pPr>
            <w:r w:rsidRPr="00B91DF8">
              <w:rPr>
                <w:rFonts w:cs="Arial"/>
              </w:rPr>
              <w:t>hypertension requiring drugs of at least 2 different classes</w:t>
            </w:r>
          </w:p>
          <w:p w14:paraId="3EFCD616" w14:textId="77777777" w:rsidR="00054D0C" w:rsidRPr="00B91DF8" w:rsidRDefault="00054D0C" w:rsidP="00054D0C">
            <w:pPr>
              <w:pStyle w:val="ListParagraph"/>
              <w:numPr>
                <w:ilvl w:val="1"/>
                <w:numId w:val="43"/>
              </w:numPr>
              <w:rPr>
                <w:rFonts w:cs="Arial"/>
              </w:rPr>
            </w:pPr>
            <w:r w:rsidRPr="00B91DF8">
              <w:rPr>
                <w:rFonts w:cs="Arial"/>
              </w:rPr>
              <w:t>diabetes mellitus</w:t>
            </w:r>
          </w:p>
          <w:p w14:paraId="04ADDFDD" w14:textId="77777777" w:rsidR="00054D0C" w:rsidRPr="00B91DF8" w:rsidRDefault="00054D0C" w:rsidP="00054D0C">
            <w:pPr>
              <w:pStyle w:val="ListParagraph"/>
              <w:numPr>
                <w:ilvl w:val="1"/>
                <w:numId w:val="43"/>
              </w:numPr>
              <w:rPr>
                <w:rFonts w:cs="Arial"/>
              </w:rPr>
            </w:pPr>
            <w:r w:rsidRPr="00B91DF8">
              <w:rPr>
                <w:rFonts w:cs="Arial"/>
              </w:rPr>
              <w:t>previous transient ischaemic attack, stroke or systemic embolism</w:t>
            </w:r>
          </w:p>
          <w:p w14:paraId="1D71DAE8" w14:textId="77777777" w:rsidR="00054D0C" w:rsidRPr="00B91DF8" w:rsidRDefault="00054D0C" w:rsidP="00054D0C">
            <w:pPr>
              <w:pStyle w:val="ListParagraph"/>
              <w:numPr>
                <w:ilvl w:val="1"/>
                <w:numId w:val="43"/>
              </w:numPr>
              <w:rPr>
                <w:rFonts w:cs="Arial"/>
              </w:rPr>
            </w:pPr>
            <w:r w:rsidRPr="00B91DF8">
              <w:rPr>
                <w:rFonts w:cs="Arial"/>
              </w:rPr>
              <w:t xml:space="preserve">left atrial diameter of 50 mm or greater </w:t>
            </w:r>
            <w:r w:rsidRPr="00B91DF8">
              <w:rPr>
                <w:rFonts w:cs="Arial"/>
                <w:b/>
                <w:bCs/>
                <w:u w:val="single"/>
              </w:rPr>
              <w:t>or</w:t>
            </w:r>
          </w:p>
          <w:p w14:paraId="33E7C3E8" w14:textId="77777777" w:rsidR="00054D0C" w:rsidRPr="00B91DF8" w:rsidRDefault="00054D0C" w:rsidP="00054D0C">
            <w:pPr>
              <w:pStyle w:val="ListParagraph"/>
              <w:numPr>
                <w:ilvl w:val="1"/>
                <w:numId w:val="43"/>
              </w:numPr>
              <w:rPr>
                <w:rFonts w:cs="Arial"/>
              </w:rPr>
            </w:pPr>
            <w:r w:rsidRPr="00B91DF8">
              <w:rPr>
                <w:rFonts w:cs="Arial"/>
              </w:rPr>
              <w:t>age 70 years or older and</w:t>
            </w:r>
          </w:p>
          <w:p w14:paraId="5D537C03" w14:textId="77777777" w:rsidR="00054D0C" w:rsidRPr="00B91DF8" w:rsidRDefault="00054D0C" w:rsidP="00054D0C">
            <w:pPr>
              <w:pStyle w:val="ListParagraph"/>
              <w:numPr>
                <w:ilvl w:val="0"/>
                <w:numId w:val="43"/>
              </w:numPr>
              <w:rPr>
                <w:rFonts w:cs="Arial"/>
              </w:rPr>
            </w:pPr>
            <w:r w:rsidRPr="00B91DF8">
              <w:rPr>
                <w:rFonts w:cs="Arial"/>
              </w:rPr>
              <w:t xml:space="preserve">who do not have left ventricular systolic dysfunction </w:t>
            </w:r>
            <w:r w:rsidRPr="00B91DF8">
              <w:rPr>
                <w:rFonts w:cs="Arial"/>
                <w:b/>
                <w:bCs/>
                <w:u w:val="single"/>
              </w:rPr>
              <w:t>and</w:t>
            </w:r>
          </w:p>
          <w:p w14:paraId="452D25AB" w14:textId="66C96C09" w:rsidR="00054D0C" w:rsidRPr="007A56FB" w:rsidRDefault="00054D0C" w:rsidP="00054D0C">
            <w:pPr>
              <w:rPr>
                <w:rFonts w:cs="Arial"/>
              </w:rPr>
            </w:pPr>
            <w:r w:rsidRPr="00B91DF8">
              <w:rPr>
                <w:rFonts w:cs="Arial"/>
              </w:rPr>
              <w:t>who do not have a history of, or current, heart failure</w:t>
            </w:r>
          </w:p>
        </w:tc>
      </w:tr>
      <w:tr w:rsidR="00054D0C" w:rsidRPr="00F321FC" w14:paraId="36B1B999" w14:textId="77777777" w:rsidTr="0051526F">
        <w:tc>
          <w:tcPr>
            <w:tcW w:w="2199" w:type="dxa"/>
          </w:tcPr>
          <w:p w14:paraId="6F2C624B" w14:textId="515A3B01" w:rsidR="00054D0C" w:rsidRPr="00F321FC" w:rsidRDefault="00054D0C" w:rsidP="00054D0C">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08488FDD" w:rsidR="00054D0C" w:rsidRPr="000E2D8B" w:rsidRDefault="00054D0C" w:rsidP="00054D0C">
            <w:pPr>
              <w:rPr>
                <w:rFonts w:cs="Arial"/>
                <w:i/>
                <w:iCs/>
              </w:rPr>
            </w:pPr>
            <w:r w:rsidRPr="00B91DF8">
              <w:rPr>
                <w:rFonts w:cs="Arial"/>
              </w:rPr>
              <w:t>National scoping did not identify any additional appropriate off-label indications</w:t>
            </w:r>
            <w:r>
              <w:rPr>
                <w:rFonts w:cs="Arial"/>
              </w:rPr>
              <w:t>.</w:t>
            </w:r>
          </w:p>
        </w:tc>
      </w:tr>
      <w:tr w:rsidR="00054D0C" w:rsidRPr="00F321FC" w14:paraId="6823BC14" w14:textId="77777777" w:rsidTr="0051526F">
        <w:tc>
          <w:tcPr>
            <w:tcW w:w="2199" w:type="dxa"/>
          </w:tcPr>
          <w:p w14:paraId="5B29E378" w14:textId="09C1A858" w:rsidR="00054D0C" w:rsidRPr="00F321FC" w:rsidRDefault="00054D0C" w:rsidP="00054D0C">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24685BB7" w14:textId="77777777" w:rsidR="009C383D" w:rsidRDefault="00054D0C" w:rsidP="009C383D">
            <w:pPr>
              <w:rPr>
                <w:rFonts w:cs="Arial"/>
              </w:rPr>
            </w:pPr>
            <w:r w:rsidRPr="00FB404F">
              <w:rPr>
                <w:rFonts w:cs="Arial"/>
              </w:rPr>
              <w:t xml:space="preserve">Transfer of monitoring and prescribing to primary care is normally after at least </w:t>
            </w:r>
            <w:r w:rsidR="00BB366B" w:rsidRPr="00846C33">
              <w:rPr>
                <w:rFonts w:cs="Arial"/>
              </w:rPr>
              <w:t>12</w:t>
            </w:r>
            <w:r w:rsidRPr="00846C33">
              <w:rPr>
                <w:rFonts w:cs="Arial"/>
              </w:rPr>
              <w:t xml:space="preserve"> weeks</w:t>
            </w:r>
            <w:r w:rsidRPr="00FB404F">
              <w:rPr>
                <w:rFonts w:cs="Arial"/>
              </w:rPr>
              <w:t xml:space="preserve">, and when the patient’s dose has been optimised and with satisfactory investigation results for at least </w:t>
            </w:r>
            <w:r w:rsidR="00BB366B" w:rsidRPr="00846C33">
              <w:rPr>
                <w:rFonts w:cs="Arial"/>
              </w:rPr>
              <w:t>12</w:t>
            </w:r>
            <w:r w:rsidRPr="00846C33">
              <w:rPr>
                <w:rFonts w:cs="Arial"/>
              </w:rPr>
              <w:t xml:space="preserve"> weeks</w:t>
            </w:r>
            <w:r w:rsidRPr="00FB404F">
              <w:rPr>
                <w:rFonts w:cs="Arial"/>
              </w:rPr>
              <w:t>.</w:t>
            </w:r>
            <w:r w:rsidR="009C383D">
              <w:rPr>
                <w:rFonts w:cs="Arial"/>
              </w:rPr>
              <w:t xml:space="preserve"> </w:t>
            </w:r>
            <w:r w:rsidR="009C383D"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62C3CBF4" w14:textId="52933BB1" w:rsidR="00054D0C" w:rsidRPr="00FB404F" w:rsidRDefault="00054D0C" w:rsidP="00054D0C">
            <w:pPr>
              <w:rPr>
                <w:rFonts w:cs="Arial"/>
              </w:rPr>
            </w:pPr>
          </w:p>
          <w:p w14:paraId="0C74321A" w14:textId="77777777" w:rsidR="00054D0C" w:rsidRPr="00FB404F" w:rsidRDefault="00054D0C" w:rsidP="00054D0C">
            <w:pPr>
              <w:rPr>
                <w:rFonts w:cs="Arial"/>
              </w:rPr>
            </w:pPr>
            <w:r w:rsidRPr="00FB404F">
              <w:rPr>
                <w:rFonts w:cs="Arial"/>
              </w:rPr>
              <w:t>The duration of treatment &amp; frequency of review will be determined by the specialist, based on clinical response and tolerability.</w:t>
            </w:r>
          </w:p>
          <w:p w14:paraId="60B2B67B" w14:textId="77777777" w:rsidR="00054D0C" w:rsidRPr="00FB404F" w:rsidRDefault="00054D0C" w:rsidP="00054D0C">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430F7EE0" w14:textId="77777777" w:rsidR="00054D0C" w:rsidRPr="00FB404F" w:rsidRDefault="00054D0C" w:rsidP="00054D0C">
            <w:pPr>
              <w:rPr>
                <w:rFonts w:cs="Arial"/>
              </w:rPr>
            </w:pPr>
            <w:r w:rsidRPr="00FB404F">
              <w:rPr>
                <w:rFonts w:cs="Arial"/>
              </w:rPr>
              <w:t>Termination of treatment will be the responsibility of the specialist.</w:t>
            </w:r>
          </w:p>
          <w:p w14:paraId="44832A52" w14:textId="77777777" w:rsidR="00054D0C" w:rsidRPr="00FB404F" w:rsidRDefault="00054D0C" w:rsidP="00054D0C">
            <w:pPr>
              <w:rPr>
                <w:rFonts w:cs="Arial"/>
              </w:rPr>
            </w:pPr>
          </w:p>
          <w:p w14:paraId="76FB688C" w14:textId="77777777" w:rsidR="00054D0C" w:rsidRPr="00FB404F" w:rsidRDefault="00054D0C" w:rsidP="00054D0C">
            <w:pPr>
              <w:pStyle w:val="Heading3"/>
              <w:spacing w:before="60" w:after="60"/>
              <w:rPr>
                <w:rFonts w:cs="Arial"/>
              </w:rPr>
            </w:pPr>
            <w:r w:rsidRPr="00FB404F">
              <w:rPr>
                <w:rFonts w:cs="Arial"/>
              </w:rPr>
              <w:lastRenderedPageBreak/>
              <w:t xml:space="preserve">Initial </w:t>
            </w:r>
            <w:r>
              <w:rPr>
                <w:rFonts w:cs="Arial"/>
              </w:rPr>
              <w:t>stabilisation and maintenance dose</w:t>
            </w:r>
            <w:r w:rsidRPr="00FB404F">
              <w:rPr>
                <w:rFonts w:cs="Arial"/>
              </w:rPr>
              <w:t xml:space="preserve">: </w:t>
            </w:r>
          </w:p>
          <w:p w14:paraId="25E6BE1E" w14:textId="77777777" w:rsidR="00054D0C" w:rsidRPr="00B91DF8" w:rsidRDefault="00054D0C" w:rsidP="00054D0C">
            <w:pPr>
              <w:rPr>
                <w:rFonts w:cs="Arial"/>
              </w:rPr>
            </w:pPr>
            <w:r w:rsidRPr="00B91DF8">
              <w:rPr>
                <w:rFonts w:cs="Arial"/>
              </w:rPr>
              <w:t>Initial stabilisation and maintenance dose:</w:t>
            </w:r>
          </w:p>
          <w:p w14:paraId="20185719" w14:textId="77777777" w:rsidR="00054D0C" w:rsidRPr="00B91DF8" w:rsidRDefault="00054D0C" w:rsidP="00054D0C">
            <w:pPr>
              <w:rPr>
                <w:rFonts w:cs="Arial"/>
              </w:rPr>
            </w:pPr>
            <w:r w:rsidRPr="00B91DF8">
              <w:rPr>
                <w:rFonts w:cs="Arial"/>
              </w:rPr>
              <w:t xml:space="preserve">400mg twice daily, with the morning and evening meals. </w:t>
            </w:r>
          </w:p>
          <w:p w14:paraId="710857F8" w14:textId="60D21786" w:rsidR="00054D0C" w:rsidRPr="00FB404F" w:rsidRDefault="00054D0C" w:rsidP="00054D0C">
            <w:pPr>
              <w:rPr>
                <w:rFonts w:cs="Arial"/>
              </w:rPr>
            </w:pPr>
            <w:r w:rsidRPr="006A6865">
              <w:rPr>
                <w:rFonts w:cs="Arial"/>
                <w:b/>
                <w:bCs/>
              </w:rPr>
              <w:t>The starting and initial maintenance dose must be prescribed by the initiating specialist. Treatment should be initiated and monitored only under specialist supervision.</w:t>
            </w:r>
          </w:p>
        </w:tc>
      </w:tr>
      <w:tr w:rsidR="00054D0C" w:rsidRPr="00F321FC" w14:paraId="68FCED24" w14:textId="77777777" w:rsidTr="0051526F">
        <w:tc>
          <w:tcPr>
            <w:tcW w:w="2199" w:type="dxa"/>
          </w:tcPr>
          <w:p w14:paraId="3DF33630" w14:textId="4E2865B1" w:rsidR="00054D0C" w:rsidRPr="00F321FC" w:rsidRDefault="00054D0C" w:rsidP="00054D0C">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76DD476B" w14:textId="77777777" w:rsidR="00054D0C" w:rsidRDefault="00054D0C" w:rsidP="00054D0C">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2209C89D" w14:textId="77777777" w:rsidR="00054D0C" w:rsidRPr="00FB404F" w:rsidRDefault="00054D0C" w:rsidP="00054D0C">
            <w:pPr>
              <w:rPr>
                <w:lang w:eastAsia="en-GB"/>
              </w:rPr>
            </w:pPr>
          </w:p>
          <w:p w14:paraId="6C61E282" w14:textId="77777777" w:rsidR="00054D0C" w:rsidRPr="006A6865" w:rsidRDefault="00054D0C" w:rsidP="00054D0C">
            <w:pPr>
              <w:pStyle w:val="Heading3"/>
              <w:rPr>
                <w:rFonts w:cs="Arial"/>
              </w:rPr>
            </w:pPr>
            <w:r w:rsidRPr="006A6865">
              <w:rPr>
                <w:rFonts w:cs="Arial"/>
              </w:rPr>
              <w:t>Baseline investigations:</w:t>
            </w:r>
          </w:p>
          <w:p w14:paraId="023B8D44" w14:textId="77777777" w:rsidR="00054D0C" w:rsidRPr="006A6865" w:rsidRDefault="00054D0C" w:rsidP="00054D0C">
            <w:pPr>
              <w:pStyle w:val="ListParagraph"/>
              <w:numPr>
                <w:ilvl w:val="0"/>
                <w:numId w:val="46"/>
              </w:numPr>
            </w:pPr>
            <w:r w:rsidRPr="006A6865">
              <w:t>Liver function tests (LFTs)</w:t>
            </w:r>
          </w:p>
          <w:p w14:paraId="41A71CE1" w14:textId="77777777" w:rsidR="00054D0C" w:rsidRPr="006A6865" w:rsidRDefault="00054D0C" w:rsidP="00054D0C">
            <w:pPr>
              <w:pStyle w:val="ListParagraph"/>
              <w:numPr>
                <w:ilvl w:val="0"/>
                <w:numId w:val="46"/>
              </w:numPr>
            </w:pPr>
            <w:r w:rsidRPr="006A6865">
              <w:t>Urea and electrolytes (U&amp;Es), including potassium, magnesium, and serum creatinine</w:t>
            </w:r>
          </w:p>
          <w:p w14:paraId="430BBFE7" w14:textId="77777777" w:rsidR="00054D0C" w:rsidRDefault="00054D0C" w:rsidP="00054D0C">
            <w:pPr>
              <w:pStyle w:val="ListParagraph"/>
              <w:numPr>
                <w:ilvl w:val="0"/>
                <w:numId w:val="46"/>
              </w:numPr>
            </w:pPr>
            <w:r w:rsidRPr="006A6865">
              <w:t>Electrocardiogram (ECG)</w:t>
            </w:r>
          </w:p>
          <w:p w14:paraId="5FE6A71A" w14:textId="066E3F50" w:rsidR="00395427" w:rsidRPr="006A6865" w:rsidRDefault="00A12258" w:rsidP="00054D0C">
            <w:pPr>
              <w:pStyle w:val="ListParagraph"/>
              <w:numPr>
                <w:ilvl w:val="0"/>
                <w:numId w:val="46"/>
              </w:numPr>
            </w:pPr>
            <w:r>
              <w:t xml:space="preserve">Confirm that </w:t>
            </w:r>
            <w:r w:rsidR="00395427">
              <w:t>women of childbearing potential</w:t>
            </w:r>
            <w:r>
              <w:t xml:space="preserve"> are not pregnant</w:t>
            </w:r>
          </w:p>
          <w:p w14:paraId="34CDDB6F" w14:textId="77777777" w:rsidR="00054D0C" w:rsidRPr="006A6865" w:rsidRDefault="00054D0C" w:rsidP="00054D0C">
            <w:pPr>
              <w:pStyle w:val="Heading3"/>
              <w:rPr>
                <w:rFonts w:cs="Arial"/>
              </w:rPr>
            </w:pPr>
          </w:p>
          <w:p w14:paraId="5867F4FC" w14:textId="77777777" w:rsidR="00054D0C" w:rsidRPr="006A6865" w:rsidRDefault="00054D0C" w:rsidP="00054D0C">
            <w:pPr>
              <w:pStyle w:val="Heading3"/>
              <w:rPr>
                <w:rFonts w:cs="Arial"/>
              </w:rPr>
            </w:pPr>
            <w:r w:rsidRPr="006A6865">
              <w:rPr>
                <w:rFonts w:cs="Arial"/>
              </w:rPr>
              <w:t>Initial monitoring:</w:t>
            </w:r>
          </w:p>
          <w:p w14:paraId="272E4236" w14:textId="77777777" w:rsidR="00054D0C" w:rsidRPr="006A6865" w:rsidRDefault="00054D0C" w:rsidP="00054D0C">
            <w:pPr>
              <w:pStyle w:val="ListParagraph"/>
              <w:numPr>
                <w:ilvl w:val="0"/>
                <w:numId w:val="45"/>
              </w:numPr>
            </w:pPr>
            <w:r w:rsidRPr="006A6865">
              <w:t>Liver function tests: after 7 days of treatment, after 1 month of treatment, then monthly until prescribing is transferred to primary care</w:t>
            </w:r>
          </w:p>
          <w:p w14:paraId="34AEE337" w14:textId="77777777" w:rsidR="00054D0C" w:rsidRPr="006A6865" w:rsidRDefault="00054D0C" w:rsidP="00054D0C">
            <w:pPr>
              <w:pStyle w:val="ListParagraph"/>
              <w:numPr>
                <w:ilvl w:val="0"/>
                <w:numId w:val="45"/>
              </w:numPr>
            </w:pPr>
            <w:r w:rsidRPr="006A6865">
              <w:t xml:space="preserve">Urea and electrolytes: after 7 days of treatment, and after a further 7 days if any elevation is observed. If serum creatinine continues to </w:t>
            </w:r>
            <w:proofErr w:type="gramStart"/>
            <w:r w:rsidRPr="006A6865">
              <w:t>rise</w:t>
            </w:r>
            <w:proofErr w:type="gramEnd"/>
            <w:r w:rsidRPr="006A6865">
              <w:t xml:space="preserve"> then consideration should be given to further investigation and discontinuing treatment.</w:t>
            </w:r>
          </w:p>
          <w:p w14:paraId="344F8767" w14:textId="77777777" w:rsidR="00054D0C" w:rsidRPr="006A6865" w:rsidRDefault="00054D0C" w:rsidP="00054D0C">
            <w:pPr>
              <w:pStyle w:val="ListParagraph"/>
              <w:numPr>
                <w:ilvl w:val="0"/>
                <w:numId w:val="45"/>
              </w:numPr>
            </w:pPr>
            <w:r w:rsidRPr="006A6865">
              <w:t>Monitor concurrent medicines as appropriate, e.g. anticoagulants, digoxin.</w:t>
            </w:r>
          </w:p>
          <w:p w14:paraId="6A0A4CC3" w14:textId="77777777" w:rsidR="00054D0C" w:rsidRPr="006A6865" w:rsidRDefault="00054D0C" w:rsidP="00054D0C">
            <w:pPr>
              <w:pStyle w:val="Heading3"/>
              <w:rPr>
                <w:rFonts w:cs="Arial"/>
              </w:rPr>
            </w:pPr>
          </w:p>
          <w:p w14:paraId="282FC695" w14:textId="77777777" w:rsidR="00054D0C" w:rsidRDefault="00054D0C" w:rsidP="00054D0C">
            <w:pPr>
              <w:pStyle w:val="Heading3"/>
              <w:rPr>
                <w:rFonts w:cs="Arial"/>
              </w:rPr>
            </w:pPr>
            <w:r w:rsidRPr="006A6865">
              <w:rPr>
                <w:rFonts w:cs="Arial"/>
              </w:rPr>
              <w:t>Ongoing monitoring:</w:t>
            </w:r>
          </w:p>
          <w:p w14:paraId="322896FF" w14:textId="7B9F5741" w:rsidR="008E7A2D" w:rsidRPr="008E7A2D" w:rsidRDefault="00E1241F" w:rsidP="00594CBB">
            <w:r w:rsidRPr="00504F30">
              <w:t>At initiation of shared care, communication to primary care should include current and ongoing dose, any relevant test results, and date the next monitoring is required.</w:t>
            </w:r>
          </w:p>
          <w:p w14:paraId="3ACB1C9D" w14:textId="77777777" w:rsidR="00054D0C" w:rsidRPr="006A6865" w:rsidRDefault="00054D0C" w:rsidP="0000666A">
            <w:pPr>
              <w:pStyle w:val="ListParagraph"/>
              <w:numPr>
                <w:ilvl w:val="0"/>
                <w:numId w:val="44"/>
              </w:numPr>
            </w:pPr>
            <w:r w:rsidRPr="006A6865">
              <w:t>Chest X-ray and pulmonary function tests, if respiratory symptoms or toxicity suspected</w:t>
            </w:r>
          </w:p>
          <w:p w14:paraId="3672B0FF" w14:textId="1D1585AF" w:rsidR="00054D0C" w:rsidRPr="0041687B" w:rsidRDefault="00054D0C" w:rsidP="00054D0C">
            <w:pPr>
              <w:rPr>
                <w:rFonts w:cs="Arial"/>
              </w:rPr>
            </w:pPr>
            <w:r w:rsidRPr="006A6865">
              <w:t xml:space="preserve">After each review, advise primary care whether treatment should be continued, confirm the ongoing dose, and whether the ongoing monitoring outlined in </w:t>
            </w:r>
            <w:hyperlink w:anchor="six_monitoring" w:history="1">
              <w:r w:rsidRPr="006A6865">
                <w:rPr>
                  <w:rStyle w:val="Hyperlink"/>
                </w:rPr>
                <w:t>section 6</w:t>
              </w:r>
            </w:hyperlink>
            <w:r w:rsidRPr="006A6865">
              <w:t xml:space="preserve"> remains appropriate.</w:t>
            </w:r>
            <w:r w:rsidRPr="0041687B">
              <w:t xml:space="preserve"> </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CD0E2E">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CD0E2E" w:rsidRPr="00F321FC" w14:paraId="33418424" w14:textId="77777777" w:rsidTr="00CD0E2E">
        <w:tc>
          <w:tcPr>
            <w:tcW w:w="5245" w:type="dxa"/>
          </w:tcPr>
          <w:p w14:paraId="4FC917A8" w14:textId="1DF67585" w:rsidR="0039688D" w:rsidRDefault="00CD0E2E" w:rsidP="00CD0E2E">
            <w:pPr>
              <w:spacing w:before="0" w:after="0"/>
              <w:contextualSpacing/>
              <w:rPr>
                <w:rFonts w:eastAsia="Times New Roman" w:cstheme="minorHAnsi"/>
                <w:color w:val="000000"/>
                <w:lang w:eastAsia="en-GB"/>
              </w:rPr>
            </w:pPr>
            <w:r>
              <w:rPr>
                <w:rFonts w:eastAsia="Times New Roman" w:cstheme="minorHAnsi"/>
                <w:color w:val="000000"/>
                <w:lang w:eastAsia="en-GB"/>
              </w:rPr>
              <w:t>Urea and electrolytes (including potassium) and creatinine clearance</w:t>
            </w:r>
          </w:p>
          <w:p w14:paraId="38C3A527" w14:textId="0D251785" w:rsidR="00CD0E2E" w:rsidRPr="007A56FB" w:rsidRDefault="0039688D" w:rsidP="00CD0E2E">
            <w:pPr>
              <w:spacing w:before="0" w:after="0"/>
              <w:contextualSpacing/>
              <w:rPr>
                <w:rFonts w:cs="Arial"/>
              </w:rPr>
            </w:pPr>
            <w:r>
              <w:rPr>
                <w:rFonts w:eastAsia="Times New Roman" w:cstheme="minorHAnsi"/>
                <w:color w:val="000000"/>
                <w:lang w:eastAsia="en-GB"/>
              </w:rPr>
              <w:t>Magnesium</w:t>
            </w:r>
          </w:p>
        </w:tc>
        <w:tc>
          <w:tcPr>
            <w:tcW w:w="5245" w:type="dxa"/>
          </w:tcPr>
          <w:p w14:paraId="460119A4" w14:textId="5D2C88F3" w:rsidR="00CD0E2E" w:rsidRPr="00F321FC" w:rsidRDefault="00CD0E2E" w:rsidP="00CD0E2E">
            <w:pPr>
              <w:rPr>
                <w:rFonts w:cs="Arial"/>
              </w:rPr>
            </w:pPr>
            <w:r>
              <w:rPr>
                <w:rFonts w:eastAsia="Times New Roman" w:cstheme="minorHAnsi"/>
                <w:iCs/>
                <w:color w:val="000000"/>
                <w:lang w:eastAsia="en-GB"/>
              </w:rPr>
              <w:t>Every 6 months</w:t>
            </w:r>
          </w:p>
        </w:tc>
      </w:tr>
      <w:tr w:rsidR="00CD0E2E" w:rsidRPr="00F321FC" w14:paraId="60A93057" w14:textId="77777777" w:rsidTr="00CD0E2E">
        <w:tc>
          <w:tcPr>
            <w:tcW w:w="5245" w:type="dxa"/>
          </w:tcPr>
          <w:p w14:paraId="0C76948D" w14:textId="3E49B4D0" w:rsidR="00CD0E2E" w:rsidRPr="00F321FC" w:rsidRDefault="00CD0E2E" w:rsidP="00CD0E2E">
            <w:pPr>
              <w:rPr>
                <w:rFonts w:cs="Arial"/>
              </w:rPr>
            </w:pPr>
            <w:r>
              <w:rPr>
                <w:rFonts w:eastAsia="Times New Roman" w:cstheme="minorHAnsi"/>
                <w:lang w:eastAsia="en-GB"/>
              </w:rPr>
              <w:t>Liver function tests</w:t>
            </w:r>
          </w:p>
        </w:tc>
        <w:tc>
          <w:tcPr>
            <w:tcW w:w="5245" w:type="dxa"/>
          </w:tcPr>
          <w:p w14:paraId="691BE65B" w14:textId="4527231A" w:rsidR="00861BA8" w:rsidRPr="006A6865" w:rsidRDefault="00CD0E2E" w:rsidP="00CD0E2E">
            <w:pPr>
              <w:pStyle w:val="ListParagraph"/>
              <w:numPr>
                <w:ilvl w:val="0"/>
                <w:numId w:val="47"/>
              </w:numPr>
              <w:spacing w:before="0" w:after="0"/>
              <w:contextualSpacing/>
              <w:rPr>
                <w:rFonts w:cs="Arial"/>
              </w:rPr>
            </w:pPr>
            <w:r>
              <w:rPr>
                <w:rFonts w:eastAsia="Times New Roman" w:cstheme="minorHAnsi"/>
                <w:iCs/>
                <w:color w:val="000000"/>
                <w:lang w:eastAsia="en-GB"/>
              </w:rPr>
              <w:t>Monthly for the first 6 months of treatment, and at month 9 and month 12</w:t>
            </w:r>
          </w:p>
          <w:p w14:paraId="5A85F8DE" w14:textId="21AE59AD" w:rsidR="00CD0E2E" w:rsidRPr="00861BA8" w:rsidRDefault="00CD0E2E" w:rsidP="007A3852">
            <w:pPr>
              <w:pStyle w:val="ListParagraph"/>
              <w:numPr>
                <w:ilvl w:val="0"/>
                <w:numId w:val="47"/>
              </w:numPr>
              <w:spacing w:before="0" w:after="0"/>
              <w:contextualSpacing/>
              <w:rPr>
                <w:rFonts w:cs="Arial"/>
              </w:rPr>
            </w:pPr>
            <w:r w:rsidRPr="007A3852">
              <w:rPr>
                <w:rFonts w:eastAsia="Times New Roman" w:cstheme="minorHAnsi"/>
                <w:iCs/>
                <w:color w:val="000000"/>
                <w:lang w:eastAsia="en-GB"/>
              </w:rPr>
              <w:t>Every 6 months thereafter</w:t>
            </w:r>
          </w:p>
        </w:tc>
      </w:tr>
      <w:tr w:rsidR="00CD0E2E" w:rsidRPr="00F321FC" w14:paraId="50A88F0A" w14:textId="77777777" w:rsidTr="00CD0E2E">
        <w:tc>
          <w:tcPr>
            <w:tcW w:w="5245" w:type="dxa"/>
          </w:tcPr>
          <w:p w14:paraId="0C5A175F" w14:textId="4DE24461" w:rsidR="00CD0E2E" w:rsidRDefault="00CD0E2E" w:rsidP="00CD0E2E">
            <w:pPr>
              <w:rPr>
                <w:rFonts w:eastAsia="Times New Roman" w:cstheme="minorHAnsi"/>
                <w:color w:val="000000"/>
                <w:lang w:eastAsia="en-GB"/>
              </w:rPr>
            </w:pPr>
            <w:r>
              <w:rPr>
                <w:rFonts w:eastAsia="Times New Roman" w:cstheme="minorHAnsi"/>
                <w:lang w:eastAsia="en-GB"/>
              </w:rPr>
              <w:lastRenderedPageBreak/>
              <w:t>Symptoms of heart failure,</w:t>
            </w:r>
            <w:r>
              <w:t xml:space="preserve"> </w:t>
            </w:r>
            <w:r>
              <w:rPr>
                <w:rFonts w:eastAsia="Times New Roman" w:cstheme="minorHAnsi"/>
                <w:lang w:eastAsia="en-GB"/>
              </w:rPr>
              <w:t>e.g. development or worsening of weight gain, dependent oedema, or dyspnoea</w:t>
            </w:r>
          </w:p>
        </w:tc>
        <w:tc>
          <w:tcPr>
            <w:tcW w:w="5245" w:type="dxa"/>
          </w:tcPr>
          <w:p w14:paraId="773F40DE" w14:textId="7C661221" w:rsidR="00CD0E2E" w:rsidRDefault="00CD0E2E" w:rsidP="00CD0E2E">
            <w:pPr>
              <w:rPr>
                <w:rFonts w:eastAsia="Times New Roman" w:cstheme="minorHAnsi"/>
                <w:iCs/>
                <w:color w:val="000000"/>
                <w:lang w:eastAsia="en-GB"/>
              </w:rPr>
            </w:pPr>
            <w:r>
              <w:rPr>
                <w:rFonts w:eastAsia="Times New Roman" w:cstheme="minorHAnsi"/>
                <w:iCs/>
                <w:lang w:eastAsia="en-GB"/>
              </w:rPr>
              <w:t>Ongoing</w:t>
            </w:r>
          </w:p>
        </w:tc>
      </w:tr>
      <w:tr w:rsidR="00CD0E2E" w:rsidRPr="00F321FC" w14:paraId="3FB12F82" w14:textId="77777777" w:rsidTr="00CD0E2E">
        <w:tc>
          <w:tcPr>
            <w:tcW w:w="5245" w:type="dxa"/>
          </w:tcPr>
          <w:p w14:paraId="2AD4DEF5" w14:textId="1A9D8A10" w:rsidR="00CD0E2E" w:rsidRDefault="00CD0E2E" w:rsidP="00CD0E2E">
            <w:pPr>
              <w:rPr>
                <w:rFonts w:eastAsia="Times New Roman" w:cstheme="minorHAnsi"/>
                <w:color w:val="000000"/>
                <w:lang w:eastAsia="en-GB"/>
              </w:rPr>
            </w:pPr>
            <w:r>
              <w:rPr>
                <w:rFonts w:eastAsia="Times New Roman" w:cstheme="minorHAnsi"/>
                <w:color w:val="000000"/>
                <w:lang w:eastAsia="en-GB"/>
              </w:rPr>
              <w:t xml:space="preserve">ECG </w:t>
            </w:r>
          </w:p>
        </w:tc>
        <w:tc>
          <w:tcPr>
            <w:tcW w:w="5245" w:type="dxa"/>
          </w:tcPr>
          <w:p w14:paraId="437A2383" w14:textId="0ECB22CC" w:rsidR="00CD0E2E" w:rsidRDefault="00CD0E2E" w:rsidP="00CD0E2E">
            <w:pPr>
              <w:rPr>
                <w:rFonts w:eastAsia="Times New Roman" w:cstheme="minorHAnsi"/>
                <w:iCs/>
                <w:color w:val="000000"/>
                <w:lang w:eastAsia="en-GB"/>
              </w:rPr>
            </w:pPr>
            <w:r>
              <w:rPr>
                <w:rFonts w:eastAsia="Times New Roman" w:cstheme="minorHAnsi"/>
                <w:color w:val="000000"/>
                <w:lang w:eastAsia="en-GB"/>
              </w:rPr>
              <w:t>At least every six months</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268"/>
        <w:gridCol w:w="8222"/>
      </w:tblGrid>
      <w:tr w:rsidR="00CD0E2E" w:rsidRPr="00F321FC" w14:paraId="793C17AD" w14:textId="77777777" w:rsidTr="00054D0C">
        <w:trPr>
          <w:cantSplit/>
        </w:trPr>
        <w:tc>
          <w:tcPr>
            <w:tcW w:w="2268" w:type="dxa"/>
          </w:tcPr>
          <w:p w14:paraId="435FCFFB" w14:textId="2404CE1C" w:rsidR="00CD0E2E" w:rsidRPr="00F321FC" w:rsidRDefault="00CD0E2E" w:rsidP="00CD0E2E">
            <w:pPr>
              <w:rPr>
                <w:rFonts w:cs="Arial"/>
              </w:rPr>
            </w:pPr>
            <w:r w:rsidRPr="00F321FC">
              <w:rPr>
                <w:rFonts w:cs="Arial"/>
              </w:rPr>
              <w:t>Route of administration:</w:t>
            </w:r>
          </w:p>
        </w:tc>
        <w:tc>
          <w:tcPr>
            <w:tcW w:w="8222" w:type="dxa"/>
          </w:tcPr>
          <w:p w14:paraId="58A97D63" w14:textId="7AEA061F" w:rsidR="00CD0E2E" w:rsidRPr="00F321FC" w:rsidRDefault="00CD0E2E" w:rsidP="00CD0E2E">
            <w:pPr>
              <w:rPr>
                <w:rFonts w:cs="Arial"/>
              </w:rPr>
            </w:pPr>
            <w:r>
              <w:rPr>
                <w:rFonts w:eastAsia="Times New Roman" w:cstheme="minorHAnsi"/>
                <w:szCs w:val="24"/>
                <w:lang w:eastAsia="en-GB"/>
              </w:rPr>
              <w:t>Oral</w:t>
            </w:r>
          </w:p>
        </w:tc>
      </w:tr>
      <w:tr w:rsidR="00CD0E2E" w:rsidRPr="00F321FC" w14:paraId="0E5DDFDD" w14:textId="77777777" w:rsidTr="00054D0C">
        <w:trPr>
          <w:cantSplit/>
        </w:trPr>
        <w:tc>
          <w:tcPr>
            <w:tcW w:w="2268" w:type="dxa"/>
          </w:tcPr>
          <w:p w14:paraId="3B641692" w14:textId="6763D472" w:rsidR="00CD0E2E" w:rsidRPr="00F321FC" w:rsidRDefault="00CD0E2E" w:rsidP="00CD0E2E">
            <w:pPr>
              <w:rPr>
                <w:rFonts w:cs="Arial"/>
              </w:rPr>
            </w:pPr>
            <w:r w:rsidRPr="00F321FC">
              <w:rPr>
                <w:rFonts w:cs="Arial"/>
              </w:rPr>
              <w:t>Formulation:</w:t>
            </w:r>
          </w:p>
        </w:tc>
        <w:tc>
          <w:tcPr>
            <w:tcW w:w="8222" w:type="dxa"/>
            <w:vAlign w:val="center"/>
          </w:tcPr>
          <w:p w14:paraId="09C2B9C8" w14:textId="7EF9D6C2" w:rsidR="00CD0E2E" w:rsidRPr="00F321FC" w:rsidRDefault="00CD0E2E" w:rsidP="00CD0E2E">
            <w:pPr>
              <w:rPr>
                <w:rFonts w:cs="Arial"/>
              </w:rPr>
            </w:pPr>
            <w:r>
              <w:rPr>
                <w:rFonts w:eastAsia="Times New Roman" w:cstheme="minorHAnsi"/>
                <w:iCs/>
                <w:noProof/>
                <w:color w:val="000000"/>
                <w:lang w:val="en-US" w:eastAsia="en-GB"/>
              </w:rPr>
              <w:t>400 mg film-coated tablets</w:t>
            </w:r>
          </w:p>
        </w:tc>
      </w:tr>
      <w:tr w:rsidR="00CD0E2E" w:rsidRPr="00F321FC" w14:paraId="4D08654E" w14:textId="77777777" w:rsidTr="00054D0C">
        <w:trPr>
          <w:cantSplit/>
        </w:trPr>
        <w:tc>
          <w:tcPr>
            <w:tcW w:w="2268" w:type="dxa"/>
          </w:tcPr>
          <w:p w14:paraId="5807ABCD" w14:textId="7BDA162B" w:rsidR="00CD0E2E" w:rsidRPr="00F321FC" w:rsidRDefault="00CD0E2E" w:rsidP="00CD0E2E">
            <w:pPr>
              <w:rPr>
                <w:rFonts w:cs="Arial"/>
              </w:rPr>
            </w:pPr>
            <w:r w:rsidRPr="00F321FC">
              <w:rPr>
                <w:rFonts w:cs="Arial"/>
              </w:rPr>
              <w:t>Administration details:</w:t>
            </w:r>
          </w:p>
        </w:tc>
        <w:tc>
          <w:tcPr>
            <w:tcW w:w="8222" w:type="dxa"/>
          </w:tcPr>
          <w:p w14:paraId="51B0C849" w14:textId="77777777" w:rsidR="00CD0E2E" w:rsidRDefault="00CD0E2E" w:rsidP="00CD0E2E">
            <w:pPr>
              <w:spacing w:after="0"/>
              <w:rPr>
                <w:rFonts w:eastAsia="Times New Roman" w:cstheme="minorHAnsi"/>
                <w:color w:val="000000"/>
                <w:lang w:eastAsia="en-GB"/>
              </w:rPr>
            </w:pPr>
            <w:r>
              <w:rPr>
                <w:rFonts w:eastAsia="Times New Roman" w:cstheme="minorHAnsi"/>
                <w:color w:val="000000"/>
                <w:lang w:eastAsia="en-GB"/>
              </w:rPr>
              <w:t xml:space="preserve">Tablets should be swallowed whole with a drink of water during a meal. The tablet cannot be divided into equal doses and should not be split. </w:t>
            </w:r>
          </w:p>
          <w:p w14:paraId="3956ABC5" w14:textId="06008372" w:rsidR="00CD0E2E" w:rsidRPr="00F321FC" w:rsidRDefault="00CD0E2E" w:rsidP="00CD0E2E">
            <w:pPr>
              <w:rPr>
                <w:rFonts w:cs="Arial"/>
              </w:rPr>
            </w:pPr>
            <w:r>
              <w:rPr>
                <w:rFonts w:eastAsia="Times New Roman" w:cstheme="minorHAnsi"/>
                <w:color w:val="000000"/>
                <w:lang w:eastAsia="en-GB"/>
              </w:rPr>
              <w:t>If a dose is missed, patients should take the next dose at the regular scheduled time and should not double the dose.</w:t>
            </w:r>
          </w:p>
        </w:tc>
      </w:tr>
      <w:tr w:rsidR="00CD0E2E" w:rsidRPr="00F321FC" w14:paraId="1BF5C41D" w14:textId="77777777" w:rsidTr="00054D0C">
        <w:trPr>
          <w:cantSplit/>
        </w:trPr>
        <w:tc>
          <w:tcPr>
            <w:tcW w:w="2268" w:type="dxa"/>
          </w:tcPr>
          <w:p w14:paraId="00D209C3" w14:textId="4AA020DB" w:rsidR="00CD0E2E" w:rsidRPr="00F321FC" w:rsidRDefault="00CD0E2E" w:rsidP="00CD0E2E">
            <w:pPr>
              <w:rPr>
                <w:rFonts w:cs="Arial"/>
              </w:rPr>
            </w:pPr>
            <w:r>
              <w:rPr>
                <w:rFonts w:cs="Arial"/>
              </w:rPr>
              <w:t xml:space="preserve">Other important information: </w:t>
            </w:r>
          </w:p>
        </w:tc>
        <w:tc>
          <w:tcPr>
            <w:tcW w:w="8222" w:type="dxa"/>
          </w:tcPr>
          <w:p w14:paraId="14CD1D9D" w14:textId="5CBF679B" w:rsidR="00CD0E2E" w:rsidRPr="001A51F3" w:rsidRDefault="00CD0E2E" w:rsidP="00CD0E2E">
            <w:pPr>
              <w:autoSpaceDE w:val="0"/>
              <w:autoSpaceDN w:val="0"/>
              <w:adjustRightInd w:val="0"/>
              <w:rPr>
                <w:rFonts w:eastAsia="Times New Roman" w:cstheme="minorHAnsi"/>
                <w:szCs w:val="24"/>
                <w:lang w:eastAsia="en-GB"/>
              </w:rPr>
            </w:pPr>
            <w:r>
              <w:rPr>
                <w:rFonts w:eastAsia="Times New Roman" w:cstheme="minorHAnsi"/>
                <w:color w:val="000000"/>
                <w:szCs w:val="24"/>
                <w:lang w:eastAsia="en-GB"/>
              </w:rPr>
              <w:t xml:space="preserve">Grapefruit juice should be avoided during treatment with dronedarone (see </w:t>
            </w:r>
            <w:hyperlink w:anchor="nine_interactions" w:history="1">
              <w:r>
                <w:rPr>
                  <w:rStyle w:val="Hyperlink"/>
                  <w:rFonts w:eastAsia="Times New Roman" w:cstheme="minorHAnsi"/>
                  <w:szCs w:val="24"/>
                  <w:lang w:eastAsia="en-GB"/>
                </w:rPr>
                <w:t>section 7</w:t>
              </w:r>
            </w:hyperlink>
            <w:r>
              <w:rPr>
                <w:rFonts w:eastAsia="Times New Roman" w:cstheme="minorHAnsi"/>
                <w:color w:val="000000"/>
                <w:szCs w:val="24"/>
                <w:lang w:eastAsia="en-GB"/>
              </w:rPr>
              <w:t>).</w:t>
            </w:r>
          </w:p>
        </w:tc>
      </w:tr>
    </w:tbl>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CD0E2E" w:rsidRPr="00F321FC" w14:paraId="4A999C67" w14:textId="77777777" w:rsidTr="00CD0E2E">
        <w:tc>
          <w:tcPr>
            <w:tcW w:w="2407" w:type="dxa"/>
          </w:tcPr>
          <w:p w14:paraId="6BB97933" w14:textId="5394937C" w:rsidR="00CD0E2E" w:rsidRPr="00F321FC" w:rsidRDefault="00CD0E2E" w:rsidP="00CD0E2E">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4DEC569B" w14:textId="77777777" w:rsidR="00CD0E2E" w:rsidRDefault="00CD0E2E" w:rsidP="00CD0E2E">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17" w:history="1">
              <w:r w:rsidRPr="006A6865">
                <w:rPr>
                  <w:rStyle w:val="Hyperlink"/>
                  <w:rFonts w:cs="Arial"/>
                </w:rPr>
                <w:t>BNF</w:t>
              </w:r>
            </w:hyperlink>
            <w:r w:rsidRPr="00FB404F">
              <w:rPr>
                <w:rFonts w:cs="Arial"/>
              </w:rPr>
              <w:t xml:space="preserve"> &amp; </w:t>
            </w:r>
            <w:hyperlink r:id="rId18" w:history="1">
              <w:r w:rsidRPr="006A6865">
                <w:rPr>
                  <w:rStyle w:val="Hyperlink"/>
                  <w:rFonts w:cs="Arial"/>
                </w:rPr>
                <w:t>SPC</w:t>
              </w:r>
            </w:hyperlink>
            <w:r w:rsidRPr="00FB404F">
              <w:rPr>
                <w:rFonts w:cs="Arial"/>
              </w:rPr>
              <w:t xml:space="preserve"> for comprehensive information.</w:t>
            </w:r>
          </w:p>
          <w:p w14:paraId="7EC35EA8" w14:textId="77777777" w:rsidR="00CD0E2E" w:rsidRDefault="00CD0E2E" w:rsidP="00CD0E2E">
            <w:pPr>
              <w:rPr>
                <w:rFonts w:cs="Arial"/>
              </w:rPr>
            </w:pPr>
          </w:p>
          <w:p w14:paraId="281357E2" w14:textId="77777777" w:rsidR="00CD0E2E" w:rsidRPr="006A6865" w:rsidRDefault="00CD0E2E" w:rsidP="00CD0E2E">
            <w:pPr>
              <w:rPr>
                <w:rFonts w:cs="Arial"/>
                <w:b/>
                <w:bCs/>
              </w:rPr>
            </w:pPr>
            <w:r w:rsidRPr="006A6865">
              <w:rPr>
                <w:rFonts w:cs="Arial"/>
                <w:b/>
                <w:bCs/>
              </w:rPr>
              <w:t>Contraindications:</w:t>
            </w:r>
          </w:p>
          <w:p w14:paraId="091F2E87" w14:textId="6F8ADB4F" w:rsidR="00CD0E2E" w:rsidRPr="006A6865" w:rsidRDefault="00CD0E2E" w:rsidP="00CD0E2E">
            <w:pPr>
              <w:pStyle w:val="ListParagraph"/>
              <w:numPr>
                <w:ilvl w:val="0"/>
                <w:numId w:val="44"/>
              </w:numPr>
            </w:pPr>
            <w:r w:rsidRPr="006A6865">
              <w:t>Known hypersensitivity to dronedarone or any of the excipients</w:t>
            </w:r>
            <w:r>
              <w:t>.</w:t>
            </w:r>
          </w:p>
          <w:p w14:paraId="0C48B814" w14:textId="3D0C5EB5" w:rsidR="00CD0E2E" w:rsidRPr="006A6865" w:rsidRDefault="00CD0E2E" w:rsidP="00CD0E2E">
            <w:pPr>
              <w:pStyle w:val="ListParagraph"/>
              <w:numPr>
                <w:ilvl w:val="0"/>
                <w:numId w:val="44"/>
              </w:numPr>
            </w:pPr>
            <w:r w:rsidRPr="006A6865">
              <w:t>Second- or third-degree atrio-ventricular block, complete bundle branch block, distal block, sinus node dysfunction, atrial conduction defects, or sick sinus syndrome (except when used in conjunction with a functioning pacemaker)</w:t>
            </w:r>
            <w:r>
              <w:t>.</w:t>
            </w:r>
          </w:p>
          <w:p w14:paraId="5CCA923C" w14:textId="1E9A2D15" w:rsidR="00CD0E2E" w:rsidRPr="006A6865" w:rsidRDefault="00CD0E2E" w:rsidP="00CD0E2E">
            <w:pPr>
              <w:pStyle w:val="ListParagraph"/>
              <w:numPr>
                <w:ilvl w:val="0"/>
                <w:numId w:val="44"/>
              </w:numPr>
            </w:pPr>
            <w:r w:rsidRPr="006A6865">
              <w:t>Bradycardia less than 50 beats per minute</w:t>
            </w:r>
            <w:r>
              <w:t>.</w:t>
            </w:r>
          </w:p>
          <w:p w14:paraId="6258DFC3" w14:textId="1BC0449D" w:rsidR="00CD0E2E" w:rsidRPr="006A6865" w:rsidRDefault="00CD0E2E" w:rsidP="00CD0E2E">
            <w:pPr>
              <w:pStyle w:val="ListParagraph"/>
              <w:numPr>
                <w:ilvl w:val="0"/>
                <w:numId w:val="44"/>
              </w:numPr>
            </w:pPr>
            <w:r w:rsidRPr="006A6865">
              <w:t>Permanent atrial fibrillation (AF) with an AF duration ≥6 months (or duration unknown</w:t>
            </w:r>
            <w:proofErr w:type="gramStart"/>
            <w:r w:rsidRPr="006A6865">
              <w:t>), and</w:t>
            </w:r>
            <w:proofErr w:type="gramEnd"/>
            <w:r w:rsidRPr="006A6865">
              <w:t xml:space="preserve"> attempts to restore sinus rhythm no longer considered by the physician</w:t>
            </w:r>
            <w:r>
              <w:t>.</w:t>
            </w:r>
          </w:p>
          <w:p w14:paraId="068D1F20" w14:textId="3A15078A" w:rsidR="00CD0E2E" w:rsidRPr="006A6865" w:rsidRDefault="00CD0E2E" w:rsidP="00CD0E2E">
            <w:pPr>
              <w:pStyle w:val="ListParagraph"/>
              <w:numPr>
                <w:ilvl w:val="0"/>
                <w:numId w:val="44"/>
              </w:numPr>
            </w:pPr>
            <w:r w:rsidRPr="006A6865">
              <w:t>Unstable haemodynamic conditions</w:t>
            </w:r>
            <w:r>
              <w:t>.</w:t>
            </w:r>
          </w:p>
          <w:p w14:paraId="6EEFB596" w14:textId="5DCBED2F" w:rsidR="00CD0E2E" w:rsidRPr="006A6865" w:rsidRDefault="00CD0E2E" w:rsidP="00CD0E2E">
            <w:pPr>
              <w:pStyle w:val="ListParagraph"/>
              <w:numPr>
                <w:ilvl w:val="0"/>
                <w:numId w:val="44"/>
              </w:numPr>
            </w:pPr>
            <w:r w:rsidRPr="006A6865">
              <w:t xml:space="preserve">History of or current heart </w:t>
            </w:r>
            <w:proofErr w:type="gramStart"/>
            <w:r w:rsidRPr="006A6865">
              <w:t>failure, or</w:t>
            </w:r>
            <w:proofErr w:type="gramEnd"/>
            <w:r w:rsidRPr="006A6865">
              <w:t xml:space="preserve"> left ventricular systolic dysfunction</w:t>
            </w:r>
            <w:r>
              <w:t>.</w:t>
            </w:r>
          </w:p>
          <w:p w14:paraId="7D1626B6" w14:textId="735719EF" w:rsidR="00CD0E2E" w:rsidRPr="006A6865" w:rsidRDefault="00CD0E2E" w:rsidP="00CD0E2E">
            <w:pPr>
              <w:pStyle w:val="ListParagraph"/>
              <w:numPr>
                <w:ilvl w:val="0"/>
                <w:numId w:val="44"/>
              </w:numPr>
            </w:pPr>
            <w:r w:rsidRPr="006A6865">
              <w:t>Patients with liver or lung toxicity related to previous use of amiodarone</w:t>
            </w:r>
            <w:r>
              <w:t>.</w:t>
            </w:r>
          </w:p>
          <w:p w14:paraId="55D8119F" w14:textId="53CEFE11" w:rsidR="00CD0E2E" w:rsidRPr="006A6865" w:rsidRDefault="00CD0E2E" w:rsidP="00CD0E2E">
            <w:pPr>
              <w:pStyle w:val="ListParagraph"/>
              <w:numPr>
                <w:ilvl w:val="0"/>
                <w:numId w:val="44"/>
              </w:numPr>
            </w:pPr>
            <w:r w:rsidRPr="006A6865">
              <w:t xml:space="preserve">Co-administration with potent cytochrome P450 3A4 (CYP3A4) inhibitors, such as ketoconazole, itraconazole, voriconazole, posaconazole, telithromycin, clarithromycin, nefazodone and ritonavir (see </w:t>
            </w:r>
            <w:hyperlink w:anchor="nine_interactions" w:history="1">
              <w:r w:rsidRPr="006A6865">
                <w:rPr>
                  <w:rStyle w:val="Hyperlink"/>
                </w:rPr>
                <w:t xml:space="preserve">section </w:t>
              </w:r>
              <w:r>
                <w:rPr>
                  <w:rStyle w:val="Hyperlink"/>
                </w:rPr>
                <w:t>9</w:t>
              </w:r>
            </w:hyperlink>
            <w:r w:rsidRPr="006A6865">
              <w:t>)</w:t>
            </w:r>
            <w:r>
              <w:t>.</w:t>
            </w:r>
          </w:p>
          <w:p w14:paraId="5D28E431" w14:textId="46F5B036" w:rsidR="00CD0E2E" w:rsidRPr="006A6865" w:rsidRDefault="00CD0E2E" w:rsidP="00CD0E2E">
            <w:pPr>
              <w:pStyle w:val="ListParagraph"/>
              <w:numPr>
                <w:ilvl w:val="0"/>
                <w:numId w:val="44"/>
              </w:numPr>
            </w:pPr>
            <w:r w:rsidRPr="006A6865">
              <w:t xml:space="preserve">Co-administration with medicinal products inducing </w:t>
            </w:r>
            <w:proofErr w:type="spellStart"/>
            <w:r w:rsidRPr="006A6865">
              <w:t>torsades</w:t>
            </w:r>
            <w:proofErr w:type="spellEnd"/>
            <w:r w:rsidRPr="006A6865">
              <w:t xml:space="preserve"> de pointes, including phenothiazines, </w:t>
            </w:r>
            <w:proofErr w:type="spellStart"/>
            <w:r w:rsidRPr="006A6865">
              <w:t>cisapride</w:t>
            </w:r>
            <w:proofErr w:type="spellEnd"/>
            <w:r w:rsidRPr="006A6865">
              <w:t>, bepridil, tricyclic antidepressants, terfenadine and certain oral macrolides (such as erythromycin), class I and III anti-</w:t>
            </w:r>
            <w:proofErr w:type="spellStart"/>
            <w:r w:rsidRPr="006A6865">
              <w:t>arrhythmics</w:t>
            </w:r>
            <w:proofErr w:type="spellEnd"/>
            <w:r w:rsidRPr="006A6865">
              <w:t xml:space="preserve"> (see </w:t>
            </w:r>
            <w:hyperlink w:anchor="nine_interactions" w:history="1">
              <w:r w:rsidRPr="006A6865">
                <w:rPr>
                  <w:rStyle w:val="Hyperlink"/>
                </w:rPr>
                <w:t xml:space="preserve">section </w:t>
              </w:r>
              <w:r>
                <w:rPr>
                  <w:rStyle w:val="Hyperlink"/>
                </w:rPr>
                <w:t>9</w:t>
              </w:r>
            </w:hyperlink>
            <w:r w:rsidRPr="006A6865">
              <w:t>)</w:t>
            </w:r>
            <w:r>
              <w:t>.</w:t>
            </w:r>
          </w:p>
          <w:p w14:paraId="04C70711" w14:textId="5A75DFE2" w:rsidR="00CD0E2E" w:rsidRPr="006A6865" w:rsidRDefault="00CD0E2E" w:rsidP="00CD0E2E">
            <w:pPr>
              <w:pStyle w:val="ListParagraph"/>
              <w:numPr>
                <w:ilvl w:val="0"/>
                <w:numId w:val="44"/>
              </w:numPr>
            </w:pPr>
            <w:r w:rsidRPr="006A6865">
              <w:t>Co-administration with dabigatran</w:t>
            </w:r>
            <w:r>
              <w:t>.</w:t>
            </w:r>
          </w:p>
          <w:p w14:paraId="6266D3CA" w14:textId="09B14E65" w:rsidR="00CD0E2E" w:rsidRPr="006A6865" w:rsidRDefault="00CD0E2E" w:rsidP="00CD0E2E">
            <w:pPr>
              <w:pStyle w:val="ListParagraph"/>
              <w:numPr>
                <w:ilvl w:val="0"/>
                <w:numId w:val="44"/>
              </w:numPr>
            </w:pPr>
            <w:r w:rsidRPr="006A6865">
              <w:t xml:space="preserve">QTc </w:t>
            </w:r>
            <w:proofErr w:type="spellStart"/>
            <w:r w:rsidRPr="006A6865">
              <w:t>Bazett</w:t>
            </w:r>
            <w:proofErr w:type="spellEnd"/>
            <w:r w:rsidRPr="006A6865">
              <w:t xml:space="preserve"> interval greater than 500 milliseconds</w:t>
            </w:r>
            <w:r>
              <w:t>.</w:t>
            </w:r>
          </w:p>
          <w:p w14:paraId="1DD7EA91" w14:textId="4E50F677" w:rsidR="00CD0E2E" w:rsidRPr="006A6865" w:rsidRDefault="00CD0E2E" w:rsidP="00CD0E2E">
            <w:pPr>
              <w:pStyle w:val="ListParagraph"/>
              <w:numPr>
                <w:ilvl w:val="0"/>
                <w:numId w:val="44"/>
              </w:numPr>
            </w:pPr>
            <w:r w:rsidRPr="006A6865">
              <w:lastRenderedPageBreak/>
              <w:t>Severe hepatic or renal impairment (</w:t>
            </w:r>
            <w:proofErr w:type="spellStart"/>
            <w:r w:rsidRPr="006A6865">
              <w:t>CrCl</w:t>
            </w:r>
            <w:proofErr w:type="spellEnd"/>
            <w:r w:rsidRPr="006A6865">
              <w:t xml:space="preserve"> </w:t>
            </w:r>
            <w:r w:rsidR="00CE5F7D">
              <w:t xml:space="preserve">less than </w:t>
            </w:r>
            <w:r w:rsidRPr="006A6865">
              <w:t>30 mL/min)</w:t>
            </w:r>
            <w:r>
              <w:t>.</w:t>
            </w:r>
          </w:p>
          <w:p w14:paraId="7F4E6BA7" w14:textId="77777777" w:rsidR="00CD0E2E" w:rsidRPr="006A6865" w:rsidRDefault="00CD0E2E" w:rsidP="00CD0E2E">
            <w:pPr>
              <w:rPr>
                <w:rFonts w:cs="Arial"/>
                <w:b/>
                <w:bCs/>
              </w:rPr>
            </w:pPr>
          </w:p>
          <w:p w14:paraId="7E84E199" w14:textId="77777777" w:rsidR="00CD0E2E" w:rsidRPr="006A6865" w:rsidRDefault="00CD0E2E" w:rsidP="00CD0E2E">
            <w:pPr>
              <w:rPr>
                <w:rFonts w:cs="Arial"/>
                <w:b/>
                <w:bCs/>
              </w:rPr>
            </w:pPr>
            <w:r w:rsidRPr="006A6865">
              <w:rPr>
                <w:rFonts w:cs="Arial"/>
                <w:b/>
                <w:bCs/>
              </w:rPr>
              <w:t>Cautions:</w:t>
            </w:r>
          </w:p>
          <w:p w14:paraId="456B90AA" w14:textId="4CF40312" w:rsidR="00CD0E2E" w:rsidRPr="007A56FB" w:rsidRDefault="00054D0C" w:rsidP="00CD0E2E">
            <w:pPr>
              <w:rPr>
                <w:rFonts w:cs="Arial"/>
              </w:rPr>
            </w:pPr>
            <w:r w:rsidRPr="006A6865">
              <w:t>Dronedarone can cause serious adverse reactions; clinical monitoring for development of congestive heart failure, left ventricular systolic</w:t>
            </w:r>
            <w:r w:rsidRPr="006A6865">
              <w:rPr>
                <w:rFonts w:cs="Arial"/>
                <w:b/>
                <w:bCs/>
              </w:rPr>
              <w:t xml:space="preserve"> </w:t>
            </w:r>
            <w:r w:rsidRPr="007A3852">
              <w:rPr>
                <w:rFonts w:cs="Arial"/>
              </w:rPr>
              <w:t>dysfunction</w:t>
            </w:r>
            <w:r w:rsidRPr="006A6865">
              <w:rPr>
                <w:rFonts w:cs="Arial"/>
                <w:b/>
                <w:bCs/>
              </w:rPr>
              <w:t xml:space="preserve">, </w:t>
            </w:r>
            <w:r w:rsidRPr="006A6865">
              <w:t xml:space="preserve">QTc prolongation, liver injury, and respiratory disease are required (see also </w:t>
            </w:r>
            <w:hyperlink w:anchor="five_initial_monitoring" w:history="1">
              <w:r w:rsidRPr="006A6865">
                <w:rPr>
                  <w:rStyle w:val="Hyperlink"/>
                </w:rPr>
                <w:t xml:space="preserve">section </w:t>
              </w:r>
              <w:r>
                <w:rPr>
                  <w:rStyle w:val="Hyperlink"/>
                </w:rPr>
                <w:t>5</w:t>
              </w:r>
            </w:hyperlink>
            <w:r w:rsidRPr="006A6865">
              <w:t xml:space="preserve"> &amp; </w:t>
            </w:r>
            <w:hyperlink w:anchor="six_monitoring" w:history="1">
              <w:r w:rsidRPr="006A6865">
                <w:rPr>
                  <w:rStyle w:val="Hyperlink"/>
                </w:rPr>
                <w:t>section 6</w:t>
              </w:r>
            </w:hyperlink>
            <w:r w:rsidRPr="006A6865">
              <w:t>).</w:t>
            </w:r>
          </w:p>
        </w:tc>
      </w:tr>
      <w:tr w:rsidR="00CD0E2E" w:rsidRPr="00F321FC" w14:paraId="11E3D793" w14:textId="77777777" w:rsidTr="00CD0E2E">
        <w:tc>
          <w:tcPr>
            <w:tcW w:w="2407" w:type="dxa"/>
          </w:tcPr>
          <w:p w14:paraId="1E8C8FBF" w14:textId="3ED10190" w:rsidR="00CD0E2E" w:rsidRPr="00F321FC" w:rsidRDefault="00CD0E2E" w:rsidP="00CD0E2E">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67A55DD4" w14:textId="77777777" w:rsidR="00054D0C" w:rsidRDefault="00054D0C" w:rsidP="00054D0C">
            <w:pPr>
              <w:rPr>
                <w:rFonts w:cs="Arial"/>
              </w:rPr>
            </w:pPr>
            <w:r w:rsidRPr="00FB404F">
              <w:rPr>
                <w:rFonts w:cs="Arial"/>
              </w:rPr>
              <w:t xml:space="preserve">The following list is not exhaustive. Please see </w:t>
            </w:r>
            <w:hyperlink r:id="rId19" w:history="1">
              <w:r w:rsidRPr="006A6865">
                <w:rPr>
                  <w:rStyle w:val="Hyperlink"/>
                  <w:rFonts w:cs="Arial"/>
                </w:rPr>
                <w:t>BNF</w:t>
              </w:r>
            </w:hyperlink>
            <w:r w:rsidRPr="00FB404F">
              <w:rPr>
                <w:rFonts w:cs="Arial"/>
              </w:rPr>
              <w:t xml:space="preserve"> &amp; </w:t>
            </w:r>
            <w:hyperlink r:id="rId20" w:history="1">
              <w:r w:rsidRPr="006A6865">
                <w:rPr>
                  <w:rStyle w:val="Hyperlink"/>
                  <w:rFonts w:cs="Arial"/>
                </w:rPr>
                <w:t>SPC</w:t>
              </w:r>
            </w:hyperlink>
            <w:r w:rsidRPr="00FB404F">
              <w:rPr>
                <w:rFonts w:cs="Arial"/>
              </w:rPr>
              <w:t xml:space="preserve"> for comprehensive information and recommended management.</w:t>
            </w:r>
          </w:p>
          <w:p w14:paraId="4E0D799D" w14:textId="77777777" w:rsidR="00054D0C" w:rsidRDefault="00054D0C" w:rsidP="00054D0C">
            <w:pPr>
              <w:rPr>
                <w:rFonts w:cs="Arial"/>
              </w:rPr>
            </w:pPr>
          </w:p>
          <w:p w14:paraId="75FF4F94" w14:textId="77777777" w:rsidR="00054D0C" w:rsidRDefault="00054D0C" w:rsidP="00054D0C">
            <w:pPr>
              <w:rPr>
                <w:rFonts w:cs="Arial"/>
              </w:rPr>
            </w:pPr>
            <w:r w:rsidRPr="006A6865">
              <w:rPr>
                <w:rFonts w:cs="Arial"/>
                <w:b/>
                <w:bCs/>
              </w:rPr>
              <w:t xml:space="preserve">Dronedarone is associated with </w:t>
            </w:r>
            <w:proofErr w:type="gramStart"/>
            <w:r w:rsidRPr="006A6865">
              <w:rPr>
                <w:rFonts w:cs="Arial"/>
                <w:b/>
                <w:bCs/>
              </w:rPr>
              <w:t>a large number of</w:t>
            </w:r>
            <w:proofErr w:type="gramEnd"/>
            <w:r w:rsidRPr="006A6865">
              <w:rPr>
                <w:rFonts w:cs="Arial"/>
                <w:b/>
                <w:bCs/>
              </w:rPr>
              <w:t xml:space="preserve"> interactions, some of which are significant enough to contradict concurrent use, require dose adjustment and/or additional monitoring</w:t>
            </w:r>
            <w:r w:rsidRPr="006A6865">
              <w:rPr>
                <w:rFonts w:cs="Arial"/>
              </w:rPr>
              <w:t>.</w:t>
            </w:r>
          </w:p>
          <w:p w14:paraId="5E9CCEE9" w14:textId="77777777" w:rsidR="00054D0C" w:rsidRPr="006A6865" w:rsidRDefault="00054D0C" w:rsidP="00054D0C">
            <w:pPr>
              <w:rPr>
                <w:rFonts w:cs="Arial"/>
              </w:rPr>
            </w:pPr>
          </w:p>
          <w:p w14:paraId="40BA9B15" w14:textId="77777777" w:rsidR="00054D0C" w:rsidRDefault="00054D0C" w:rsidP="00054D0C">
            <w:pPr>
              <w:rPr>
                <w:rFonts w:cs="Arial"/>
              </w:rPr>
            </w:pPr>
            <w:r w:rsidRPr="006A6865">
              <w:rPr>
                <w:rFonts w:cs="Arial"/>
              </w:rPr>
              <w:t xml:space="preserve">Dronedarone is contraindicated when co-administered with potent cytochrome P450 3A4 (CYP3A4) inhibitors, medicinal products inducing </w:t>
            </w:r>
            <w:proofErr w:type="spellStart"/>
            <w:r w:rsidRPr="006A6865">
              <w:rPr>
                <w:rFonts w:cs="Arial"/>
              </w:rPr>
              <w:t>torsades</w:t>
            </w:r>
            <w:proofErr w:type="spellEnd"/>
            <w:r w:rsidRPr="006A6865">
              <w:rPr>
                <w:rFonts w:cs="Arial"/>
              </w:rPr>
              <w:t xml:space="preserve"> de pointes, and dabigatran (see </w:t>
            </w:r>
            <w:hyperlink w:anchor="eight_cautions_cx" w:history="1">
              <w:r w:rsidRPr="006A6865">
                <w:rPr>
                  <w:rStyle w:val="Hyperlink"/>
                  <w:rFonts w:cs="Arial"/>
                </w:rPr>
                <w:t>section 8</w:t>
              </w:r>
            </w:hyperlink>
            <w:r w:rsidRPr="006A6865">
              <w:rPr>
                <w:rFonts w:cs="Arial"/>
              </w:rPr>
              <w:t>).</w:t>
            </w:r>
          </w:p>
          <w:p w14:paraId="51DC57AF" w14:textId="77777777" w:rsidR="00054D0C" w:rsidRPr="006A6865" w:rsidRDefault="00054D0C" w:rsidP="00054D0C">
            <w:pPr>
              <w:rPr>
                <w:rFonts w:cs="Arial"/>
              </w:rPr>
            </w:pPr>
          </w:p>
          <w:p w14:paraId="0D1CB35D" w14:textId="77777777" w:rsidR="00054D0C" w:rsidRPr="006A6865" w:rsidRDefault="00054D0C" w:rsidP="00054D0C">
            <w:pPr>
              <w:rPr>
                <w:rFonts w:cs="Arial"/>
              </w:rPr>
            </w:pPr>
            <w:r w:rsidRPr="006A6865">
              <w:rPr>
                <w:rFonts w:cs="Arial"/>
              </w:rPr>
              <w:t xml:space="preserve">Dronedarone is an enzyme inhibitor and can increase exposure to </w:t>
            </w:r>
            <w:proofErr w:type="gramStart"/>
            <w:r w:rsidRPr="006A6865">
              <w:rPr>
                <w:rFonts w:cs="Arial"/>
              </w:rPr>
              <w:t>a number of</w:t>
            </w:r>
            <w:proofErr w:type="gramEnd"/>
            <w:r w:rsidRPr="006A6865">
              <w:rPr>
                <w:rFonts w:cs="Arial"/>
              </w:rPr>
              <w:t xml:space="preserve"> medicines including:</w:t>
            </w:r>
          </w:p>
          <w:p w14:paraId="2119A1A5" w14:textId="77777777" w:rsidR="00054D0C" w:rsidRPr="006A6865" w:rsidRDefault="00054D0C" w:rsidP="00054D0C">
            <w:pPr>
              <w:pStyle w:val="ListParagraph"/>
              <w:numPr>
                <w:ilvl w:val="0"/>
                <w:numId w:val="44"/>
              </w:numPr>
              <w:rPr>
                <w:rFonts w:cs="Arial"/>
              </w:rPr>
            </w:pPr>
            <w:r w:rsidRPr="006A6865">
              <w:rPr>
                <w:rFonts w:cs="Arial"/>
              </w:rPr>
              <w:t>P-glycoprotein (</w:t>
            </w:r>
            <w:proofErr w:type="spellStart"/>
            <w:r w:rsidRPr="006A6865">
              <w:rPr>
                <w:rFonts w:cs="Arial"/>
              </w:rPr>
              <w:t>PgP</w:t>
            </w:r>
            <w:proofErr w:type="spellEnd"/>
            <w:r w:rsidRPr="006A6865">
              <w:rPr>
                <w:rFonts w:cs="Arial"/>
              </w:rPr>
              <w:t xml:space="preserve">) substrates (e.g. digoxin, dabigatran, apixaban, rivaroxaban, </w:t>
            </w:r>
            <w:proofErr w:type="spellStart"/>
            <w:r w:rsidRPr="006A6865">
              <w:rPr>
                <w:rFonts w:cs="Arial"/>
              </w:rPr>
              <w:t>edoxaban</w:t>
            </w:r>
            <w:proofErr w:type="spellEnd"/>
            <w:r w:rsidRPr="006A6865">
              <w:rPr>
                <w:rFonts w:cs="Arial"/>
              </w:rPr>
              <w:t>).</w:t>
            </w:r>
          </w:p>
          <w:p w14:paraId="6F5B0CE2" w14:textId="77777777" w:rsidR="00054D0C" w:rsidRPr="006A6865" w:rsidRDefault="00054D0C" w:rsidP="00054D0C">
            <w:pPr>
              <w:pStyle w:val="ListParagraph"/>
              <w:numPr>
                <w:ilvl w:val="0"/>
                <w:numId w:val="44"/>
              </w:numPr>
              <w:rPr>
                <w:rFonts w:cs="Arial"/>
              </w:rPr>
            </w:pPr>
            <w:r w:rsidRPr="006A6865">
              <w:rPr>
                <w:rFonts w:cs="Arial"/>
              </w:rPr>
              <w:t xml:space="preserve">CYP3A4 substrates (e.g. ciclosporin, statins, fentanyl, sildenafil, tacrolimus, sirolimus, </w:t>
            </w:r>
            <w:proofErr w:type="spellStart"/>
            <w:r w:rsidRPr="006A6865">
              <w:rPr>
                <w:rFonts w:cs="Arial"/>
              </w:rPr>
              <w:t>everolimus</w:t>
            </w:r>
            <w:proofErr w:type="spellEnd"/>
            <w:r w:rsidRPr="006A6865">
              <w:rPr>
                <w:rFonts w:cs="Arial"/>
              </w:rPr>
              <w:t xml:space="preserve">, apixaban, rivaroxaban, </w:t>
            </w:r>
            <w:proofErr w:type="spellStart"/>
            <w:r w:rsidRPr="006A6865">
              <w:rPr>
                <w:rFonts w:cs="Arial"/>
              </w:rPr>
              <w:t>edoxaban</w:t>
            </w:r>
            <w:proofErr w:type="spellEnd"/>
            <w:r w:rsidRPr="006A6865">
              <w:rPr>
                <w:rFonts w:cs="Arial"/>
              </w:rPr>
              <w:t>).</w:t>
            </w:r>
          </w:p>
          <w:p w14:paraId="130A210E" w14:textId="77777777" w:rsidR="00054D0C" w:rsidRPr="006A6865" w:rsidRDefault="00054D0C" w:rsidP="00054D0C">
            <w:pPr>
              <w:pStyle w:val="ListParagraph"/>
              <w:numPr>
                <w:ilvl w:val="0"/>
                <w:numId w:val="44"/>
              </w:numPr>
              <w:rPr>
                <w:rFonts w:cs="Arial"/>
              </w:rPr>
            </w:pPr>
            <w:r w:rsidRPr="006A6865">
              <w:rPr>
                <w:rFonts w:cs="Arial"/>
              </w:rPr>
              <w:t>CYP2D6 substrates (e.g. metoprolol).</w:t>
            </w:r>
          </w:p>
          <w:p w14:paraId="06A2DFBF" w14:textId="77777777" w:rsidR="00054D0C" w:rsidRPr="006A6865" w:rsidRDefault="00054D0C" w:rsidP="00054D0C">
            <w:pPr>
              <w:rPr>
                <w:rFonts w:cs="Arial"/>
              </w:rPr>
            </w:pPr>
          </w:p>
          <w:p w14:paraId="316E44B5" w14:textId="77777777" w:rsidR="00054D0C" w:rsidRPr="006A6865" w:rsidRDefault="00054D0C" w:rsidP="00054D0C">
            <w:pPr>
              <w:rPr>
                <w:rFonts w:cs="Arial"/>
              </w:rPr>
            </w:pPr>
            <w:r w:rsidRPr="006A6865">
              <w:rPr>
                <w:rFonts w:cs="Arial"/>
              </w:rPr>
              <w:t>Dronedarone interacts with other medicines that:</w:t>
            </w:r>
          </w:p>
          <w:p w14:paraId="6E4E8E92" w14:textId="362C9119" w:rsidR="00054D0C" w:rsidRPr="006A6865" w:rsidRDefault="00054D0C" w:rsidP="00054D0C">
            <w:pPr>
              <w:pStyle w:val="ListParagraph"/>
              <w:numPr>
                <w:ilvl w:val="0"/>
                <w:numId w:val="44"/>
              </w:numPr>
              <w:rPr>
                <w:rFonts w:cs="Arial"/>
              </w:rPr>
            </w:pPr>
            <w:r w:rsidRPr="006A6865">
              <w:rPr>
                <w:rFonts w:cs="Arial"/>
              </w:rPr>
              <w:t xml:space="preserve">Induce Torsade de Points or prolong </w:t>
            </w:r>
            <w:r>
              <w:rPr>
                <w:rFonts w:cs="Arial"/>
              </w:rPr>
              <w:t>QT</w:t>
            </w:r>
            <w:r w:rsidRPr="006A6865">
              <w:rPr>
                <w:rFonts w:cs="Arial"/>
              </w:rPr>
              <w:t xml:space="preserve">c (e.g. </w:t>
            </w:r>
            <w:r>
              <w:rPr>
                <w:rFonts w:cs="Arial"/>
              </w:rPr>
              <w:t>p</w:t>
            </w:r>
            <w:r w:rsidRPr="006A6865">
              <w:rPr>
                <w:rFonts w:cs="Arial"/>
              </w:rPr>
              <w:t xml:space="preserve">henothiazines, </w:t>
            </w:r>
            <w:proofErr w:type="spellStart"/>
            <w:r w:rsidRPr="006A6865">
              <w:rPr>
                <w:rFonts w:cs="Arial"/>
              </w:rPr>
              <w:t>cisapride</w:t>
            </w:r>
            <w:proofErr w:type="spellEnd"/>
            <w:r w:rsidRPr="006A6865">
              <w:rPr>
                <w:rFonts w:cs="Arial"/>
              </w:rPr>
              <w:t xml:space="preserve">, tricyclic antidepressants, </w:t>
            </w:r>
            <w:r w:rsidR="006E3725">
              <w:rPr>
                <w:rFonts w:cs="Arial"/>
              </w:rPr>
              <w:t xml:space="preserve">quetiapine, </w:t>
            </w:r>
            <w:r w:rsidR="006C064E">
              <w:rPr>
                <w:rFonts w:cs="Arial"/>
              </w:rPr>
              <w:t xml:space="preserve">citalopram, escitalopram, </w:t>
            </w:r>
            <w:r w:rsidRPr="006A6865">
              <w:rPr>
                <w:rFonts w:cs="Arial"/>
              </w:rPr>
              <w:t>certain oral macrolides (such as clarithromycin and erythromycin), terfenadine and Class I and III anti-</w:t>
            </w:r>
            <w:proofErr w:type="spellStart"/>
            <w:r w:rsidRPr="006A6865">
              <w:rPr>
                <w:rFonts w:cs="Arial"/>
              </w:rPr>
              <w:t>arrhythmics</w:t>
            </w:r>
            <w:proofErr w:type="spellEnd"/>
            <w:r w:rsidRPr="006A6865">
              <w:rPr>
                <w:rFonts w:cs="Arial"/>
              </w:rPr>
              <w:t xml:space="preserve">). Concomitant use is contraindicated. </w:t>
            </w:r>
          </w:p>
          <w:p w14:paraId="56C0676E" w14:textId="6D4FAE8B" w:rsidR="00054D0C" w:rsidRPr="006A6865" w:rsidRDefault="00054D0C" w:rsidP="00054D0C">
            <w:pPr>
              <w:pStyle w:val="ListParagraph"/>
              <w:numPr>
                <w:ilvl w:val="0"/>
                <w:numId w:val="44"/>
              </w:numPr>
              <w:rPr>
                <w:rFonts w:cs="Arial"/>
              </w:rPr>
            </w:pPr>
            <w:r w:rsidRPr="006A6865">
              <w:rPr>
                <w:rFonts w:cs="Arial"/>
              </w:rPr>
              <w:t xml:space="preserve">Lower heart rate (e.g. </w:t>
            </w:r>
            <w:r w:rsidR="00CE5F7D">
              <w:rPr>
                <w:rFonts w:cs="Arial"/>
              </w:rPr>
              <w:t>b</w:t>
            </w:r>
            <w:r w:rsidRPr="006A6865">
              <w:rPr>
                <w:rFonts w:cs="Arial"/>
              </w:rPr>
              <w:t>eta-blockers, calcium channel blockers).</w:t>
            </w:r>
          </w:p>
          <w:p w14:paraId="2E4CD27C" w14:textId="24E7EC48" w:rsidR="00054D0C" w:rsidRPr="006A6865" w:rsidRDefault="00054D0C" w:rsidP="00054D0C">
            <w:pPr>
              <w:pStyle w:val="ListParagraph"/>
              <w:numPr>
                <w:ilvl w:val="0"/>
                <w:numId w:val="44"/>
              </w:numPr>
              <w:rPr>
                <w:rFonts w:cs="Arial"/>
              </w:rPr>
            </w:pPr>
            <w:r w:rsidRPr="006A6865">
              <w:rPr>
                <w:rFonts w:cs="Arial"/>
              </w:rPr>
              <w:t xml:space="preserve">Induce hypokalaemia (e.g. </w:t>
            </w:r>
            <w:r w:rsidR="00CE5F7D">
              <w:rPr>
                <w:rFonts w:cs="Arial"/>
              </w:rPr>
              <w:t>d</w:t>
            </w:r>
            <w:r w:rsidRPr="006A6865">
              <w:rPr>
                <w:rFonts w:cs="Arial"/>
              </w:rPr>
              <w:t>iuretics, stimulant laxatives).</w:t>
            </w:r>
          </w:p>
          <w:p w14:paraId="5433AB9F" w14:textId="70603B47" w:rsidR="00054D0C" w:rsidRPr="006A6865" w:rsidRDefault="00054D0C" w:rsidP="00054D0C">
            <w:pPr>
              <w:pStyle w:val="ListParagraph"/>
              <w:numPr>
                <w:ilvl w:val="0"/>
                <w:numId w:val="44"/>
              </w:numPr>
              <w:rPr>
                <w:rFonts w:cs="Arial"/>
              </w:rPr>
            </w:pPr>
            <w:r w:rsidRPr="006A6865">
              <w:rPr>
                <w:rFonts w:cs="Arial"/>
              </w:rPr>
              <w:t xml:space="preserve">Induce hypomagnesaemia (e.g. </w:t>
            </w:r>
            <w:r w:rsidR="00CE5F7D">
              <w:rPr>
                <w:rFonts w:cs="Arial"/>
              </w:rPr>
              <w:t>d</w:t>
            </w:r>
            <w:r w:rsidRPr="006A6865">
              <w:rPr>
                <w:rFonts w:cs="Arial"/>
              </w:rPr>
              <w:t>iuretics).</w:t>
            </w:r>
          </w:p>
          <w:p w14:paraId="5D4BE507" w14:textId="77777777" w:rsidR="00054D0C" w:rsidRPr="006A6865" w:rsidRDefault="00054D0C" w:rsidP="00054D0C">
            <w:pPr>
              <w:rPr>
                <w:rFonts w:cs="Arial"/>
              </w:rPr>
            </w:pPr>
          </w:p>
          <w:p w14:paraId="439E1775" w14:textId="77777777" w:rsidR="00054D0C" w:rsidRPr="006A6865" w:rsidRDefault="00054D0C" w:rsidP="00054D0C">
            <w:pPr>
              <w:rPr>
                <w:rFonts w:cs="Arial"/>
              </w:rPr>
            </w:pPr>
            <w:r w:rsidRPr="006A6865">
              <w:rPr>
                <w:rFonts w:cs="Arial"/>
              </w:rPr>
              <w:t>Other interactions include:</w:t>
            </w:r>
          </w:p>
          <w:p w14:paraId="22F6BC25" w14:textId="77777777" w:rsidR="00054D0C" w:rsidRPr="006A6865" w:rsidRDefault="00054D0C" w:rsidP="00054D0C">
            <w:pPr>
              <w:pStyle w:val="ListParagraph"/>
              <w:numPr>
                <w:ilvl w:val="0"/>
                <w:numId w:val="44"/>
              </w:numPr>
              <w:rPr>
                <w:rFonts w:cs="Arial"/>
              </w:rPr>
            </w:pPr>
            <w:r w:rsidRPr="006A6865">
              <w:rPr>
                <w:rFonts w:cs="Arial"/>
              </w:rPr>
              <w:t>CYP3A4 inhibitors – may increase exposure to dronedarone (e.g. ketoconazole, itraconazole, voriconazole, posaconazole, ritonavir, clarithromycin, grapefruit juice). Concomitant use is contraindicated.</w:t>
            </w:r>
          </w:p>
          <w:p w14:paraId="6E9CACB5" w14:textId="77777777" w:rsidR="00054D0C" w:rsidRPr="006A6865" w:rsidRDefault="00054D0C" w:rsidP="00054D0C">
            <w:pPr>
              <w:pStyle w:val="ListParagraph"/>
              <w:numPr>
                <w:ilvl w:val="0"/>
                <w:numId w:val="44"/>
              </w:numPr>
              <w:rPr>
                <w:rFonts w:cs="Arial"/>
              </w:rPr>
            </w:pPr>
            <w:r w:rsidRPr="006A6865">
              <w:rPr>
                <w:rFonts w:cs="Arial"/>
              </w:rPr>
              <w:t>Potent CYP3A4 inducers – may reduce exposure to dronedarone and are not recommended (e.g. rifampicin, phenobarbital, carbamazepine, phenytoin, St John’s Wort).</w:t>
            </w:r>
          </w:p>
          <w:p w14:paraId="11735DD8" w14:textId="4CAC8270" w:rsidR="00CD0E2E" w:rsidRPr="00054D0C" w:rsidRDefault="00054D0C" w:rsidP="00054D0C">
            <w:pPr>
              <w:pStyle w:val="ListParagraph"/>
              <w:numPr>
                <w:ilvl w:val="0"/>
                <w:numId w:val="44"/>
              </w:numPr>
              <w:rPr>
                <w:rFonts w:cs="Arial"/>
              </w:rPr>
            </w:pPr>
            <w:r w:rsidRPr="006A6865">
              <w:rPr>
                <w:rFonts w:cs="Arial"/>
              </w:rPr>
              <w:t xml:space="preserve">Anticoagulants – vitamin K antagonist and direct oral anticoagulant (DOAC) exposure may be increased by dronedarone (e.g. warfarin, rivaroxaban, </w:t>
            </w:r>
            <w:proofErr w:type="spellStart"/>
            <w:r w:rsidRPr="006A6865">
              <w:rPr>
                <w:rFonts w:cs="Arial"/>
              </w:rPr>
              <w:t>edoxaban</w:t>
            </w:r>
            <w:proofErr w:type="spellEnd"/>
            <w:r w:rsidRPr="006A6865">
              <w:rPr>
                <w:rFonts w:cs="Arial"/>
              </w:rPr>
              <w:t>).</w:t>
            </w:r>
          </w:p>
        </w:tc>
      </w:tr>
    </w:tbl>
    <w:p w14:paraId="56D8C659" w14:textId="56AF57EC" w:rsidR="00BF39A1" w:rsidRDefault="00BF39A1"/>
    <w:p w14:paraId="1FCCE994" w14:textId="77777777" w:rsidR="00BF39A1" w:rsidRDefault="00BF39A1">
      <w:pPr>
        <w:spacing w:before="0" w:after="160"/>
      </w:pPr>
      <w:r>
        <w:br w:type="page"/>
      </w:r>
    </w:p>
    <w:p w14:paraId="1CF74F71"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2CDC6B2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861BA8" w:rsidRPr="00861BA8">
        <w:rPr>
          <w:rStyle w:val="Hyperlink"/>
          <w:rFonts w:eastAsia="Calibri" w:cs="Arial"/>
          <w:bCs/>
          <w:noProof/>
          <w:color w:val="000000"/>
          <w:u w:val="none"/>
          <w:lang w:eastAsia="en-GB"/>
        </w:rPr>
        <w:t xml:space="preserve"> </w:t>
      </w:r>
      <w:r w:rsidR="00861BA8" w:rsidRPr="0041687B">
        <w:rPr>
          <w:rStyle w:val="Hyperlink"/>
          <w:rFonts w:eastAsia="Calibri" w:cs="Arial"/>
          <w:bCs/>
          <w:noProof/>
          <w:color w:val="000000"/>
          <w:u w:val="none"/>
          <w:lang w:eastAsia="en-GB"/>
        </w:rPr>
        <w:t xml:space="preserve">For information on incidence of ADRs see relevant </w:t>
      </w:r>
      <w:r w:rsidR="00861BA8" w:rsidRPr="007A56FB">
        <w:rPr>
          <w:rStyle w:val="Hyperlink"/>
          <w:rFonts w:eastAsia="Calibri" w:cs="Arial"/>
          <w:bCs/>
          <w:noProof/>
          <w:color w:val="000000"/>
          <w:u w:val="none"/>
          <w:lang w:eastAsia="en-GB"/>
        </w:rPr>
        <w:t>S</w:t>
      </w:r>
      <w:r w:rsidR="00861BA8" w:rsidRPr="007A56FB">
        <w:rPr>
          <w:rStyle w:val="Hyperlink"/>
          <w:rFonts w:eastAsia="Calibri"/>
          <w:bCs/>
          <w:noProof/>
          <w:color w:val="000000"/>
          <w:u w:val="none"/>
          <w:lang w:eastAsia="en-GB"/>
        </w:rPr>
        <w:t>PCs</w:t>
      </w:r>
      <w:r w:rsidR="00861BA8"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1"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32A2D2F3" w:rsidR="0051526F" w:rsidRDefault="00861BA8" w:rsidP="0051526F">
      <w:r w:rsidRPr="00861BA8">
        <w:rPr>
          <w:rStyle w:val="Hyperlink"/>
          <w:rFonts w:eastAsia="Calibri"/>
          <w:bCs/>
          <w:noProof/>
          <w:color w:val="000000"/>
          <w:u w:val="none"/>
          <w:lang w:eastAsia="en-GB"/>
        </w:rPr>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054D0C" w:rsidRPr="00F321FC" w14:paraId="01268D2D" w14:textId="77777777" w:rsidTr="0051526F">
        <w:trPr>
          <w:cantSplit/>
          <w:trHeight w:val="48"/>
        </w:trPr>
        <w:tc>
          <w:tcPr>
            <w:tcW w:w="5245" w:type="dxa"/>
          </w:tcPr>
          <w:p w14:paraId="71FFBCC4" w14:textId="77777777" w:rsidR="00054D0C" w:rsidRDefault="00054D0C" w:rsidP="00054D0C">
            <w:pPr>
              <w:rPr>
                <w:rFonts w:eastAsia="Times New Roman" w:cstheme="minorHAnsi"/>
                <w:color w:val="000000"/>
                <w:lang w:eastAsia="en-GB"/>
              </w:rPr>
            </w:pPr>
            <w:r>
              <w:rPr>
                <w:rFonts w:eastAsia="Times New Roman" w:cstheme="minorHAnsi"/>
                <w:b/>
                <w:color w:val="000000"/>
                <w:lang w:eastAsia="en-GB"/>
              </w:rPr>
              <w:t>Renal function:</w:t>
            </w:r>
          </w:p>
          <w:p w14:paraId="6A99262A" w14:textId="7AF9A841" w:rsidR="00054D0C" w:rsidRPr="00F321FC" w:rsidRDefault="00054D0C" w:rsidP="00054D0C">
            <w:pPr>
              <w:rPr>
                <w:rFonts w:cs="Arial"/>
              </w:rPr>
            </w:pPr>
            <w:r>
              <w:rPr>
                <w:rFonts w:eastAsia="Times New Roman" w:cstheme="minorHAnsi"/>
                <w:color w:val="000000"/>
                <w:lang w:eastAsia="en-GB"/>
              </w:rPr>
              <w:t>Electrolyte deficiency: hypokalaemia / hypomagnesaemia</w:t>
            </w:r>
          </w:p>
        </w:tc>
        <w:tc>
          <w:tcPr>
            <w:tcW w:w="5245" w:type="dxa"/>
          </w:tcPr>
          <w:p w14:paraId="45A5B53C" w14:textId="30700A8C" w:rsidR="00054D0C" w:rsidRPr="00F321FC" w:rsidRDefault="00054D0C" w:rsidP="00054D0C">
            <w:pPr>
              <w:rPr>
                <w:rFonts w:cs="Arial"/>
              </w:rPr>
            </w:pPr>
            <w:r>
              <w:rPr>
                <w:rFonts w:eastAsia="Times New Roman" w:cstheme="minorHAnsi"/>
                <w:color w:val="000000"/>
                <w:lang w:eastAsia="en-GB"/>
              </w:rPr>
              <w:t xml:space="preserve">Continue dronedarone.  Correct deficiency as per local </w:t>
            </w:r>
            <w:r w:rsidR="00E95A54">
              <w:rPr>
                <w:rFonts w:eastAsia="Times New Roman" w:cstheme="minorHAnsi"/>
                <w:color w:val="000000"/>
                <w:lang w:eastAsia="en-GB"/>
              </w:rPr>
              <w:t xml:space="preserve">or SPS </w:t>
            </w:r>
            <w:r>
              <w:rPr>
                <w:rFonts w:eastAsia="Times New Roman" w:cstheme="minorHAnsi"/>
                <w:color w:val="000000"/>
                <w:lang w:eastAsia="en-GB"/>
              </w:rPr>
              <w:t>guidelines</w:t>
            </w:r>
            <w:r w:rsidR="00DF45D0">
              <w:rPr>
                <w:rFonts w:eastAsia="Times New Roman" w:cstheme="minorHAnsi"/>
                <w:color w:val="000000"/>
                <w:lang w:eastAsia="en-GB"/>
              </w:rPr>
              <w:t xml:space="preserve"> - </w:t>
            </w:r>
            <w:hyperlink r:id="rId22" w:history="1">
              <w:r w:rsidR="00DF45D0" w:rsidRPr="00CC00F0">
                <w:rPr>
                  <w:rStyle w:val="Hyperlink"/>
                  <w:rFonts w:eastAsia="Times New Roman" w:cstheme="minorHAnsi"/>
                  <w:lang w:eastAsia="en-GB"/>
                </w:rPr>
                <w:t>Treating acute hypokalaemia in adults</w:t>
              </w:r>
            </w:hyperlink>
            <w:r w:rsidR="00DF45D0">
              <w:rPr>
                <w:rFonts w:eastAsia="Times New Roman" w:cstheme="minorHAnsi"/>
                <w:lang w:eastAsia="en-GB"/>
              </w:rPr>
              <w:t xml:space="preserve"> or </w:t>
            </w:r>
            <w:hyperlink r:id="rId23" w:history="1">
              <w:r w:rsidR="00DF45D0" w:rsidRPr="006B0476">
                <w:rPr>
                  <w:rStyle w:val="Hyperlink"/>
                  <w:rFonts w:eastAsia="Times New Roman" w:cstheme="minorHAnsi"/>
                  <w:lang w:eastAsia="en-GB"/>
                </w:rPr>
                <w:t>Treating acute hypomagnesaemia in adults</w:t>
              </w:r>
            </w:hyperlink>
            <w:r>
              <w:rPr>
                <w:rFonts w:eastAsia="Times New Roman" w:cstheme="minorHAnsi"/>
                <w:color w:val="000000"/>
                <w:lang w:eastAsia="en-GB"/>
              </w:rPr>
              <w:t>.</w:t>
            </w:r>
          </w:p>
        </w:tc>
      </w:tr>
      <w:tr w:rsidR="00054D0C" w:rsidRPr="00F321FC" w14:paraId="7CEAAB39" w14:textId="77777777" w:rsidTr="0051526F">
        <w:trPr>
          <w:cantSplit/>
          <w:trHeight w:val="48"/>
        </w:trPr>
        <w:tc>
          <w:tcPr>
            <w:tcW w:w="5245" w:type="dxa"/>
          </w:tcPr>
          <w:p w14:paraId="2386555E" w14:textId="0A756A12" w:rsidR="00054D0C" w:rsidRPr="0051526F" w:rsidRDefault="00054D0C" w:rsidP="00054D0C">
            <w:pPr>
              <w:spacing w:line="360" w:lineRule="atLeast"/>
              <w:rPr>
                <w:rFonts w:eastAsia="Times New Roman" w:cstheme="minorHAnsi"/>
                <w:lang w:eastAsia="en-GB"/>
              </w:rPr>
            </w:pPr>
            <w:r>
              <w:rPr>
                <w:rFonts w:eastAsia="Times New Roman" w:cstheme="minorHAnsi"/>
                <w:color w:val="000000"/>
                <w:lang w:eastAsia="en-GB"/>
              </w:rPr>
              <w:t>Creatinine elevated from baseline</w:t>
            </w:r>
          </w:p>
        </w:tc>
        <w:tc>
          <w:tcPr>
            <w:tcW w:w="5245" w:type="dxa"/>
          </w:tcPr>
          <w:p w14:paraId="645A7295" w14:textId="5572F5E0" w:rsidR="00054D0C" w:rsidRPr="00F321FC" w:rsidRDefault="00054D0C" w:rsidP="00054D0C">
            <w:pPr>
              <w:rPr>
                <w:rFonts w:cs="Arial"/>
              </w:rPr>
            </w:pPr>
            <w:r>
              <w:rPr>
                <w:rFonts w:eastAsia="Times New Roman" w:cstheme="minorHAnsi"/>
                <w:b/>
                <w:color w:val="000000"/>
                <w:lang w:eastAsia="en-GB"/>
              </w:rPr>
              <w:t>Stop</w:t>
            </w:r>
            <w:r>
              <w:rPr>
                <w:rFonts w:eastAsia="Times New Roman" w:cstheme="minorHAnsi"/>
                <w:color w:val="000000"/>
                <w:lang w:eastAsia="en-GB"/>
              </w:rPr>
              <w:t xml:space="preserve"> </w:t>
            </w:r>
            <w:r>
              <w:rPr>
                <w:rFonts w:eastAsia="Times New Roman" w:cstheme="minorHAnsi"/>
                <w:b/>
                <w:color w:val="000000"/>
                <w:lang w:eastAsia="en-GB"/>
              </w:rPr>
              <w:t>dronedarone</w:t>
            </w:r>
            <w:r>
              <w:rPr>
                <w:rFonts w:eastAsia="Times New Roman" w:cstheme="minorHAnsi"/>
                <w:color w:val="000000"/>
                <w:lang w:eastAsia="en-GB"/>
              </w:rPr>
              <w:t xml:space="preserve"> for any elevations of serum creatinine which occur after transfer to primary care. Discuss urgently with specialist</w:t>
            </w:r>
          </w:p>
        </w:tc>
      </w:tr>
      <w:tr w:rsidR="00054D0C" w:rsidRPr="00F321FC" w14:paraId="3E83576D" w14:textId="77777777" w:rsidTr="0051526F">
        <w:trPr>
          <w:cantSplit/>
          <w:trHeight w:val="48"/>
        </w:trPr>
        <w:tc>
          <w:tcPr>
            <w:tcW w:w="5245" w:type="dxa"/>
          </w:tcPr>
          <w:p w14:paraId="364F7B33" w14:textId="0A7D7303" w:rsidR="00054D0C" w:rsidRDefault="00054D0C" w:rsidP="00054D0C">
            <w:pPr>
              <w:rPr>
                <w:rFonts w:eastAsia="Times New Roman" w:cstheme="minorHAnsi"/>
                <w:color w:val="000000"/>
                <w:lang w:eastAsia="en-GB"/>
              </w:rPr>
            </w:pPr>
            <w:r>
              <w:rPr>
                <w:rFonts w:eastAsia="Times New Roman" w:cstheme="minorHAnsi"/>
                <w:color w:val="000000"/>
                <w:lang w:eastAsia="en-GB"/>
              </w:rPr>
              <w:t xml:space="preserve">Creatinine clearance </w:t>
            </w:r>
            <w:r w:rsidR="002148CB">
              <w:rPr>
                <w:rFonts w:eastAsia="Times New Roman" w:cstheme="minorHAnsi"/>
                <w:color w:val="000000"/>
                <w:lang w:eastAsia="en-GB"/>
              </w:rPr>
              <w:t xml:space="preserve">less than </w:t>
            </w:r>
            <w:r>
              <w:rPr>
                <w:rFonts w:eastAsia="Times New Roman" w:cstheme="minorHAnsi"/>
                <w:color w:val="000000"/>
                <w:lang w:eastAsia="en-GB"/>
              </w:rPr>
              <w:t>30 mL/minute/ 1.73m</w:t>
            </w:r>
            <w:r>
              <w:rPr>
                <w:rFonts w:eastAsia="Times New Roman" w:cstheme="minorHAnsi"/>
                <w:color w:val="000000"/>
                <w:vertAlign w:val="superscript"/>
                <w:lang w:eastAsia="en-GB"/>
              </w:rPr>
              <w:t>2</w:t>
            </w:r>
            <w:r>
              <w:rPr>
                <w:rFonts w:eastAsia="Times New Roman" w:cstheme="minorHAnsi"/>
                <w:color w:val="000000"/>
                <w:lang w:eastAsia="en-GB"/>
              </w:rPr>
              <w:t xml:space="preserve"> </w:t>
            </w:r>
          </w:p>
          <w:p w14:paraId="08C53FEC" w14:textId="2B75FE51" w:rsidR="00054D0C" w:rsidRPr="00F321FC" w:rsidRDefault="00054D0C" w:rsidP="00054D0C">
            <w:pPr>
              <w:rPr>
                <w:rFonts w:cs="Arial"/>
              </w:rPr>
            </w:pPr>
          </w:p>
        </w:tc>
        <w:tc>
          <w:tcPr>
            <w:tcW w:w="5245" w:type="dxa"/>
          </w:tcPr>
          <w:p w14:paraId="0AF04492" w14:textId="223631CA" w:rsidR="00054D0C" w:rsidRPr="00F321FC" w:rsidRDefault="00054D0C" w:rsidP="00054D0C">
            <w:pPr>
              <w:rPr>
                <w:rFonts w:cs="Arial"/>
              </w:rPr>
            </w:pPr>
            <w:r>
              <w:rPr>
                <w:rFonts w:eastAsia="Times New Roman" w:cstheme="minorHAnsi"/>
                <w:b/>
                <w:color w:val="000000"/>
                <w:lang w:eastAsia="en-GB"/>
              </w:rPr>
              <w:t xml:space="preserve">Stop dronedarone </w:t>
            </w:r>
            <w:r>
              <w:rPr>
                <w:rFonts w:eastAsia="Times New Roman" w:cstheme="minorHAnsi"/>
                <w:color w:val="000000"/>
                <w:lang w:eastAsia="en-GB"/>
              </w:rPr>
              <w:t xml:space="preserve">and refer urgently to the specialist. </w:t>
            </w:r>
          </w:p>
        </w:tc>
      </w:tr>
      <w:tr w:rsidR="00054D0C" w:rsidRPr="00F321FC" w14:paraId="24831E88" w14:textId="77777777" w:rsidTr="0051526F">
        <w:trPr>
          <w:cantSplit/>
          <w:trHeight w:val="48"/>
        </w:trPr>
        <w:tc>
          <w:tcPr>
            <w:tcW w:w="5245" w:type="dxa"/>
          </w:tcPr>
          <w:p w14:paraId="1420D931" w14:textId="77777777" w:rsidR="00054D0C" w:rsidRDefault="00054D0C" w:rsidP="00054D0C">
            <w:pPr>
              <w:rPr>
                <w:rFonts w:eastAsia="Times New Roman" w:cstheme="minorHAnsi"/>
                <w:b/>
                <w:lang w:eastAsia="en-GB"/>
              </w:rPr>
            </w:pPr>
            <w:r>
              <w:rPr>
                <w:rFonts w:eastAsia="Times New Roman" w:cstheme="minorHAnsi"/>
                <w:b/>
                <w:lang w:eastAsia="en-GB"/>
              </w:rPr>
              <w:t>Cardiovascular:</w:t>
            </w:r>
          </w:p>
          <w:p w14:paraId="4B38F93A" w14:textId="77777777" w:rsidR="00054D0C" w:rsidRDefault="00054D0C" w:rsidP="00054D0C">
            <w:pPr>
              <w:rPr>
                <w:rFonts w:eastAsia="Times New Roman" w:cstheme="minorHAnsi"/>
                <w:lang w:eastAsia="en-GB"/>
              </w:rPr>
            </w:pPr>
            <w:r>
              <w:rPr>
                <w:rFonts w:eastAsia="Times New Roman" w:cstheme="minorHAnsi"/>
                <w:lang w:eastAsia="en-GB"/>
              </w:rPr>
              <w:t>Bradycardia:</w:t>
            </w:r>
          </w:p>
          <w:p w14:paraId="1928A53C" w14:textId="63BE0A66" w:rsidR="00054D0C" w:rsidRPr="00F321FC" w:rsidRDefault="00054D0C" w:rsidP="00054D0C">
            <w:pPr>
              <w:rPr>
                <w:rFonts w:cs="Arial"/>
              </w:rPr>
            </w:pPr>
            <w:r>
              <w:rPr>
                <w:rFonts w:eastAsia="Times New Roman" w:cstheme="minorHAnsi"/>
                <w:lang w:eastAsia="en-GB"/>
              </w:rPr>
              <w:t>Heart rate 50 - 60bpm without symptoms</w:t>
            </w:r>
          </w:p>
        </w:tc>
        <w:tc>
          <w:tcPr>
            <w:tcW w:w="5245" w:type="dxa"/>
          </w:tcPr>
          <w:p w14:paraId="3EAA40C2" w14:textId="0CA1CD37" w:rsidR="00054D0C" w:rsidRPr="00F321FC" w:rsidRDefault="00054D0C" w:rsidP="00054D0C">
            <w:pPr>
              <w:rPr>
                <w:rFonts w:cs="Arial"/>
              </w:rPr>
            </w:pPr>
            <w:r>
              <w:rPr>
                <w:rFonts w:eastAsia="Times New Roman" w:cstheme="minorHAnsi"/>
                <w:lang w:eastAsia="en-GB"/>
              </w:rPr>
              <w:t>Continue dronedarone. Repeat monitoring. No action required if heart rate remains &gt;50 without symptoms.</w:t>
            </w:r>
          </w:p>
        </w:tc>
      </w:tr>
      <w:tr w:rsidR="00054D0C" w:rsidRPr="00F321FC" w14:paraId="7B45BBDF" w14:textId="77777777" w:rsidTr="0051526F">
        <w:trPr>
          <w:cantSplit/>
          <w:trHeight w:val="48"/>
        </w:trPr>
        <w:tc>
          <w:tcPr>
            <w:tcW w:w="5245" w:type="dxa"/>
          </w:tcPr>
          <w:p w14:paraId="5F981F89" w14:textId="09B1FB0E" w:rsidR="00054D0C" w:rsidRDefault="00054D0C" w:rsidP="00054D0C">
            <w:pPr>
              <w:rPr>
                <w:rFonts w:eastAsia="Times New Roman" w:cstheme="minorHAnsi"/>
                <w:lang w:eastAsia="en-GB"/>
              </w:rPr>
            </w:pPr>
            <w:r>
              <w:rPr>
                <w:rFonts w:eastAsia="Times New Roman" w:cstheme="minorHAnsi"/>
                <w:lang w:eastAsia="en-GB"/>
              </w:rPr>
              <w:t>Heart rate ≤ 50bpm or ≤ 60bpm with symptoms</w:t>
            </w:r>
          </w:p>
          <w:p w14:paraId="742A5874" w14:textId="20A4EBC6" w:rsidR="00054D0C" w:rsidRPr="00F321FC" w:rsidRDefault="00054D0C" w:rsidP="00054D0C">
            <w:pPr>
              <w:rPr>
                <w:rFonts w:cs="Arial"/>
              </w:rPr>
            </w:pPr>
            <w:r>
              <w:rPr>
                <w:rFonts w:eastAsia="Times New Roman" w:cstheme="minorHAnsi"/>
                <w:lang w:eastAsia="en-GB"/>
              </w:rPr>
              <w:t xml:space="preserve">NB: dronedarone is contraindicated if HR </w:t>
            </w:r>
            <w:r w:rsidR="002148CB">
              <w:rPr>
                <w:rFonts w:eastAsia="Times New Roman" w:cstheme="minorHAnsi"/>
                <w:lang w:eastAsia="en-GB"/>
              </w:rPr>
              <w:t xml:space="preserve">less than </w:t>
            </w:r>
            <w:r>
              <w:rPr>
                <w:rFonts w:eastAsia="Times New Roman" w:cstheme="minorHAnsi"/>
                <w:lang w:eastAsia="en-GB"/>
              </w:rPr>
              <w:t xml:space="preserve">50bpm (see </w:t>
            </w:r>
            <w:hyperlink w:anchor="eight_cautions_cx" w:history="1">
              <w:r w:rsidRPr="00F571FD">
                <w:rPr>
                  <w:rStyle w:val="Hyperlink"/>
                  <w:rFonts w:eastAsia="Times New Roman" w:cstheme="minorHAnsi"/>
                  <w:lang w:eastAsia="en-GB"/>
                </w:rPr>
                <w:t>section 8</w:t>
              </w:r>
            </w:hyperlink>
            <w:r>
              <w:rPr>
                <w:rFonts w:eastAsia="Times New Roman" w:cstheme="minorHAnsi"/>
                <w:lang w:eastAsia="en-GB"/>
              </w:rPr>
              <w:t xml:space="preserve">). </w:t>
            </w:r>
          </w:p>
        </w:tc>
        <w:tc>
          <w:tcPr>
            <w:tcW w:w="5245" w:type="dxa"/>
          </w:tcPr>
          <w:p w14:paraId="3B5D0997" w14:textId="38B46BA0" w:rsidR="00054D0C" w:rsidRPr="00F321FC" w:rsidRDefault="00054D0C" w:rsidP="00054D0C">
            <w:pPr>
              <w:rPr>
                <w:rFonts w:cs="Arial"/>
              </w:rPr>
            </w:pPr>
            <w:r>
              <w:rPr>
                <w:rFonts w:eastAsia="Times New Roman" w:cstheme="minorHAnsi"/>
                <w:lang w:eastAsia="en-GB"/>
              </w:rPr>
              <w:t>Discuss with specialist team; dose reduction may be required.</w:t>
            </w:r>
          </w:p>
        </w:tc>
      </w:tr>
      <w:tr w:rsidR="00054D0C" w:rsidRPr="00F321FC" w14:paraId="6BD1EF9B" w14:textId="77777777" w:rsidTr="0051526F">
        <w:trPr>
          <w:cantSplit/>
          <w:trHeight w:val="48"/>
        </w:trPr>
        <w:tc>
          <w:tcPr>
            <w:tcW w:w="5245" w:type="dxa"/>
          </w:tcPr>
          <w:p w14:paraId="5E311FBE" w14:textId="7C91A3D3" w:rsidR="00054D0C" w:rsidRPr="00F321FC" w:rsidRDefault="00054D0C" w:rsidP="00054D0C">
            <w:pPr>
              <w:rPr>
                <w:rFonts w:cs="Arial"/>
              </w:rPr>
            </w:pPr>
            <w:r>
              <w:rPr>
                <w:rFonts w:eastAsia="Times New Roman" w:cstheme="minorHAnsi"/>
                <w:lang w:eastAsia="en-GB"/>
              </w:rPr>
              <w:t>Worsening of arrhythmia, new arrhythmia, or heart block</w:t>
            </w:r>
          </w:p>
        </w:tc>
        <w:tc>
          <w:tcPr>
            <w:tcW w:w="5245" w:type="dxa"/>
          </w:tcPr>
          <w:p w14:paraId="25E56149" w14:textId="7A46D986" w:rsidR="00054D0C" w:rsidRPr="00F321FC" w:rsidRDefault="00054D0C" w:rsidP="00054D0C">
            <w:pPr>
              <w:rPr>
                <w:rFonts w:cs="Arial"/>
              </w:rPr>
            </w:pPr>
            <w:r>
              <w:rPr>
                <w:rFonts w:eastAsia="Times New Roman" w:cstheme="minorHAnsi"/>
                <w:b/>
                <w:color w:val="000000"/>
                <w:lang w:eastAsia="en-GB"/>
              </w:rPr>
              <w:t xml:space="preserve">Stop dronedarone.  </w:t>
            </w:r>
            <w:r>
              <w:rPr>
                <w:rFonts w:eastAsia="Times New Roman" w:cstheme="minorHAnsi"/>
                <w:color w:val="000000"/>
                <w:lang w:eastAsia="en-GB"/>
              </w:rPr>
              <w:t>Urgent referral to specialist team.</w:t>
            </w:r>
          </w:p>
        </w:tc>
      </w:tr>
      <w:tr w:rsidR="00054D0C" w:rsidRPr="00F321FC" w14:paraId="525ED011" w14:textId="77777777" w:rsidTr="0051526F">
        <w:trPr>
          <w:cantSplit/>
          <w:trHeight w:val="48"/>
        </w:trPr>
        <w:tc>
          <w:tcPr>
            <w:tcW w:w="5245" w:type="dxa"/>
          </w:tcPr>
          <w:p w14:paraId="056AACBC" w14:textId="0B13DDE6" w:rsidR="00054D0C" w:rsidRPr="00F321FC" w:rsidRDefault="00054D0C" w:rsidP="00054D0C">
            <w:pPr>
              <w:rPr>
                <w:rFonts w:cs="Arial"/>
              </w:rPr>
            </w:pPr>
            <w:r>
              <w:rPr>
                <w:rFonts w:eastAsia="Times New Roman" w:cstheme="minorHAnsi"/>
                <w:color w:val="000000"/>
                <w:lang w:eastAsia="en-GB"/>
              </w:rPr>
              <w:t>Recurrence of atrial fibrillation</w:t>
            </w:r>
          </w:p>
        </w:tc>
        <w:tc>
          <w:tcPr>
            <w:tcW w:w="5245" w:type="dxa"/>
          </w:tcPr>
          <w:p w14:paraId="1434698B" w14:textId="77777777" w:rsidR="00054D0C" w:rsidRDefault="00054D0C" w:rsidP="00054D0C">
            <w:pPr>
              <w:spacing w:after="0"/>
              <w:rPr>
                <w:rFonts w:eastAsia="Times New Roman" w:cstheme="minorHAnsi"/>
                <w:color w:val="000000"/>
                <w:lang w:eastAsia="en-GB"/>
              </w:rPr>
            </w:pPr>
            <w:r>
              <w:rPr>
                <w:rFonts w:eastAsia="Times New Roman" w:cstheme="minorHAnsi"/>
                <w:color w:val="000000"/>
                <w:lang w:eastAsia="en-GB"/>
              </w:rPr>
              <w:t xml:space="preserve">Refer to specialist team; discontinuation should be considered. </w:t>
            </w:r>
          </w:p>
          <w:p w14:paraId="499E20D8" w14:textId="39C1BAAF" w:rsidR="00054D0C" w:rsidRPr="00F321FC" w:rsidRDefault="00054D0C" w:rsidP="00054D0C">
            <w:pPr>
              <w:rPr>
                <w:rFonts w:cs="Arial"/>
              </w:rPr>
            </w:pPr>
            <w:r>
              <w:rPr>
                <w:rFonts w:eastAsia="Times New Roman" w:cstheme="minorHAnsi"/>
                <w:color w:val="000000"/>
                <w:lang w:eastAsia="en-GB"/>
              </w:rPr>
              <w:t>Discontinue dronedarone if patient develops permanent AF with a duration of six months or more.</w:t>
            </w:r>
          </w:p>
        </w:tc>
      </w:tr>
      <w:tr w:rsidR="00054D0C" w:rsidRPr="00F321FC" w14:paraId="1D57B6D7" w14:textId="77777777" w:rsidTr="00C33582">
        <w:trPr>
          <w:cantSplit/>
          <w:trHeight w:val="48"/>
        </w:trPr>
        <w:tc>
          <w:tcPr>
            <w:tcW w:w="5245" w:type="dxa"/>
          </w:tcPr>
          <w:p w14:paraId="0749D0BF" w14:textId="5823A676" w:rsidR="00054D0C" w:rsidRPr="00F321FC" w:rsidRDefault="00054D0C" w:rsidP="00054D0C">
            <w:pPr>
              <w:rPr>
                <w:rFonts w:cs="Arial"/>
              </w:rPr>
            </w:pPr>
            <w:r>
              <w:rPr>
                <w:rFonts w:eastAsia="Times New Roman" w:cstheme="minorHAnsi"/>
                <w:color w:val="000000"/>
                <w:lang w:eastAsia="en-GB"/>
              </w:rPr>
              <w:t>Signs or symptoms of congestive heart failure, e.g. weight gain, dependent oedema, or increased dyspnoea.</w:t>
            </w:r>
          </w:p>
        </w:tc>
        <w:tc>
          <w:tcPr>
            <w:tcW w:w="5245" w:type="dxa"/>
          </w:tcPr>
          <w:p w14:paraId="13AE35EE" w14:textId="6AB5E35E" w:rsidR="00054D0C" w:rsidRPr="00F321FC" w:rsidRDefault="00054D0C" w:rsidP="00054D0C">
            <w:pPr>
              <w:rPr>
                <w:rFonts w:cs="Arial"/>
              </w:rPr>
            </w:pPr>
            <w:r>
              <w:rPr>
                <w:rFonts w:eastAsia="Times New Roman" w:cstheme="minorHAnsi"/>
                <w:b/>
                <w:color w:val="000000"/>
                <w:lang w:eastAsia="en-GB"/>
              </w:rPr>
              <w:t xml:space="preserve">Stop dronedarone </w:t>
            </w:r>
            <w:r>
              <w:rPr>
                <w:rFonts w:eastAsia="Times New Roman" w:cstheme="minorHAnsi"/>
                <w:color w:val="000000"/>
                <w:lang w:eastAsia="en-GB"/>
              </w:rPr>
              <w:t>if congestive heart failure is suspected and refer urgently to specialist team.</w:t>
            </w:r>
          </w:p>
        </w:tc>
      </w:tr>
      <w:tr w:rsidR="00054D0C" w:rsidRPr="00F321FC" w14:paraId="38F6C6F9" w14:textId="77777777" w:rsidTr="0051526F">
        <w:trPr>
          <w:cantSplit/>
          <w:trHeight w:val="48"/>
        </w:trPr>
        <w:tc>
          <w:tcPr>
            <w:tcW w:w="5245" w:type="dxa"/>
          </w:tcPr>
          <w:p w14:paraId="5EE07991" w14:textId="77777777" w:rsidR="00054D0C" w:rsidRDefault="00054D0C" w:rsidP="00054D0C">
            <w:pPr>
              <w:spacing w:after="0"/>
              <w:rPr>
                <w:rFonts w:eastAsia="Times New Roman" w:cstheme="minorHAnsi"/>
                <w:color w:val="000000"/>
                <w:lang w:eastAsia="en-GB"/>
              </w:rPr>
            </w:pPr>
            <w:r>
              <w:rPr>
                <w:rFonts w:eastAsia="Times New Roman" w:cstheme="minorHAnsi"/>
                <w:b/>
                <w:color w:val="000000"/>
                <w:lang w:eastAsia="en-GB"/>
              </w:rPr>
              <w:t>Hepatotoxicity</w:t>
            </w:r>
            <w:r>
              <w:rPr>
                <w:rFonts w:eastAsia="Times New Roman" w:cstheme="minorHAnsi"/>
                <w:color w:val="000000"/>
                <w:lang w:eastAsia="en-GB"/>
              </w:rPr>
              <w:t>:</w:t>
            </w:r>
          </w:p>
          <w:p w14:paraId="254FB770" w14:textId="0BF90E13" w:rsidR="00054D0C" w:rsidRPr="00F321FC" w:rsidRDefault="00054D0C" w:rsidP="00054D0C">
            <w:pPr>
              <w:rPr>
                <w:rFonts w:cs="Arial"/>
              </w:rPr>
            </w:pPr>
            <w:r>
              <w:rPr>
                <w:rFonts w:eastAsia="Times New Roman" w:cstheme="minorHAnsi"/>
                <w:color w:val="000000"/>
                <w:lang w:eastAsia="en-GB"/>
              </w:rPr>
              <w:t xml:space="preserve">Serum transaminases </w:t>
            </w:r>
            <w:r w:rsidR="002148CB">
              <w:rPr>
                <w:rFonts w:eastAsia="Times New Roman" w:cstheme="minorHAnsi"/>
                <w:color w:val="000000"/>
                <w:lang w:eastAsia="en-GB"/>
              </w:rPr>
              <w:t xml:space="preserve">greater than </w:t>
            </w:r>
            <w:r>
              <w:rPr>
                <w:rFonts w:eastAsia="Times New Roman" w:cstheme="minorHAnsi"/>
                <w:color w:val="000000"/>
                <w:lang w:eastAsia="en-GB"/>
              </w:rPr>
              <w:t>5xULN or any symptoms of hepatic injury</w:t>
            </w:r>
          </w:p>
        </w:tc>
        <w:tc>
          <w:tcPr>
            <w:tcW w:w="5245" w:type="dxa"/>
          </w:tcPr>
          <w:p w14:paraId="3EC57A6F" w14:textId="1C07C768" w:rsidR="00054D0C" w:rsidRPr="00F321FC" w:rsidRDefault="00054D0C" w:rsidP="00054D0C">
            <w:pPr>
              <w:rPr>
                <w:rFonts w:cs="Arial"/>
              </w:rPr>
            </w:pPr>
            <w:r>
              <w:rPr>
                <w:rFonts w:eastAsia="Times New Roman" w:cstheme="minorHAnsi"/>
                <w:b/>
                <w:color w:val="000000"/>
                <w:lang w:eastAsia="en-GB"/>
              </w:rPr>
              <w:t>Stop dronedarone</w:t>
            </w:r>
            <w:r>
              <w:rPr>
                <w:rFonts w:eastAsia="Times New Roman" w:cstheme="minorHAnsi"/>
                <w:color w:val="000000"/>
                <w:lang w:eastAsia="en-GB"/>
              </w:rPr>
              <w:t xml:space="preserve">. Urgent referral to initiating specialist and hepatologist. </w:t>
            </w:r>
          </w:p>
        </w:tc>
      </w:tr>
      <w:tr w:rsidR="00054D0C" w:rsidRPr="00F321FC" w14:paraId="6C0FFF07" w14:textId="77777777" w:rsidTr="0051526F">
        <w:trPr>
          <w:cantSplit/>
          <w:trHeight w:val="48"/>
        </w:trPr>
        <w:tc>
          <w:tcPr>
            <w:tcW w:w="5245" w:type="dxa"/>
          </w:tcPr>
          <w:p w14:paraId="3A14071F" w14:textId="6C9D950A" w:rsidR="00054D0C" w:rsidRPr="00F321FC" w:rsidRDefault="00054D0C" w:rsidP="00054D0C">
            <w:pPr>
              <w:rPr>
                <w:rFonts w:cs="Arial"/>
              </w:rPr>
            </w:pPr>
            <w:r>
              <w:rPr>
                <w:rFonts w:eastAsia="Times New Roman" w:cstheme="minorHAnsi"/>
                <w:color w:val="000000"/>
                <w:lang w:eastAsia="en-GB"/>
              </w:rPr>
              <w:t xml:space="preserve">ALT elevated </w:t>
            </w:r>
            <w:r w:rsidR="002148CB">
              <w:rPr>
                <w:rFonts w:eastAsia="Times New Roman" w:cstheme="minorHAnsi"/>
                <w:color w:val="000000"/>
                <w:lang w:eastAsia="en-GB"/>
              </w:rPr>
              <w:t xml:space="preserve">greater than </w:t>
            </w:r>
            <w:r>
              <w:rPr>
                <w:rFonts w:eastAsia="Times New Roman" w:cstheme="minorHAnsi"/>
                <w:color w:val="000000"/>
                <w:lang w:eastAsia="en-GB"/>
              </w:rPr>
              <w:t>3xULN but no symptoms of hepatic injury</w:t>
            </w:r>
          </w:p>
        </w:tc>
        <w:tc>
          <w:tcPr>
            <w:tcW w:w="5245" w:type="dxa"/>
          </w:tcPr>
          <w:p w14:paraId="0EBFB85A" w14:textId="60E8D1C2" w:rsidR="00054D0C" w:rsidRPr="00F321FC" w:rsidRDefault="00054D0C" w:rsidP="00054D0C">
            <w:pPr>
              <w:rPr>
                <w:rFonts w:cs="Arial"/>
              </w:rPr>
            </w:pPr>
            <w:r>
              <w:rPr>
                <w:rFonts w:eastAsia="Times New Roman" w:cstheme="minorHAnsi"/>
                <w:color w:val="000000"/>
                <w:lang w:eastAsia="en-GB"/>
              </w:rPr>
              <w:t xml:space="preserve">Continue dronedarone and repeat LFTs in 48-72 hours. If still elevated </w:t>
            </w:r>
            <w:r>
              <w:rPr>
                <w:rFonts w:eastAsia="Times New Roman" w:cstheme="minorHAnsi"/>
                <w:b/>
                <w:color w:val="000000"/>
                <w:lang w:eastAsia="en-GB"/>
              </w:rPr>
              <w:t>stop dronedarone</w:t>
            </w:r>
            <w:r>
              <w:rPr>
                <w:rFonts w:eastAsia="Times New Roman" w:cstheme="minorHAnsi"/>
                <w:color w:val="000000"/>
                <w:lang w:eastAsia="en-GB"/>
              </w:rPr>
              <w:t xml:space="preserve"> and discuss with specialist urgently.</w:t>
            </w:r>
          </w:p>
        </w:tc>
      </w:tr>
      <w:tr w:rsidR="00054D0C" w:rsidRPr="00F321FC" w14:paraId="32C58BB9" w14:textId="77777777" w:rsidTr="0051526F">
        <w:trPr>
          <w:cantSplit/>
          <w:trHeight w:val="48"/>
        </w:trPr>
        <w:tc>
          <w:tcPr>
            <w:tcW w:w="5245" w:type="dxa"/>
          </w:tcPr>
          <w:p w14:paraId="4B6DB15E" w14:textId="5EC3EA19" w:rsidR="00054D0C" w:rsidRPr="00F321FC" w:rsidRDefault="00054D0C" w:rsidP="00054D0C">
            <w:pPr>
              <w:rPr>
                <w:rFonts w:cs="Arial"/>
              </w:rPr>
            </w:pPr>
            <w:r>
              <w:rPr>
                <w:rFonts w:eastAsia="Times New Roman" w:cstheme="minorHAnsi"/>
                <w:color w:val="000000"/>
                <w:lang w:eastAsia="en-GB"/>
              </w:rPr>
              <w:lastRenderedPageBreak/>
              <w:t>Symptoms of hepatic injury (e.g. hepatomegaly, weakness, ascites, jaundice)</w:t>
            </w:r>
          </w:p>
        </w:tc>
        <w:tc>
          <w:tcPr>
            <w:tcW w:w="5245" w:type="dxa"/>
          </w:tcPr>
          <w:p w14:paraId="6BB8FCC2" w14:textId="1CF8AD22" w:rsidR="00054D0C" w:rsidRPr="00F321FC" w:rsidRDefault="00054D0C" w:rsidP="00054D0C">
            <w:pPr>
              <w:rPr>
                <w:rFonts w:cs="Arial"/>
              </w:rPr>
            </w:pPr>
            <w:r>
              <w:rPr>
                <w:rFonts w:eastAsia="Times New Roman" w:cstheme="minorHAnsi"/>
                <w:color w:val="000000"/>
                <w:lang w:eastAsia="en-GB"/>
              </w:rPr>
              <w:t>Check LFTs urgently; proceed as above.</w:t>
            </w:r>
          </w:p>
        </w:tc>
      </w:tr>
      <w:tr w:rsidR="00054D0C" w:rsidRPr="00F321FC" w14:paraId="438CD57B" w14:textId="77777777" w:rsidTr="0051526F">
        <w:trPr>
          <w:cantSplit/>
          <w:trHeight w:val="48"/>
        </w:trPr>
        <w:tc>
          <w:tcPr>
            <w:tcW w:w="5245" w:type="dxa"/>
          </w:tcPr>
          <w:p w14:paraId="0B16A1FC" w14:textId="77777777" w:rsidR="00054D0C" w:rsidRDefault="00054D0C" w:rsidP="00054D0C">
            <w:pPr>
              <w:spacing w:after="0"/>
              <w:rPr>
                <w:rFonts w:eastAsia="Times New Roman" w:cstheme="minorHAnsi"/>
                <w:bCs/>
                <w:color w:val="000000"/>
                <w:lang w:eastAsia="en-GB"/>
              </w:rPr>
            </w:pPr>
            <w:r>
              <w:rPr>
                <w:rFonts w:eastAsia="Times New Roman" w:cstheme="minorHAnsi"/>
                <w:b/>
                <w:bCs/>
                <w:color w:val="000000"/>
                <w:lang w:eastAsia="en-GB"/>
              </w:rPr>
              <w:t>Pulmonary toxicity</w:t>
            </w:r>
            <w:r>
              <w:rPr>
                <w:rFonts w:eastAsia="Times New Roman" w:cstheme="minorHAnsi"/>
                <w:bCs/>
                <w:color w:val="000000"/>
                <w:lang w:eastAsia="en-GB"/>
              </w:rPr>
              <w:t>:</w:t>
            </w:r>
          </w:p>
          <w:p w14:paraId="17B4C112" w14:textId="7E50EF99" w:rsidR="00054D0C" w:rsidRPr="00F321FC" w:rsidRDefault="00054D0C" w:rsidP="00054D0C">
            <w:pPr>
              <w:rPr>
                <w:rFonts w:cs="Arial"/>
              </w:rPr>
            </w:pPr>
            <w:r>
              <w:rPr>
                <w:rFonts w:eastAsia="Times New Roman" w:cstheme="minorHAnsi"/>
                <w:bCs/>
                <w:color w:val="000000"/>
                <w:lang w:eastAsia="en-GB"/>
              </w:rPr>
              <w:t>new/worsening cough, shortness of breath or deterioration in general health (e.g. fatigue, weight loss, fever)</w:t>
            </w:r>
          </w:p>
        </w:tc>
        <w:tc>
          <w:tcPr>
            <w:tcW w:w="5245" w:type="dxa"/>
          </w:tcPr>
          <w:p w14:paraId="0204C37C" w14:textId="77777777" w:rsidR="00054D0C" w:rsidRDefault="00054D0C" w:rsidP="00054D0C">
            <w:pPr>
              <w:rPr>
                <w:rFonts w:eastAsia="Times New Roman" w:cstheme="minorHAnsi"/>
                <w:color w:val="000000"/>
                <w:lang w:eastAsia="en-GB"/>
              </w:rPr>
            </w:pPr>
            <w:r>
              <w:rPr>
                <w:rFonts w:eastAsia="Times New Roman" w:cstheme="minorHAnsi"/>
                <w:color w:val="000000"/>
                <w:lang w:eastAsia="en-GB"/>
              </w:rPr>
              <w:t>Continue dronedarone</w:t>
            </w:r>
            <w:r>
              <w:rPr>
                <w:rFonts w:eastAsia="Times New Roman" w:cstheme="minorHAnsi"/>
                <w:b/>
                <w:color w:val="000000"/>
                <w:lang w:eastAsia="en-GB"/>
              </w:rPr>
              <w:t>.</w:t>
            </w:r>
            <w:r>
              <w:rPr>
                <w:rFonts w:eastAsia="Times New Roman" w:cstheme="minorHAnsi"/>
                <w:color w:val="000000"/>
                <w:lang w:eastAsia="en-GB"/>
              </w:rPr>
              <w:t xml:space="preserve">  Urgent referral to initiating specialist and respiratory specialist.</w:t>
            </w:r>
          </w:p>
          <w:p w14:paraId="6765B2E4" w14:textId="0BCC2C1D" w:rsidR="00054D0C" w:rsidRPr="00F321FC" w:rsidRDefault="00054D0C" w:rsidP="00054D0C">
            <w:pPr>
              <w:rPr>
                <w:rFonts w:cs="Arial"/>
              </w:rPr>
            </w:pPr>
            <w:r>
              <w:rPr>
                <w:rFonts w:eastAsia="Times New Roman" w:cstheme="minorHAnsi"/>
                <w:color w:val="000000"/>
                <w:lang w:eastAsia="en-GB"/>
              </w:rPr>
              <w:t>Discontinuation may be warranted if symptoms confirmed.</w:t>
            </w:r>
          </w:p>
        </w:tc>
      </w:tr>
      <w:tr w:rsidR="00054D0C" w:rsidRPr="00F321FC" w14:paraId="37BD85F9" w14:textId="77777777" w:rsidTr="0051526F">
        <w:trPr>
          <w:cantSplit/>
          <w:trHeight w:val="48"/>
        </w:trPr>
        <w:tc>
          <w:tcPr>
            <w:tcW w:w="5245" w:type="dxa"/>
          </w:tcPr>
          <w:p w14:paraId="65F1D0DE" w14:textId="4D8ECFB6" w:rsidR="00054D0C" w:rsidRPr="00F321FC" w:rsidRDefault="00054D0C" w:rsidP="00054D0C">
            <w:pPr>
              <w:rPr>
                <w:rFonts w:cs="Arial"/>
              </w:rPr>
            </w:pPr>
            <w:r>
              <w:rPr>
                <w:rFonts w:eastAsia="Times New Roman" w:cstheme="minorHAnsi"/>
                <w:b/>
                <w:bCs/>
                <w:color w:val="000000"/>
                <w:lang w:eastAsia="en-GB"/>
              </w:rPr>
              <w:t>Gastrointestinal disturbance</w:t>
            </w:r>
            <w:r>
              <w:rPr>
                <w:rFonts w:eastAsia="Times New Roman" w:cstheme="minorHAnsi"/>
                <w:bCs/>
                <w:color w:val="000000"/>
                <w:lang w:eastAsia="en-GB"/>
              </w:rPr>
              <w:t>: diarrhoea, nausea, vomiting, abdominal pain, dyspepsia</w:t>
            </w:r>
          </w:p>
        </w:tc>
        <w:tc>
          <w:tcPr>
            <w:tcW w:w="5245" w:type="dxa"/>
          </w:tcPr>
          <w:p w14:paraId="074D3381" w14:textId="7AC3479A" w:rsidR="00054D0C" w:rsidRPr="00F321FC" w:rsidRDefault="00054D0C" w:rsidP="00054D0C">
            <w:pPr>
              <w:rPr>
                <w:rFonts w:cs="Arial"/>
              </w:rPr>
            </w:pPr>
            <w:r>
              <w:rPr>
                <w:rFonts w:eastAsia="Times New Roman" w:cstheme="minorHAnsi"/>
                <w:color w:val="000000"/>
                <w:lang w:eastAsia="en-GB"/>
              </w:rPr>
              <w:t xml:space="preserve">Continue dronedarone. May require dose reduction; discuss with specialist if persistent. </w:t>
            </w:r>
          </w:p>
        </w:tc>
      </w:tr>
      <w:tr w:rsidR="00054D0C" w:rsidRPr="00F321FC" w14:paraId="214ED6F5" w14:textId="77777777" w:rsidTr="0051526F">
        <w:trPr>
          <w:cantSplit/>
          <w:trHeight w:val="48"/>
        </w:trPr>
        <w:tc>
          <w:tcPr>
            <w:tcW w:w="5245" w:type="dxa"/>
          </w:tcPr>
          <w:p w14:paraId="7E88643E" w14:textId="309ED63B" w:rsidR="00054D0C" w:rsidRPr="00F321FC" w:rsidRDefault="00054D0C" w:rsidP="00054D0C">
            <w:pPr>
              <w:rPr>
                <w:rFonts w:cs="Arial"/>
              </w:rPr>
            </w:pPr>
            <w:r>
              <w:rPr>
                <w:rFonts w:eastAsia="Times New Roman" w:cstheme="minorHAnsi"/>
                <w:b/>
                <w:bCs/>
                <w:color w:val="000000"/>
                <w:lang w:eastAsia="en-GB"/>
              </w:rPr>
              <w:t>General disorders</w:t>
            </w:r>
            <w:r>
              <w:rPr>
                <w:rFonts w:eastAsia="Times New Roman" w:cstheme="minorHAnsi"/>
                <w:bCs/>
                <w:color w:val="000000"/>
                <w:lang w:eastAsia="en-GB"/>
              </w:rPr>
              <w:t>: fatigue, asthenia</w:t>
            </w:r>
          </w:p>
        </w:tc>
        <w:tc>
          <w:tcPr>
            <w:tcW w:w="5245" w:type="dxa"/>
          </w:tcPr>
          <w:p w14:paraId="59049ED9" w14:textId="588D75DD" w:rsidR="00054D0C" w:rsidRPr="00F321FC" w:rsidRDefault="00054D0C" w:rsidP="00054D0C">
            <w:pPr>
              <w:rPr>
                <w:rFonts w:cs="Arial"/>
              </w:rPr>
            </w:pPr>
            <w:r>
              <w:rPr>
                <w:rFonts w:eastAsia="Times New Roman" w:cstheme="minorHAnsi"/>
                <w:color w:val="000000"/>
                <w:lang w:eastAsia="en-GB"/>
              </w:rPr>
              <w:t>Continue dronedarone. May require dose reduction; discuss with specialist.</w:t>
            </w:r>
          </w:p>
        </w:tc>
      </w:tr>
      <w:tr w:rsidR="00054D0C" w:rsidRPr="00F321FC" w14:paraId="54DDE46F" w14:textId="77777777" w:rsidTr="0051526F">
        <w:trPr>
          <w:cantSplit/>
          <w:trHeight w:val="48"/>
        </w:trPr>
        <w:tc>
          <w:tcPr>
            <w:tcW w:w="5245" w:type="dxa"/>
          </w:tcPr>
          <w:p w14:paraId="3FDD2A81" w14:textId="45EF96B9" w:rsidR="00054D0C" w:rsidRPr="00F321FC" w:rsidRDefault="00054D0C" w:rsidP="00054D0C">
            <w:pPr>
              <w:rPr>
                <w:rFonts w:cs="Arial"/>
              </w:rPr>
            </w:pPr>
            <w:r>
              <w:rPr>
                <w:rFonts w:eastAsia="Times New Roman" w:cstheme="minorHAnsi"/>
                <w:b/>
                <w:color w:val="000000"/>
                <w:lang w:eastAsia="en-GB"/>
              </w:rPr>
              <w:t>Dermatological disorders</w:t>
            </w:r>
            <w:r>
              <w:rPr>
                <w:rFonts w:eastAsia="Times New Roman" w:cstheme="minorHAnsi"/>
                <w:color w:val="000000"/>
                <w:lang w:eastAsia="en-GB"/>
              </w:rPr>
              <w:t>: rashes, pruritus, photosensitivity</w:t>
            </w:r>
          </w:p>
        </w:tc>
        <w:tc>
          <w:tcPr>
            <w:tcW w:w="5245" w:type="dxa"/>
          </w:tcPr>
          <w:p w14:paraId="1375FF37" w14:textId="746B8BED" w:rsidR="00054D0C" w:rsidRDefault="00054D0C" w:rsidP="00054D0C">
            <w:pPr>
              <w:spacing w:after="0"/>
              <w:rPr>
                <w:rFonts w:eastAsia="Times New Roman" w:cstheme="minorHAnsi"/>
                <w:color w:val="000000"/>
                <w:lang w:eastAsia="en-GB"/>
              </w:rPr>
            </w:pPr>
            <w:r>
              <w:rPr>
                <w:rFonts w:eastAsia="Times New Roman" w:cstheme="minorHAnsi"/>
                <w:color w:val="000000"/>
                <w:lang w:eastAsia="en-GB"/>
              </w:rPr>
              <w:t>Continue dronedarone. Reinforce appropriate self-care, including sun avoidance and purchasing of a broad</w:t>
            </w:r>
            <w:r w:rsidR="00CE5F7D">
              <w:rPr>
                <w:rFonts w:eastAsia="Times New Roman" w:cstheme="minorHAnsi"/>
                <w:color w:val="000000"/>
                <w:lang w:eastAsia="en-GB"/>
              </w:rPr>
              <w:t>-</w:t>
            </w:r>
            <w:r>
              <w:rPr>
                <w:rFonts w:eastAsia="Times New Roman" w:cstheme="minorHAnsi"/>
                <w:color w:val="000000"/>
                <w:lang w:eastAsia="en-GB"/>
              </w:rPr>
              <w:t xml:space="preserve">spectrum sunscreen (at least SPF30) if photosensitivity occurs. </w:t>
            </w:r>
          </w:p>
          <w:p w14:paraId="5750E13E" w14:textId="30CCA9D0" w:rsidR="00054D0C" w:rsidRPr="00F321FC" w:rsidRDefault="00054D0C" w:rsidP="00054D0C">
            <w:pPr>
              <w:rPr>
                <w:rFonts w:cs="Arial"/>
              </w:rPr>
            </w:pPr>
            <w:r>
              <w:rPr>
                <w:rFonts w:eastAsia="Times New Roman" w:cstheme="minorHAnsi"/>
                <w:color w:val="000000"/>
                <w:lang w:eastAsia="en-GB"/>
              </w:rPr>
              <w:t>May require dose reduction; discuss with specialist.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CE5F7D" w:rsidRPr="00F321FC" w14:paraId="399D38CB" w14:textId="77777777" w:rsidTr="00BF174A">
        <w:tc>
          <w:tcPr>
            <w:tcW w:w="2268" w:type="dxa"/>
          </w:tcPr>
          <w:p w14:paraId="139BFC3E" w14:textId="77777777" w:rsidR="00CE5F7D" w:rsidRDefault="00CE5F7D" w:rsidP="00CE5F7D">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CE5F7D" w:rsidRDefault="00CE5F7D" w:rsidP="00CE5F7D"/>
          <w:p w14:paraId="7E51F76A" w14:textId="42531282" w:rsidR="00CE5F7D" w:rsidRPr="005D79FA" w:rsidRDefault="00CE5F7D" w:rsidP="00CE5F7D">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4B9A93FE" w14:textId="77777777" w:rsidR="00CE5F7D" w:rsidRPr="001052BF" w:rsidRDefault="00CE5F7D" w:rsidP="00CE5F7D">
            <w:pPr>
              <w:rPr>
                <w:rFonts w:cs="Arial"/>
              </w:rPr>
            </w:pPr>
            <w:r w:rsidRPr="001052BF">
              <w:rPr>
                <w:rStyle w:val="Heading4Char"/>
              </w:rPr>
              <w:t>The patient should be advised to report any of the following signs or symptoms to their primary care prescriber without delay</w:t>
            </w:r>
            <w:r w:rsidRPr="001052BF">
              <w:rPr>
                <w:rFonts w:cs="Arial"/>
              </w:rPr>
              <w:t xml:space="preserve">:          </w:t>
            </w:r>
          </w:p>
          <w:p w14:paraId="042C613A" w14:textId="086AE50A" w:rsidR="00CE5F7D" w:rsidRPr="001052BF" w:rsidRDefault="00CE5F7D" w:rsidP="00CE5F7D">
            <w:pPr>
              <w:pStyle w:val="ListParagraph"/>
              <w:numPr>
                <w:ilvl w:val="0"/>
                <w:numId w:val="44"/>
              </w:numPr>
              <w:rPr>
                <w:rFonts w:cs="Arial"/>
              </w:rPr>
            </w:pPr>
            <w:r w:rsidRPr="001052BF">
              <w:rPr>
                <w:rFonts w:cs="Arial"/>
              </w:rPr>
              <w:t>Signs or symptoms of pulmonary toxicity, e.g. breathlessness, non-productive cough or deterioration in general health (e.g. fatigue, weight loss, fever)</w:t>
            </w:r>
            <w:r>
              <w:rPr>
                <w:rFonts w:cs="Arial"/>
              </w:rPr>
              <w:t>.</w:t>
            </w:r>
          </w:p>
          <w:p w14:paraId="359A9B67" w14:textId="6C575D04" w:rsidR="00CE5F7D" w:rsidRPr="001052BF" w:rsidRDefault="00CE5F7D" w:rsidP="00CE5F7D">
            <w:pPr>
              <w:pStyle w:val="ListParagraph"/>
              <w:numPr>
                <w:ilvl w:val="0"/>
                <w:numId w:val="44"/>
              </w:numPr>
              <w:rPr>
                <w:rFonts w:cs="Arial"/>
              </w:rPr>
            </w:pPr>
            <w:r w:rsidRPr="001052BF">
              <w:rPr>
                <w:rFonts w:cs="Arial"/>
              </w:rPr>
              <w:t>Signs or symptoms of liver injury, e.g. abdominal pain, loss of appetite, nausea, vomiting, fever, malaise, fatigue, itching, dark urine, or yellowing of skin or eyes</w:t>
            </w:r>
            <w:r>
              <w:rPr>
                <w:rFonts w:cs="Arial"/>
              </w:rPr>
              <w:t>.</w:t>
            </w:r>
          </w:p>
          <w:p w14:paraId="07489424" w14:textId="4ED7314C" w:rsidR="00CE5F7D" w:rsidRPr="001052BF" w:rsidRDefault="00CE5F7D" w:rsidP="00CE5F7D">
            <w:pPr>
              <w:pStyle w:val="ListParagraph"/>
              <w:numPr>
                <w:ilvl w:val="0"/>
                <w:numId w:val="44"/>
              </w:numPr>
              <w:rPr>
                <w:rFonts w:cs="Arial"/>
              </w:rPr>
            </w:pPr>
            <w:r w:rsidRPr="001052BF">
              <w:rPr>
                <w:rFonts w:cs="Arial"/>
              </w:rPr>
              <w:t>Signs or symptoms of heart failure, e.g. development or worsening of weight gain, dependent oedema, or dyspnoea</w:t>
            </w:r>
            <w:r>
              <w:rPr>
                <w:rFonts w:cs="Arial"/>
              </w:rPr>
              <w:t>.</w:t>
            </w:r>
          </w:p>
          <w:p w14:paraId="0667D4C4" w14:textId="578B4C37" w:rsidR="00CE5F7D" w:rsidRPr="001052BF" w:rsidRDefault="00CE5F7D" w:rsidP="00CE5F7D">
            <w:pPr>
              <w:pStyle w:val="ListParagraph"/>
              <w:numPr>
                <w:ilvl w:val="0"/>
                <w:numId w:val="44"/>
              </w:numPr>
              <w:rPr>
                <w:rFonts w:cs="Arial"/>
              </w:rPr>
            </w:pPr>
            <w:r w:rsidRPr="001052BF">
              <w:rPr>
                <w:rFonts w:cs="Arial"/>
              </w:rPr>
              <w:t>Signs or symptoms of bradycardia, e.g. dizziness, fatigue, fainting, shortness of breath, chest pain or palpitations, confusion or trouble concentrating</w:t>
            </w:r>
            <w:r>
              <w:rPr>
                <w:rFonts w:cs="Arial"/>
              </w:rPr>
              <w:t>.</w:t>
            </w:r>
          </w:p>
          <w:p w14:paraId="585A12B5" w14:textId="77777777" w:rsidR="00CE5F7D" w:rsidRPr="001052BF" w:rsidRDefault="00CE5F7D" w:rsidP="00CE5F7D">
            <w:pPr>
              <w:rPr>
                <w:rFonts w:cs="Arial"/>
              </w:rPr>
            </w:pPr>
          </w:p>
          <w:p w14:paraId="128C89BD" w14:textId="77777777" w:rsidR="00CE5F7D" w:rsidRPr="001052BF" w:rsidRDefault="00CE5F7D" w:rsidP="00CE5F7D">
            <w:pPr>
              <w:rPr>
                <w:rFonts w:cs="Arial"/>
              </w:rPr>
            </w:pPr>
            <w:r w:rsidRPr="001052BF">
              <w:rPr>
                <w:rStyle w:val="Heading4Char"/>
              </w:rPr>
              <w:t>The patient should be advised</w:t>
            </w:r>
            <w:r w:rsidRPr="001052BF">
              <w:rPr>
                <w:rFonts w:cs="Arial"/>
              </w:rPr>
              <w:t>:</w:t>
            </w:r>
          </w:p>
          <w:p w14:paraId="348CE549" w14:textId="77777777" w:rsidR="00CE5F7D" w:rsidRPr="001052BF" w:rsidRDefault="00CE5F7D" w:rsidP="00CE5F7D">
            <w:pPr>
              <w:pStyle w:val="ListParagraph"/>
              <w:numPr>
                <w:ilvl w:val="0"/>
                <w:numId w:val="44"/>
              </w:numPr>
              <w:rPr>
                <w:rFonts w:cs="Arial"/>
              </w:rPr>
            </w:pPr>
            <w:r w:rsidRPr="001052BF">
              <w:rPr>
                <w:rFonts w:cs="Arial"/>
              </w:rPr>
              <w:t>Avoid grapefruit and grapefruit juice while taking dronedarone.</w:t>
            </w:r>
          </w:p>
          <w:p w14:paraId="1C450241" w14:textId="77777777" w:rsidR="00CE5F7D" w:rsidRPr="001052BF" w:rsidRDefault="00CE5F7D" w:rsidP="00CE5F7D">
            <w:pPr>
              <w:pStyle w:val="ListParagraph"/>
              <w:numPr>
                <w:ilvl w:val="0"/>
                <w:numId w:val="44"/>
              </w:numPr>
              <w:rPr>
                <w:rFonts w:cs="Arial"/>
              </w:rPr>
            </w:pPr>
            <w:r w:rsidRPr="001052BF">
              <w:rPr>
                <w:rFonts w:cs="Arial"/>
              </w:rPr>
              <w:t>If taking a statin and dronedarone, to report any signs of unexplained muscle pain, tenderness, weakness or dark coloured urine.</w:t>
            </w:r>
          </w:p>
          <w:p w14:paraId="1E743E33" w14:textId="5CE4077F" w:rsidR="00CE5F7D" w:rsidRPr="001052BF" w:rsidRDefault="00CE5F7D" w:rsidP="00CE5F7D">
            <w:pPr>
              <w:pStyle w:val="ListParagraph"/>
              <w:numPr>
                <w:ilvl w:val="0"/>
                <w:numId w:val="44"/>
              </w:numPr>
              <w:rPr>
                <w:rFonts w:cs="Arial"/>
              </w:rPr>
            </w:pPr>
            <w:r w:rsidRPr="001052BF">
              <w:rPr>
                <w:rFonts w:cs="Arial"/>
              </w:rPr>
              <w:t xml:space="preserve">Photosensitivity is an uncommon side effect of dronedarone (less than 1 in 100 people). If it occurs, patients should be advised on appropriate self-care: e.g. sun avoidance, protective clothing, avoiding tanning (including tanning beds) and to purchase and use of a </w:t>
            </w:r>
            <w:proofErr w:type="gramStart"/>
            <w:r w:rsidRPr="001052BF">
              <w:rPr>
                <w:rFonts w:cs="Arial"/>
              </w:rPr>
              <w:t>broad spectrum</w:t>
            </w:r>
            <w:proofErr w:type="gramEnd"/>
            <w:r w:rsidRPr="001052BF">
              <w:rPr>
                <w:rFonts w:cs="Arial"/>
              </w:rPr>
              <w:t xml:space="preserve"> sunscreen (at least SPF30).  These measures should be continued for the duration of therapy.</w:t>
            </w:r>
          </w:p>
          <w:p w14:paraId="6C82E20C" w14:textId="77777777" w:rsidR="00CE5F7D" w:rsidRPr="001052BF" w:rsidRDefault="00CE5F7D" w:rsidP="00CE5F7D">
            <w:pPr>
              <w:rPr>
                <w:rFonts w:cs="Arial"/>
              </w:rPr>
            </w:pPr>
          </w:p>
          <w:p w14:paraId="298DA26F" w14:textId="7426D70C" w:rsidR="00CE5F7D" w:rsidRPr="007A56FB" w:rsidRDefault="00CE5F7D" w:rsidP="00CE5F7D">
            <w:pPr>
              <w:rPr>
                <w:rFonts w:cs="Arial"/>
              </w:rPr>
            </w:pPr>
            <w:r w:rsidRPr="001052BF">
              <w:rPr>
                <w:rFonts w:cs="Arial"/>
              </w:rPr>
              <w:t>Patient information:</w:t>
            </w:r>
            <w:r>
              <w:rPr>
                <w:rFonts w:cs="Arial"/>
              </w:rPr>
              <w:t xml:space="preserve"> </w:t>
            </w:r>
            <w:hyperlink r:id="rId24" w:history="1">
              <w:r w:rsidRPr="001052BF">
                <w:rPr>
                  <w:rStyle w:val="Hyperlink"/>
                  <w:rFonts w:cs="Arial"/>
                </w:rPr>
                <w:t>British Heart Foundation – Anti-</w:t>
              </w:r>
              <w:proofErr w:type="spellStart"/>
              <w:r w:rsidRPr="001052BF">
                <w:rPr>
                  <w:rStyle w:val="Hyperlink"/>
                  <w:rFonts w:cs="Arial"/>
                </w:rPr>
                <w:t>arrhythmics</w:t>
              </w:r>
              <w:proofErr w:type="spellEnd"/>
            </w:hyperlink>
          </w:p>
        </w:tc>
      </w:tr>
      <w:tr w:rsidR="00CE5F7D" w:rsidRPr="00F321FC" w14:paraId="317161E6" w14:textId="77777777" w:rsidTr="00BF174A">
        <w:tc>
          <w:tcPr>
            <w:tcW w:w="2268" w:type="dxa"/>
          </w:tcPr>
          <w:p w14:paraId="7BADD8F8" w14:textId="77777777" w:rsidR="00CE5F7D" w:rsidRDefault="00CE5F7D" w:rsidP="00CE5F7D">
            <w:pPr>
              <w:pStyle w:val="Heading2"/>
              <w:rPr>
                <w:rFonts w:cs="Arial"/>
              </w:rPr>
            </w:pPr>
            <w:bookmarkStart w:id="20" w:name="twelve_pregnancy"/>
            <w:bookmarkStart w:id="21" w:name="_Toc149231796"/>
            <w:r w:rsidRPr="00F321FC">
              <w:rPr>
                <w:rFonts w:cs="Arial"/>
              </w:rPr>
              <w:t>Pregnancy</w:t>
            </w:r>
            <w:r>
              <w:rPr>
                <w:rFonts w:cs="Arial"/>
              </w:rPr>
              <w:t>, paternal exposure</w:t>
            </w:r>
            <w:r w:rsidRPr="00F321FC">
              <w:rPr>
                <w:rFonts w:cs="Arial"/>
              </w:rPr>
              <w:t xml:space="preserve"> and breastfeeding</w:t>
            </w:r>
            <w:bookmarkEnd w:id="20"/>
            <w:bookmarkEnd w:id="21"/>
          </w:p>
          <w:p w14:paraId="0AE00B39" w14:textId="77777777" w:rsidR="00CE5F7D" w:rsidRDefault="00CE5F7D" w:rsidP="00CE5F7D"/>
          <w:p w14:paraId="4C3ACC97" w14:textId="3495C602" w:rsidR="00CE5F7D" w:rsidRPr="005D79FA" w:rsidRDefault="00CE5F7D" w:rsidP="00CE5F7D"/>
        </w:tc>
        <w:tc>
          <w:tcPr>
            <w:tcW w:w="8193" w:type="dxa"/>
          </w:tcPr>
          <w:p w14:paraId="48E0C891" w14:textId="649D8A9F" w:rsidR="00CE5F7D" w:rsidRPr="00CE5F7D" w:rsidRDefault="00CE5F7D" w:rsidP="00CE5F7D">
            <w:pPr>
              <w:rPr>
                <w:rStyle w:val="Heading4Char"/>
                <w:b w:val="0"/>
                <w:bCs/>
              </w:rPr>
            </w:pPr>
            <w:r w:rsidRPr="00CE5F7D">
              <w:rPr>
                <w:rStyle w:val="Heading4Char"/>
                <w:b w:val="0"/>
                <w:bCs/>
              </w:rPr>
              <w:lastRenderedPageBreak/>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3F2DFF73" w14:textId="77777777" w:rsidR="00CE5F7D" w:rsidRDefault="00CE5F7D" w:rsidP="00CE5F7D">
            <w:pPr>
              <w:rPr>
                <w:rStyle w:val="Heading4Char"/>
              </w:rPr>
            </w:pPr>
          </w:p>
          <w:p w14:paraId="198718E6" w14:textId="44BAAF38" w:rsidR="00CE5F7D" w:rsidRPr="001052BF" w:rsidRDefault="00CE5F7D" w:rsidP="00CE5F7D">
            <w:pPr>
              <w:rPr>
                <w:rFonts w:cs="Arial"/>
              </w:rPr>
            </w:pPr>
            <w:r w:rsidRPr="001052BF">
              <w:rPr>
                <w:rStyle w:val="Heading4Char"/>
              </w:rPr>
              <w:t>Pregnancy</w:t>
            </w:r>
            <w:r w:rsidRPr="001052BF">
              <w:rPr>
                <w:rFonts w:cs="Arial"/>
              </w:rPr>
              <w:t>:</w:t>
            </w:r>
          </w:p>
          <w:p w14:paraId="6ED2E07B" w14:textId="285809B9" w:rsidR="00CE5F7D" w:rsidRPr="001052BF" w:rsidRDefault="00CE5F7D" w:rsidP="00CE5F7D">
            <w:pPr>
              <w:rPr>
                <w:rFonts w:cs="Arial"/>
              </w:rPr>
            </w:pPr>
            <w:r w:rsidRPr="001052BF">
              <w:rPr>
                <w:rFonts w:cs="Arial"/>
              </w:rPr>
              <w:t>There are limited data on the use of dronedarone in pregnant women. Studies in animals have shown reproductive toxicity. Use is not recommended during pregnancy and in women of childbearing potential not using contraception.</w:t>
            </w:r>
            <w:r w:rsidR="00A07B59">
              <w:rPr>
                <w:rFonts w:cs="Arial"/>
              </w:rPr>
              <w:t xml:space="preserve"> </w:t>
            </w:r>
            <w:r w:rsidR="00EA6CEC">
              <w:rPr>
                <w:rFonts w:cs="Arial"/>
              </w:rPr>
              <w:t>Women of childbearing potential should use effective methods of contraception during treatment with dronedarone and for 7 days after the final dose</w:t>
            </w:r>
            <w:r w:rsidR="00395427">
              <w:rPr>
                <w:rFonts w:cs="Arial"/>
              </w:rPr>
              <w:t>.</w:t>
            </w:r>
          </w:p>
          <w:p w14:paraId="2AFABFFA" w14:textId="77777777" w:rsidR="00CE5F7D" w:rsidRPr="001052BF" w:rsidRDefault="00CE5F7D" w:rsidP="00CE5F7D">
            <w:pPr>
              <w:rPr>
                <w:rFonts w:cs="Arial"/>
              </w:rPr>
            </w:pPr>
          </w:p>
          <w:p w14:paraId="70A3A5DF" w14:textId="77777777" w:rsidR="00CE5F7D" w:rsidRPr="001052BF" w:rsidRDefault="00CE5F7D" w:rsidP="00CE5F7D">
            <w:pPr>
              <w:rPr>
                <w:rFonts w:cs="Arial"/>
              </w:rPr>
            </w:pPr>
            <w:r w:rsidRPr="001052BF">
              <w:rPr>
                <w:rStyle w:val="Heading4Char"/>
              </w:rPr>
              <w:t>Breastfeeding</w:t>
            </w:r>
            <w:r w:rsidRPr="001052BF">
              <w:rPr>
                <w:rFonts w:cs="Arial"/>
              </w:rPr>
              <w:t>:</w:t>
            </w:r>
          </w:p>
          <w:p w14:paraId="511F43DD" w14:textId="77777777" w:rsidR="00CE5F7D" w:rsidRPr="001052BF" w:rsidRDefault="00CE5F7D" w:rsidP="00CE5F7D">
            <w:pPr>
              <w:rPr>
                <w:rFonts w:cs="Arial"/>
              </w:rPr>
            </w:pPr>
            <w:r w:rsidRPr="001052BF">
              <w:rPr>
                <w:rFonts w:cs="Arial"/>
              </w:rPr>
              <w:t>Low levels of dronedarone are anticipated in breast milk. Use is cautioned while breast feeding; infants should be monitored for adverse events such as diarrhoea, vomiting, weakness, bradycardia.</w:t>
            </w:r>
          </w:p>
          <w:p w14:paraId="06C7937A" w14:textId="377B45D5" w:rsidR="00CE5F7D" w:rsidRPr="007A56FB" w:rsidRDefault="00CE5F7D" w:rsidP="00CE5F7D">
            <w:pPr>
              <w:rPr>
                <w:rFonts w:cs="Arial"/>
              </w:rPr>
            </w:pPr>
            <w:r w:rsidRPr="001052BF">
              <w:rPr>
                <w:rFonts w:cs="Arial"/>
              </w:rPr>
              <w:t xml:space="preserve">Information for healthcare professionals:  </w:t>
            </w:r>
            <w:hyperlink r:id="rId25" w:history="1">
              <w:r w:rsidRPr="001052BF">
                <w:rPr>
                  <w:rStyle w:val="Hyperlink"/>
                  <w:rFonts w:cs="Arial"/>
                </w:rPr>
                <w:t>UK Drugs in Lactation Advisory Service</w:t>
              </w:r>
            </w:hyperlink>
          </w:p>
        </w:tc>
      </w:tr>
      <w:tr w:rsidR="00CE5F7D" w:rsidRPr="00F321FC" w14:paraId="6398E15E" w14:textId="77777777" w:rsidTr="00BF174A">
        <w:tc>
          <w:tcPr>
            <w:tcW w:w="2268" w:type="dxa"/>
          </w:tcPr>
          <w:p w14:paraId="6BB398C7" w14:textId="6C037366" w:rsidR="00CE5F7D" w:rsidRPr="00F321FC" w:rsidRDefault="00CE5F7D" w:rsidP="00CE5F7D">
            <w:pPr>
              <w:pStyle w:val="Heading2"/>
              <w:rPr>
                <w:rFonts w:cs="Arial"/>
              </w:rPr>
            </w:pPr>
            <w:bookmarkStart w:id="22" w:name="thirteen_specialist_contact"/>
            <w:bookmarkStart w:id="23" w:name="_Toc149231797"/>
            <w:r w:rsidRPr="00F321FC">
              <w:rPr>
                <w:rFonts w:cs="Arial"/>
              </w:rPr>
              <w:lastRenderedPageBreak/>
              <w:t>Specialist contact information</w:t>
            </w:r>
            <w:r>
              <w:rPr>
                <w:rFonts w:cs="Arial"/>
              </w:rPr>
              <w:t xml:space="preserve"> and arrangements for referral</w:t>
            </w:r>
            <w:bookmarkEnd w:id="22"/>
            <w:bookmarkEnd w:id="23"/>
          </w:p>
        </w:tc>
        <w:tc>
          <w:tcPr>
            <w:tcW w:w="8193" w:type="dxa"/>
          </w:tcPr>
          <w:p w14:paraId="63F90746" w14:textId="5965145E" w:rsidR="00CE5F7D" w:rsidRPr="001903BF" w:rsidRDefault="009E5647" w:rsidP="00CE5F7D">
            <w:pPr>
              <w:rPr>
                <w:rFonts w:cs="Arial"/>
              </w:rPr>
            </w:pPr>
            <w:r w:rsidRPr="00624C09">
              <w:rPr>
                <w:rFonts w:cs="Arial"/>
              </w:rPr>
              <w:t>Details for contacting specialist must be included on the clinic letter</w:t>
            </w:r>
            <w:r>
              <w:rPr>
                <w:rFonts w:cs="Arial"/>
              </w:rPr>
              <w:t xml:space="preserve">. </w:t>
            </w:r>
          </w:p>
        </w:tc>
      </w:tr>
      <w:tr w:rsidR="00CE5F7D" w:rsidRPr="00F321FC" w14:paraId="207E7612" w14:textId="77777777" w:rsidTr="00BF174A">
        <w:tc>
          <w:tcPr>
            <w:tcW w:w="2268" w:type="dxa"/>
          </w:tcPr>
          <w:p w14:paraId="1F87C246" w14:textId="316BF7A3" w:rsidR="00CE5F7D" w:rsidRPr="00F321FC" w:rsidRDefault="00CE5F7D" w:rsidP="00CE5F7D">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5D969788" w:rsidR="00CE5F7D" w:rsidRPr="00F321FC" w:rsidRDefault="00CE5F7D" w:rsidP="00CE5F7D">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CE5F7D" w:rsidRPr="00F321FC" w14:paraId="6B6F9FF7" w14:textId="77777777" w:rsidTr="00BF174A">
        <w:tc>
          <w:tcPr>
            <w:tcW w:w="2268" w:type="dxa"/>
          </w:tcPr>
          <w:p w14:paraId="4580613D" w14:textId="3D2EB4DF" w:rsidR="00CE5F7D" w:rsidRPr="00F321FC" w:rsidRDefault="00CE5F7D" w:rsidP="00CE5F7D">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22616382" w14:textId="726A686D" w:rsidR="00CE5F7D" w:rsidRPr="007450AA" w:rsidRDefault="00CE5F7D" w:rsidP="00CE5F7D">
            <w:pPr>
              <w:pStyle w:val="ListParagraph"/>
              <w:numPr>
                <w:ilvl w:val="0"/>
                <w:numId w:val="48"/>
              </w:numPr>
              <w:spacing w:before="0" w:after="0"/>
              <w:contextualSpacing/>
              <w:rPr>
                <w:rFonts w:eastAsia="Times New Roman" w:cs="Arial"/>
                <w:lang w:eastAsia="en-GB"/>
              </w:rPr>
            </w:pPr>
            <w:r w:rsidRPr="007450AA">
              <w:rPr>
                <w:rFonts w:eastAsia="Times New Roman" w:cs="Arial"/>
                <w:lang w:eastAsia="en-GB"/>
              </w:rPr>
              <w:t xml:space="preserve">British National Formulary accessed via </w:t>
            </w:r>
            <w:hyperlink r:id="rId26" w:history="1">
              <w:r w:rsidRPr="007450AA">
                <w:rPr>
                  <w:rStyle w:val="Hyperlink"/>
                  <w:rFonts w:cs="Arial"/>
                </w:rPr>
                <w:t>https://bnf.nice.org.uk/</w:t>
              </w:r>
            </w:hyperlink>
            <w:r w:rsidRPr="007450AA">
              <w:rPr>
                <w:rFonts w:eastAsia="Times New Roman" w:cs="Arial"/>
                <w:lang w:eastAsia="en-GB"/>
              </w:rPr>
              <w:t xml:space="preserve"> on 26/10/2023.</w:t>
            </w:r>
          </w:p>
          <w:p w14:paraId="0D33445A" w14:textId="48B73665" w:rsidR="00CE5F7D" w:rsidRPr="007450AA" w:rsidRDefault="00CE5F7D" w:rsidP="00CE5F7D">
            <w:pPr>
              <w:pStyle w:val="ListParagraph"/>
              <w:numPr>
                <w:ilvl w:val="0"/>
                <w:numId w:val="48"/>
              </w:numPr>
              <w:spacing w:before="0" w:after="0"/>
              <w:contextualSpacing/>
              <w:rPr>
                <w:rFonts w:eastAsia="Times New Roman" w:cs="Arial"/>
                <w:lang w:eastAsia="en-GB"/>
              </w:rPr>
            </w:pPr>
            <w:r w:rsidRPr="007450AA">
              <w:rPr>
                <w:rFonts w:eastAsia="Times New Roman" w:cs="Arial"/>
                <w:lang w:eastAsia="en-GB"/>
              </w:rPr>
              <w:t>Dronedarone hydrochloride 400 mg film-coated tablets (</w:t>
            </w:r>
            <w:proofErr w:type="spellStart"/>
            <w:r w:rsidRPr="007450AA">
              <w:rPr>
                <w:rFonts w:eastAsia="Times New Roman" w:cs="Arial"/>
                <w:lang w:eastAsia="en-GB"/>
              </w:rPr>
              <w:t>Multaq</w:t>
            </w:r>
            <w:proofErr w:type="spellEnd"/>
            <w:r w:rsidRPr="007450AA">
              <w:rPr>
                <w:rFonts w:eastAsia="Times New Roman" w:cs="Arial"/>
                <w:lang w:eastAsia="en-GB"/>
              </w:rPr>
              <w:t xml:space="preserve">®). Sanofi. Date of revision of the text: 01/01/21. Accessed via </w:t>
            </w:r>
            <w:hyperlink r:id="rId27" w:history="1">
              <w:r w:rsidRPr="007450AA">
                <w:rPr>
                  <w:rStyle w:val="Hyperlink"/>
                  <w:rFonts w:eastAsia="Times New Roman" w:cs="Arial"/>
                  <w:lang w:eastAsia="en-GB"/>
                </w:rPr>
                <w:t>https://www.medicines.org.uk/emc/product/497/</w:t>
              </w:r>
            </w:hyperlink>
            <w:r w:rsidRPr="007450AA">
              <w:rPr>
                <w:rFonts w:eastAsia="Times New Roman" w:cs="Arial"/>
                <w:lang w:eastAsia="en-GB"/>
              </w:rPr>
              <w:t xml:space="preserve">  on 26/10/23.</w:t>
            </w:r>
          </w:p>
          <w:p w14:paraId="02D1E72C" w14:textId="270728D0" w:rsidR="00CE5F7D" w:rsidRPr="007A3852" w:rsidRDefault="00CE5F7D" w:rsidP="00CE5F7D">
            <w:pPr>
              <w:pStyle w:val="ListParagraph"/>
              <w:numPr>
                <w:ilvl w:val="0"/>
                <w:numId w:val="48"/>
              </w:numPr>
              <w:spacing w:before="0" w:after="0"/>
              <w:contextualSpacing/>
              <w:rPr>
                <w:rFonts w:eastAsiaTheme="minorEastAsia" w:cs="Arial"/>
                <w:color w:val="FF0000"/>
                <w:lang w:eastAsia="en-GB"/>
              </w:rPr>
            </w:pPr>
            <w:r w:rsidRPr="007450AA">
              <w:rPr>
                <w:rFonts w:eastAsia="Times New Roman" w:cs="Arial"/>
                <w:lang w:eastAsia="en-GB"/>
              </w:rPr>
              <w:t xml:space="preserve">Dronedarone hydrochloride 400 mg film-coated tablets (Dronedarone Aristo). Aristo Pharma. Date of revision of the text: 14/10/2020. Accessed via  </w:t>
            </w:r>
            <w:hyperlink r:id="rId28" w:history="1">
              <w:r w:rsidRPr="007450AA">
                <w:rPr>
                  <w:rStyle w:val="Hyperlink"/>
                  <w:rFonts w:eastAsia="Times New Roman" w:cs="Arial"/>
                  <w:lang w:eastAsia="en-GB"/>
                </w:rPr>
                <w:t>https://www.medicines.org.uk/emc/product/10924/smpc</w:t>
              </w:r>
            </w:hyperlink>
            <w:r w:rsidRPr="007450AA">
              <w:rPr>
                <w:rFonts w:eastAsia="Times New Roman" w:cs="Arial"/>
                <w:lang w:eastAsia="en-GB"/>
              </w:rPr>
              <w:t xml:space="preserve"> on 26/10/23.</w:t>
            </w:r>
          </w:p>
          <w:p w14:paraId="499E387C" w14:textId="77777777" w:rsidR="00CE5F7D" w:rsidRPr="007A3852" w:rsidRDefault="00CE5F7D" w:rsidP="00CE5F7D">
            <w:pPr>
              <w:pStyle w:val="ListParagraph"/>
              <w:numPr>
                <w:ilvl w:val="0"/>
                <w:numId w:val="48"/>
              </w:numPr>
              <w:spacing w:before="0" w:after="0"/>
              <w:contextualSpacing/>
              <w:rPr>
                <w:rFonts w:eastAsiaTheme="minorEastAsia" w:cs="Arial"/>
                <w:color w:val="FF0000"/>
                <w:lang w:eastAsia="en-GB"/>
              </w:rPr>
            </w:pPr>
            <w:r w:rsidRPr="007A3852">
              <w:rPr>
                <w:rFonts w:eastAsia="Times New Roman" w:cs="Arial"/>
                <w:color w:val="000000"/>
                <w:lang w:eastAsia="en-GB"/>
              </w:rPr>
              <w:t>Dronedarone 400 mg film</w:t>
            </w:r>
            <w:r w:rsidRPr="007A3852">
              <w:rPr>
                <w:rFonts w:eastAsiaTheme="minorEastAsia" w:cs="Arial"/>
                <w:color w:val="000000"/>
                <w:lang w:eastAsia="en-GB"/>
              </w:rPr>
              <w:t>-coated tablets. Auro</w:t>
            </w:r>
            <w:r w:rsidRPr="007450AA">
              <w:rPr>
                <w:rFonts w:eastAsiaTheme="minorEastAsia" w:cs="Arial"/>
                <w:color w:val="000000"/>
                <w:lang w:eastAsia="en-GB"/>
              </w:rPr>
              <w:t>b</w:t>
            </w:r>
            <w:r w:rsidRPr="007A3852">
              <w:rPr>
                <w:rFonts w:eastAsiaTheme="minorEastAsia" w:cs="Arial"/>
                <w:color w:val="000000"/>
                <w:lang w:eastAsia="en-GB"/>
              </w:rPr>
              <w:t xml:space="preserve">indo Pharma – </w:t>
            </w:r>
            <w:proofErr w:type="spellStart"/>
            <w:r w:rsidRPr="007A3852">
              <w:rPr>
                <w:rFonts w:eastAsiaTheme="minorEastAsia" w:cs="Arial"/>
                <w:color w:val="000000"/>
                <w:lang w:eastAsia="en-GB"/>
              </w:rPr>
              <w:t>Milpharm</w:t>
            </w:r>
            <w:proofErr w:type="spellEnd"/>
            <w:r w:rsidRPr="007A3852">
              <w:rPr>
                <w:rFonts w:eastAsiaTheme="minorEastAsia" w:cs="Arial"/>
                <w:color w:val="000000"/>
                <w:lang w:eastAsia="en-GB"/>
              </w:rPr>
              <w:t xml:space="preserve"> Ltd. Date of revision of the text: 08/03/2022. Accessed via </w:t>
            </w:r>
            <w:hyperlink r:id="rId29" w:history="1">
              <w:r w:rsidRPr="007A3852">
                <w:rPr>
                  <w:rStyle w:val="Hyperlink"/>
                  <w:rFonts w:eastAsiaTheme="minorEastAsia" w:cs="Arial"/>
                  <w:lang w:eastAsia="en-GB"/>
                </w:rPr>
                <w:t>https://www.medicines.org.uk/emc/product/14895/smpc</w:t>
              </w:r>
            </w:hyperlink>
            <w:r w:rsidRPr="007A3852">
              <w:rPr>
                <w:rFonts w:eastAsiaTheme="minorEastAsia" w:cs="Arial"/>
                <w:color w:val="000000"/>
                <w:lang w:eastAsia="en-GB"/>
              </w:rPr>
              <w:t xml:space="preserve"> on 11/10/23.</w:t>
            </w:r>
          </w:p>
          <w:p w14:paraId="55E9BB0C" w14:textId="4A4CBE6B" w:rsidR="00CE5F7D" w:rsidRPr="007A3852" w:rsidRDefault="00CE5F7D" w:rsidP="00CE5F7D">
            <w:pPr>
              <w:pStyle w:val="ListParagraph"/>
              <w:numPr>
                <w:ilvl w:val="0"/>
                <w:numId w:val="48"/>
              </w:numPr>
              <w:spacing w:before="0" w:after="0"/>
              <w:contextualSpacing/>
              <w:rPr>
                <w:rFonts w:eastAsiaTheme="minorEastAsia" w:cs="Arial"/>
                <w:color w:val="000000"/>
                <w:lang w:eastAsia="en-GB"/>
              </w:rPr>
            </w:pPr>
            <w:r w:rsidRPr="007450AA">
              <w:rPr>
                <w:rFonts w:eastAsia="Times New Roman" w:cs="Arial"/>
                <w:color w:val="000000" w:themeColor="text1"/>
                <w:lang w:eastAsia="en-GB"/>
              </w:rPr>
              <w:t xml:space="preserve">NHS England. Items which should not routinely be prescribed in primary care: policy guidance. August 2023. Last updated October 2023. Accessed via </w:t>
            </w:r>
            <w:hyperlink r:id="rId30" w:history="1">
              <w:r w:rsidRPr="007A3852">
                <w:rPr>
                  <w:rStyle w:val="Hyperlink"/>
                  <w:rFonts w:cs="Arial"/>
                </w:rPr>
                <w:t>https://www.england.nhs.uk/long-read/items-which-should-not-routinely-be-prescribed-in-primary-care-policy-guidance/</w:t>
              </w:r>
            </w:hyperlink>
            <w:r w:rsidRPr="007450AA">
              <w:rPr>
                <w:rFonts w:eastAsia="Times New Roman" w:cs="Arial"/>
                <w:color w:val="000000" w:themeColor="text1"/>
                <w:lang w:eastAsia="en-GB"/>
              </w:rPr>
              <w:t xml:space="preserve"> on 26/10/23.</w:t>
            </w:r>
          </w:p>
          <w:p w14:paraId="02B9AF94" w14:textId="7F183B85" w:rsidR="00CE5F7D" w:rsidRPr="007A3852" w:rsidRDefault="00CE5F7D" w:rsidP="00CE5F7D">
            <w:pPr>
              <w:pStyle w:val="ListParagraph"/>
              <w:numPr>
                <w:ilvl w:val="0"/>
                <w:numId w:val="48"/>
              </w:numPr>
              <w:spacing w:before="0" w:after="0"/>
              <w:contextualSpacing/>
              <w:rPr>
                <w:rFonts w:eastAsiaTheme="minorEastAsia" w:cs="Arial"/>
                <w:color w:val="000000"/>
                <w:lang w:eastAsia="en-GB"/>
              </w:rPr>
            </w:pPr>
            <w:r w:rsidRPr="007450AA">
              <w:rPr>
                <w:rFonts w:eastAsia="Times New Roman" w:cs="Arial"/>
                <w:color w:val="000000" w:themeColor="text1"/>
                <w:lang w:eastAsia="en-GB"/>
              </w:rPr>
              <w:t>MHRA. Drug Safety Update volume 5 issue 3: A1. October 2011. Dronedarone (</w:t>
            </w:r>
            <w:proofErr w:type="spellStart"/>
            <w:r w:rsidRPr="007450AA">
              <w:rPr>
                <w:rFonts w:eastAsia="Times New Roman" w:cs="Arial"/>
                <w:color w:val="000000" w:themeColor="text1"/>
                <w:lang w:eastAsia="en-GB"/>
              </w:rPr>
              <w:t>Multaq</w:t>
            </w:r>
            <w:proofErr w:type="spellEnd"/>
            <w:r w:rsidRPr="007450AA">
              <w:rPr>
                <w:rFonts w:eastAsia="Times New Roman" w:cs="Arial"/>
                <w:color w:val="000000" w:themeColor="text1"/>
                <w:lang w:eastAsia="en-GB"/>
              </w:rPr>
              <w:t xml:space="preserve">▼): cardiovascular, hepatic and pulmonary adverse events </w:t>
            </w:r>
            <w:r w:rsidRPr="007A3852">
              <w:rPr>
                <w:rFonts w:eastAsia="Times New Roman" w:cs="Arial"/>
                <w:color w:val="000000" w:themeColor="text1"/>
                <w:lang w:eastAsia="en-GB"/>
              </w:rPr>
              <w:t>–</w:t>
            </w:r>
            <w:r w:rsidRPr="007450AA">
              <w:rPr>
                <w:rFonts w:eastAsia="Times New Roman" w:cs="Arial"/>
                <w:color w:val="000000" w:themeColor="text1"/>
                <w:lang w:eastAsia="en-GB"/>
              </w:rPr>
              <w:t xml:space="preserve"> new restrictions and monitoring requirements. Accessed via  </w:t>
            </w:r>
            <w:hyperlink r:id="rId31" w:history="1">
              <w:r w:rsidRPr="007450AA">
                <w:rPr>
                  <w:rStyle w:val="Hyperlink"/>
                  <w:rFonts w:eastAsia="Times New Roman" w:cs="Arial"/>
                  <w:lang w:eastAsia="en-GB"/>
                </w:rPr>
                <w:t>https://www.gov.uk/drug-safety-update/dronedarone-multaq-cardiovascular-hepatic-and-pulmonary-adverse-events-new-restrictions-and-monitoring-requirements</w:t>
              </w:r>
            </w:hyperlink>
            <w:r w:rsidRPr="007450AA">
              <w:rPr>
                <w:rFonts w:eastAsia="Times New Roman" w:cs="Arial"/>
                <w:color w:val="000000" w:themeColor="text1"/>
                <w:lang w:eastAsia="en-GB"/>
              </w:rPr>
              <w:t xml:space="preserve"> </w:t>
            </w:r>
            <w:r w:rsidRPr="007A3852">
              <w:rPr>
                <w:rFonts w:cs="Arial"/>
              </w:rPr>
              <w:t xml:space="preserve">on </w:t>
            </w:r>
            <w:r w:rsidRPr="007450AA">
              <w:rPr>
                <w:rFonts w:cs="Arial"/>
              </w:rPr>
              <w:t>26/10/2023</w:t>
            </w:r>
            <w:r w:rsidRPr="007450AA">
              <w:rPr>
                <w:rFonts w:eastAsia="Times New Roman" w:cs="Arial"/>
                <w:lang w:eastAsia="en-GB"/>
              </w:rPr>
              <w:t>.</w:t>
            </w:r>
          </w:p>
          <w:p w14:paraId="289169AE" w14:textId="5FB0483D" w:rsidR="00CE5F7D" w:rsidRPr="007A3852" w:rsidRDefault="00CE5F7D" w:rsidP="00CE5F7D">
            <w:pPr>
              <w:pStyle w:val="ListParagraph"/>
              <w:numPr>
                <w:ilvl w:val="0"/>
                <w:numId w:val="48"/>
              </w:numPr>
              <w:spacing w:before="0" w:after="0"/>
              <w:contextualSpacing/>
              <w:rPr>
                <w:rFonts w:eastAsiaTheme="minorEastAsia" w:cs="Arial"/>
                <w:color w:val="000000"/>
                <w:lang w:eastAsia="en-GB"/>
              </w:rPr>
            </w:pPr>
            <w:r w:rsidRPr="007450AA">
              <w:rPr>
                <w:rFonts w:eastAsia="Times New Roman" w:cs="Arial"/>
                <w:color w:val="000000" w:themeColor="text1"/>
                <w:lang w:eastAsia="en-GB"/>
              </w:rPr>
              <w:t xml:space="preserve">NICE. TA197: Dronedarone for the treatment of non-permanent atrial fibrillation. Last updated December 2012. Accessed via  </w:t>
            </w:r>
            <w:hyperlink r:id="rId32" w:history="1">
              <w:r w:rsidRPr="007450AA">
                <w:rPr>
                  <w:rStyle w:val="Hyperlink"/>
                  <w:rFonts w:eastAsia="Times New Roman" w:cs="Arial"/>
                  <w:lang w:eastAsia="en-GB"/>
                </w:rPr>
                <w:t>https://www.nice.org.uk/guidance/ta197</w:t>
              </w:r>
            </w:hyperlink>
            <w:r w:rsidRPr="007450AA">
              <w:rPr>
                <w:rFonts w:eastAsia="Times New Roman" w:cs="Arial"/>
                <w:color w:val="000000" w:themeColor="text1"/>
                <w:lang w:eastAsia="en-GB"/>
              </w:rPr>
              <w:t xml:space="preserve"> on 26/10/2023.</w:t>
            </w:r>
          </w:p>
          <w:p w14:paraId="6D8FF26E" w14:textId="08D02DCC" w:rsidR="00CE5F7D" w:rsidRPr="007450AA" w:rsidRDefault="00CE5F7D" w:rsidP="00CE5F7D">
            <w:pPr>
              <w:pStyle w:val="ListParagraph"/>
              <w:numPr>
                <w:ilvl w:val="0"/>
                <w:numId w:val="48"/>
              </w:numPr>
              <w:spacing w:before="0" w:after="0"/>
              <w:contextualSpacing/>
              <w:rPr>
                <w:rFonts w:eastAsia="Times New Roman" w:cs="Arial"/>
                <w:color w:val="000000"/>
                <w:lang w:eastAsia="en-GB"/>
              </w:rPr>
            </w:pPr>
            <w:r w:rsidRPr="007450AA">
              <w:rPr>
                <w:rFonts w:eastAsia="Times New Roman" w:cs="Arial"/>
                <w:color w:val="000000"/>
                <w:lang w:eastAsia="en-GB"/>
              </w:rPr>
              <w:t xml:space="preserve">NICE. NG196: Atrial fibrillation: diagnosis and management. Last updated June 2021. Accessed via </w:t>
            </w:r>
            <w:hyperlink r:id="rId33" w:history="1">
              <w:r w:rsidRPr="007450AA">
                <w:rPr>
                  <w:rStyle w:val="Hyperlink"/>
                  <w:rFonts w:eastAsia="Times New Roman" w:cs="Arial"/>
                  <w:lang w:eastAsia="en-GB"/>
                </w:rPr>
                <w:t>https://www.nice.org.uk/guidance/ng196</w:t>
              </w:r>
            </w:hyperlink>
            <w:r w:rsidRPr="007450AA">
              <w:rPr>
                <w:rFonts w:eastAsia="Times New Roman" w:cs="Arial"/>
                <w:color w:val="000000"/>
                <w:lang w:eastAsia="en-GB"/>
              </w:rPr>
              <w:t xml:space="preserve"> on 26/10/2023.</w:t>
            </w:r>
          </w:p>
          <w:p w14:paraId="46545BF9" w14:textId="02E4D314" w:rsidR="00CE5F7D" w:rsidRPr="007450AA" w:rsidRDefault="00CE5F7D" w:rsidP="00CE5F7D">
            <w:pPr>
              <w:pStyle w:val="ListParagraph"/>
              <w:numPr>
                <w:ilvl w:val="0"/>
                <w:numId w:val="48"/>
              </w:numPr>
              <w:spacing w:before="0" w:after="0"/>
              <w:contextualSpacing/>
              <w:rPr>
                <w:rFonts w:eastAsia="Times New Roman" w:cs="Arial"/>
                <w:color w:val="000000"/>
                <w:lang w:eastAsia="en-GB"/>
              </w:rPr>
            </w:pPr>
            <w:r w:rsidRPr="007450AA">
              <w:rPr>
                <w:rFonts w:eastAsia="Times New Roman" w:cs="Arial"/>
                <w:color w:val="000000" w:themeColor="text1"/>
                <w:lang w:eastAsia="en-GB"/>
              </w:rPr>
              <w:t xml:space="preserve">Specialist Pharmacy Service. Medicines Monitoring. Dronedarone. Published July 2021 Accessed via </w:t>
            </w:r>
            <w:hyperlink r:id="rId34" w:history="1">
              <w:r w:rsidRPr="007450AA">
                <w:rPr>
                  <w:rStyle w:val="Hyperlink"/>
                  <w:rFonts w:cs="Arial"/>
                </w:rPr>
                <w:t>https://www.sps.nhs.uk/monitorings/dronedarone-monitoring/</w:t>
              </w:r>
            </w:hyperlink>
            <w:r w:rsidRPr="007450AA">
              <w:rPr>
                <w:rFonts w:cs="Arial"/>
              </w:rPr>
              <w:t xml:space="preserve"> </w:t>
            </w:r>
            <w:r w:rsidRPr="007450AA">
              <w:rPr>
                <w:rFonts w:eastAsia="Times New Roman" w:cs="Arial"/>
                <w:color w:val="000000" w:themeColor="text1"/>
                <w:lang w:eastAsia="en-GB"/>
              </w:rPr>
              <w:t>on 26/10/2023.</w:t>
            </w:r>
          </w:p>
          <w:p w14:paraId="2D593C98" w14:textId="1F825147" w:rsidR="00CE5F7D" w:rsidRPr="007A3852" w:rsidRDefault="00CE5F7D" w:rsidP="00CE5F7D">
            <w:pPr>
              <w:pStyle w:val="ListParagraph"/>
              <w:numPr>
                <w:ilvl w:val="0"/>
                <w:numId w:val="48"/>
              </w:numPr>
              <w:spacing w:before="0" w:after="0"/>
              <w:contextualSpacing/>
              <w:rPr>
                <w:rFonts w:eastAsiaTheme="minorEastAsia" w:cs="Arial"/>
                <w:color w:val="000000"/>
                <w:lang w:eastAsia="en-GB"/>
              </w:rPr>
            </w:pPr>
            <w:r w:rsidRPr="007450AA">
              <w:rPr>
                <w:rFonts w:eastAsia="Times New Roman" w:cs="Arial"/>
                <w:color w:val="000000" w:themeColor="text1"/>
                <w:lang w:eastAsia="en-GB"/>
              </w:rPr>
              <w:lastRenderedPageBreak/>
              <w:t xml:space="preserve">Specialist Pharmacy Service. Lactation Safety Information: dronedarone. Last reviewed 05/08/20. Accessed via  </w:t>
            </w:r>
            <w:hyperlink r:id="rId35" w:history="1">
              <w:r w:rsidRPr="007450AA">
                <w:rPr>
                  <w:rStyle w:val="Hyperlink"/>
                  <w:rFonts w:eastAsia="Times New Roman" w:cs="Arial"/>
                  <w:lang w:eastAsia="en-GB"/>
                </w:rPr>
                <w:t>https://www.sps.nhs.uk/medicines/dronedarone/</w:t>
              </w:r>
            </w:hyperlink>
            <w:r w:rsidRPr="007450AA">
              <w:rPr>
                <w:rFonts w:eastAsia="Times New Roman" w:cs="Arial"/>
                <w:color w:val="000000" w:themeColor="text1"/>
                <w:lang w:eastAsia="en-GB"/>
              </w:rPr>
              <w:t xml:space="preserve">  on 26/10/2023.</w:t>
            </w:r>
          </w:p>
          <w:p w14:paraId="215FB74B" w14:textId="4D1BA269" w:rsidR="006F1760" w:rsidRPr="007A3852" w:rsidRDefault="00CE5F7D" w:rsidP="00CE5F7D">
            <w:pPr>
              <w:pStyle w:val="ListParagraph"/>
              <w:numPr>
                <w:ilvl w:val="0"/>
                <w:numId w:val="48"/>
              </w:numPr>
              <w:spacing w:before="0" w:after="0"/>
              <w:contextualSpacing/>
              <w:rPr>
                <w:rFonts w:eastAsiaTheme="minorEastAsia" w:cs="Arial"/>
                <w:color w:val="000000"/>
                <w:lang w:eastAsia="en-GB"/>
              </w:rPr>
            </w:pPr>
            <w:proofErr w:type="spellStart"/>
            <w:r w:rsidRPr="007450AA">
              <w:rPr>
                <w:rFonts w:eastAsia="Times New Roman" w:cs="Arial"/>
                <w:color w:val="000000" w:themeColor="text1"/>
                <w:lang w:eastAsia="en-GB"/>
              </w:rPr>
              <w:t>LiverTox</w:t>
            </w:r>
            <w:proofErr w:type="spellEnd"/>
            <w:r w:rsidRPr="007450AA">
              <w:rPr>
                <w:rFonts w:eastAsia="Times New Roman" w:cs="Arial"/>
                <w:color w:val="000000" w:themeColor="text1"/>
                <w:lang w:eastAsia="en-GB"/>
              </w:rPr>
              <w:t xml:space="preserve">. Dronedarone. Last updated 05/01/2018. Accessed via </w:t>
            </w:r>
            <w:hyperlink r:id="rId36" w:history="1">
              <w:r w:rsidRPr="007450AA">
                <w:rPr>
                  <w:rStyle w:val="Hyperlink"/>
                  <w:rFonts w:eastAsia="Times New Roman" w:cs="Arial"/>
                  <w:lang w:eastAsia="en-GB"/>
                </w:rPr>
                <w:t>https://www.ncbi.nlm.nih.gov/books/NBK548208/</w:t>
              </w:r>
            </w:hyperlink>
            <w:r w:rsidRPr="007450AA">
              <w:rPr>
                <w:rFonts w:eastAsia="Times New Roman" w:cs="Arial"/>
                <w:color w:val="000000" w:themeColor="text1"/>
                <w:lang w:eastAsia="en-GB"/>
              </w:rPr>
              <w:t xml:space="preserve">  26/10/2023.</w:t>
            </w:r>
          </w:p>
          <w:p w14:paraId="691F28DD" w14:textId="0BC47E04" w:rsidR="00CE5F7D" w:rsidRPr="007A56FB" w:rsidRDefault="00CE5F7D" w:rsidP="007A3852">
            <w:pPr>
              <w:pStyle w:val="ListParagraph"/>
              <w:numPr>
                <w:ilvl w:val="0"/>
                <w:numId w:val="48"/>
              </w:numPr>
              <w:spacing w:before="0" w:after="0"/>
              <w:contextualSpacing/>
            </w:pPr>
            <w:proofErr w:type="spellStart"/>
            <w:r w:rsidRPr="007A3852">
              <w:rPr>
                <w:rFonts w:eastAsia="Times New Roman" w:cs="Arial"/>
                <w:color w:val="000000" w:themeColor="text1"/>
                <w:lang w:eastAsia="en-GB"/>
              </w:rPr>
              <w:t>CredibleMeds</w:t>
            </w:r>
            <w:proofErr w:type="spellEnd"/>
            <w:r w:rsidRPr="007A3852">
              <w:rPr>
                <w:rFonts w:eastAsia="Times New Roman" w:cs="Arial"/>
                <w:color w:val="000000" w:themeColor="text1"/>
                <w:lang w:eastAsia="en-GB"/>
              </w:rPr>
              <w:t xml:space="preserve">. </w:t>
            </w:r>
            <w:proofErr w:type="spellStart"/>
            <w:r w:rsidRPr="007A3852">
              <w:rPr>
                <w:rFonts w:eastAsia="Times New Roman" w:cs="Arial"/>
                <w:color w:val="000000" w:themeColor="text1"/>
                <w:lang w:eastAsia="en-GB"/>
              </w:rPr>
              <w:t>QTDrugs</w:t>
            </w:r>
            <w:proofErr w:type="spellEnd"/>
            <w:r w:rsidRPr="007A3852">
              <w:rPr>
                <w:rFonts w:eastAsia="Times New Roman" w:cs="Arial"/>
                <w:color w:val="000000" w:themeColor="text1"/>
                <w:lang w:eastAsia="en-GB"/>
              </w:rPr>
              <w:t xml:space="preserve"> List. Clarithromycin. Last updated June 26</w:t>
            </w:r>
            <w:proofErr w:type="gramStart"/>
            <w:r w:rsidRPr="007A3852">
              <w:rPr>
                <w:rFonts w:eastAsia="Times New Roman" w:cs="Arial"/>
                <w:color w:val="000000" w:themeColor="text1"/>
                <w:lang w:eastAsia="en-GB"/>
              </w:rPr>
              <w:t xml:space="preserve"> 2023</w:t>
            </w:r>
            <w:proofErr w:type="gramEnd"/>
            <w:r w:rsidRPr="007A3852">
              <w:rPr>
                <w:rFonts w:eastAsia="Times New Roman" w:cs="Arial"/>
                <w:color w:val="000000" w:themeColor="text1"/>
                <w:lang w:eastAsia="en-GB"/>
              </w:rPr>
              <w:t xml:space="preserve">. Accessed via </w:t>
            </w:r>
            <w:hyperlink r:id="rId37" w:history="1">
              <w:r w:rsidRPr="006F1760">
                <w:rPr>
                  <w:rStyle w:val="Hyperlink"/>
                  <w:rFonts w:eastAsia="Times New Roman" w:cs="Arial"/>
                  <w:lang w:eastAsia="en-GB"/>
                </w:rPr>
                <w:t>https://crediblemeds.org/</w:t>
              </w:r>
            </w:hyperlink>
            <w:r w:rsidRPr="007A3852">
              <w:rPr>
                <w:rFonts w:eastAsia="Times New Roman" w:cs="Arial"/>
                <w:color w:val="000000" w:themeColor="text1"/>
                <w:lang w:eastAsia="en-GB"/>
              </w:rPr>
              <w:t xml:space="preserve"> on 26/10/2023</w:t>
            </w:r>
            <w:r w:rsidRPr="007A3852">
              <w:rPr>
                <w:rFonts w:eastAsia="Times New Roman" w:cs="Arial"/>
                <w:lang w:eastAsia="en-GB"/>
              </w:rPr>
              <w:t>.</w:t>
            </w:r>
          </w:p>
        </w:tc>
      </w:tr>
      <w:tr w:rsidR="00CE5F7D" w:rsidRPr="00F321FC" w14:paraId="5BFC9044" w14:textId="77777777" w:rsidTr="00BF174A">
        <w:tc>
          <w:tcPr>
            <w:tcW w:w="2268" w:type="dxa"/>
          </w:tcPr>
          <w:p w14:paraId="2578110D" w14:textId="586DDC3D" w:rsidR="00CE5F7D" w:rsidRPr="00F321FC" w:rsidRDefault="00CE5F7D" w:rsidP="00CE5F7D">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193" w:type="dxa"/>
          </w:tcPr>
          <w:p w14:paraId="1D359FBA" w14:textId="1B10209E" w:rsidR="00CE5F7D" w:rsidRPr="00FB404F" w:rsidRDefault="00CE5F7D" w:rsidP="00CE5F7D">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38" w:history="1">
              <w:r w:rsidR="005F44A7"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CE5F7D" w:rsidRPr="00FB404F" w:rsidRDefault="00CE5F7D" w:rsidP="00CE5F7D">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39"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CE5F7D" w:rsidRPr="00FB404F" w:rsidRDefault="00CE5F7D" w:rsidP="00CE5F7D">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0"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CE5F7D" w:rsidRPr="00FB404F" w:rsidRDefault="00CE5F7D" w:rsidP="00CE5F7D">
            <w:pPr>
              <w:pStyle w:val="References"/>
              <w:spacing w:after="60"/>
              <w:rPr>
                <w:rFonts w:cs="Arial"/>
              </w:rPr>
            </w:pPr>
            <w:r w:rsidRPr="00FB404F">
              <w:rPr>
                <w:rFonts w:eastAsia="Times New Roman" w:cs="Arial"/>
                <w:lang w:eastAsia="en-GB"/>
              </w:rPr>
              <w:t xml:space="preserve">NICE NG197: Shared decision making. Last updated June 2021. </w:t>
            </w:r>
            <w:hyperlink r:id="rId41"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42"/>
      <w:headerReference w:type="first" r:id="rId43"/>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98C8" w14:textId="77777777" w:rsidR="007F5918" w:rsidRDefault="007F5918" w:rsidP="00E83C66">
      <w:pPr>
        <w:spacing w:after="0" w:line="240" w:lineRule="auto"/>
      </w:pPr>
      <w:r>
        <w:separator/>
      </w:r>
    </w:p>
  </w:endnote>
  <w:endnote w:type="continuationSeparator" w:id="0">
    <w:p w14:paraId="2473FE87" w14:textId="77777777" w:rsidR="007F5918" w:rsidRDefault="007F5918" w:rsidP="00E83C66">
      <w:pPr>
        <w:spacing w:after="0" w:line="240" w:lineRule="auto"/>
      </w:pPr>
      <w:r>
        <w:continuationSeparator/>
      </w:r>
    </w:p>
  </w:endnote>
  <w:endnote w:type="continuationNotice" w:id="1">
    <w:p w14:paraId="2036DF22" w14:textId="77777777" w:rsidR="007F5918" w:rsidRDefault="007F59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3341904F" w:rsidR="00CC4648" w:rsidRPr="00003E35" w:rsidRDefault="00CC4648" w:rsidP="00003E35">
    <w:pPr>
      <w:pStyle w:val="Footer"/>
    </w:pPr>
    <w:r w:rsidRPr="00003E35">
      <w:t xml:space="preserve">Shared care protocol: </w:t>
    </w:r>
    <w:r w:rsidR="00CD0E2E">
      <w:t>dronedarone</w:t>
    </w:r>
    <w:r w:rsidRPr="00003E35">
      <w:t xml:space="preserve"> in adults </w:t>
    </w:r>
    <w:r w:rsidRPr="00003E35">
      <w:tab/>
    </w:r>
    <w:r w:rsidRPr="00003E35">
      <w:tab/>
    </w:r>
    <w:r w:rsidR="0012626C">
      <w:t>HNY</w:t>
    </w:r>
    <w:r w:rsidR="007A3852">
      <w:t xml:space="preserve"> v1.0</w:t>
    </w:r>
  </w:p>
  <w:p w14:paraId="505A2D92" w14:textId="708A34CD" w:rsidR="00BF1406" w:rsidRDefault="00CC4648" w:rsidP="00003E35">
    <w:pPr>
      <w:pStyle w:val="Footer"/>
    </w:pPr>
    <w:r w:rsidRPr="00003E35">
      <w:t xml:space="preserve">Clinical content reviewed by RDTC: </w:t>
    </w:r>
    <w:r w:rsidR="00CD0E2E">
      <w:t>26</w:t>
    </w:r>
    <w:r w:rsidR="00CD0E2E" w:rsidRPr="00CD0E2E">
      <w:rPr>
        <w:vertAlign w:val="superscript"/>
      </w:rPr>
      <w:t>th</w:t>
    </w:r>
    <w:r w:rsidR="00CD0E2E">
      <w:t xml:space="preserve"> October 2023</w:t>
    </w:r>
    <w:r w:rsidRPr="00003E35">
      <w:tab/>
    </w:r>
    <w:r w:rsidR="00601DA3">
      <w:t xml:space="preserve">                              </w:t>
    </w:r>
    <w:r w:rsidRPr="00003E35">
      <w:t xml:space="preserve">Approved by </w:t>
    </w:r>
    <w:r w:rsidR="00237F11">
      <w:t>HNY</w:t>
    </w:r>
    <w:r w:rsidR="00237F11" w:rsidRPr="00003E35">
      <w:t xml:space="preserve"> </w:t>
    </w:r>
    <w:r w:rsidRPr="00003E35">
      <w:t xml:space="preserve">ICB: </w:t>
    </w:r>
    <w:r w:rsidR="00601DA3">
      <w:t>02/04/2025</w:t>
    </w:r>
  </w:p>
  <w:p w14:paraId="000D307B" w14:textId="7119A669" w:rsidR="00C70912" w:rsidRPr="00C70912" w:rsidRDefault="00C70912" w:rsidP="00C70912">
    <w:pPr>
      <w:pStyle w:val="Footer"/>
      <w:jc w:val="right"/>
    </w:pPr>
    <w:r w:rsidRPr="00C70912">
      <w:t xml:space="preserve">Page </w:t>
    </w:r>
    <w:r w:rsidRPr="00C70912">
      <w:fldChar w:fldCharType="begin"/>
    </w:r>
    <w:r w:rsidRPr="00C70912">
      <w:instrText xml:space="preserve"> PAGE  \* Arabic  \* MERGEFORMAT </w:instrText>
    </w:r>
    <w:r w:rsidRPr="00C70912">
      <w:fldChar w:fldCharType="separate"/>
    </w:r>
    <w:r w:rsidRPr="00C70912">
      <w:rPr>
        <w:noProof/>
      </w:rPr>
      <w:t>1</w:t>
    </w:r>
    <w:r w:rsidRPr="00C70912">
      <w:fldChar w:fldCharType="end"/>
    </w:r>
    <w:r w:rsidRPr="00C70912">
      <w:t xml:space="preserve"> of </w:t>
    </w:r>
    <w:fldSimple w:instr=" NUMPAGES  \* Arabic  \* MERGEFORMAT ">
      <w:r w:rsidRPr="00C7091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00C2" w14:textId="77777777" w:rsidR="007F5918" w:rsidRDefault="007F5918" w:rsidP="00E83C66">
      <w:pPr>
        <w:spacing w:after="0" w:line="240" w:lineRule="auto"/>
      </w:pPr>
      <w:r>
        <w:separator/>
      </w:r>
    </w:p>
  </w:footnote>
  <w:footnote w:type="continuationSeparator" w:id="0">
    <w:p w14:paraId="644BF781" w14:textId="77777777" w:rsidR="007F5918" w:rsidRDefault="007F5918" w:rsidP="00E83C66">
      <w:pPr>
        <w:spacing w:after="0" w:line="240" w:lineRule="auto"/>
      </w:pPr>
      <w:r>
        <w:continuationSeparator/>
      </w:r>
    </w:p>
  </w:footnote>
  <w:footnote w:type="continuationNotice" w:id="1">
    <w:p w14:paraId="5FCE14F5" w14:textId="77777777" w:rsidR="007F5918" w:rsidRDefault="007F59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7E52" w14:textId="3B628161" w:rsidR="00BF2B9E" w:rsidRDefault="00BF2B9E" w:rsidP="003C21D1">
    <w:pPr>
      <w:pStyle w:val="Header"/>
      <w:spacing w:after="0"/>
      <w:rPr>
        <w:b/>
        <w:bCs/>
      </w:rPr>
    </w:pPr>
    <w:r w:rsidRPr="00EC13F4">
      <w:rPr>
        <w:noProof/>
        <w:lang w:eastAsia="en-GB"/>
      </w:rPr>
      <w:drawing>
        <wp:anchor distT="0" distB="0" distL="114300" distR="114300" simplePos="0" relativeHeight="251661312" behindDoc="1" locked="0" layoutInCell="1" allowOverlap="1" wp14:anchorId="151AAB36" wp14:editId="530AC5D9">
          <wp:simplePos x="0" y="0"/>
          <wp:positionH relativeFrom="margin">
            <wp:posOffset>5376545</wp:posOffset>
          </wp:positionH>
          <wp:positionV relativeFrom="paragraph">
            <wp:posOffset>-257810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EC13F4">
      <w:rPr>
        <w:noProof/>
        <w:lang w:eastAsia="en-GB"/>
      </w:rPr>
      <w:drawing>
        <wp:anchor distT="0" distB="0" distL="114300" distR="114300" simplePos="0" relativeHeight="251659264" behindDoc="1" locked="0" layoutInCell="1" allowOverlap="1" wp14:anchorId="361E7DFE" wp14:editId="0A4B862A">
          <wp:simplePos x="0" y="0"/>
          <wp:positionH relativeFrom="margin">
            <wp:posOffset>9525</wp:posOffset>
          </wp:positionH>
          <wp:positionV relativeFrom="paragraph">
            <wp:posOffset>-143510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261841A0" w14:textId="77777777" w:rsidR="00BF2B9E" w:rsidRDefault="00BF2B9E" w:rsidP="00BF2B9E">
    <w:pPr>
      <w:pStyle w:val="Header"/>
      <w:spacing w:after="0"/>
      <w:jc w:val="right"/>
      <w:rPr>
        <w:rStyle w:val="Heading1Char"/>
      </w:rPr>
    </w:pPr>
  </w:p>
  <w:p w14:paraId="034ABC3F" w14:textId="777A338B" w:rsidR="00CB6622" w:rsidRPr="003C21D1" w:rsidRDefault="003C21D1" w:rsidP="00846C33">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2CE"/>
    <w:multiLevelType w:val="hybridMultilevel"/>
    <w:tmpl w:val="D33C5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4AC5E1A"/>
    <w:multiLevelType w:val="hybridMultilevel"/>
    <w:tmpl w:val="561A8282"/>
    <w:lvl w:ilvl="0" w:tplc="417EDD9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B77F7D"/>
    <w:multiLevelType w:val="hybridMultilevel"/>
    <w:tmpl w:val="68702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72136"/>
    <w:multiLevelType w:val="hybridMultilevel"/>
    <w:tmpl w:val="9804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851242"/>
    <w:multiLevelType w:val="hybridMultilevel"/>
    <w:tmpl w:val="C8BC8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52051"/>
    <w:multiLevelType w:val="hybridMultilevel"/>
    <w:tmpl w:val="1834F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D1A92"/>
    <w:multiLevelType w:val="hybridMultilevel"/>
    <w:tmpl w:val="5C583786"/>
    <w:lvl w:ilvl="0" w:tplc="08090001">
      <w:start w:val="1"/>
      <w:numFmt w:val="bullet"/>
      <w:lvlText w:val=""/>
      <w:lvlJc w:val="left"/>
      <w:pPr>
        <w:ind w:left="360" w:hanging="360"/>
      </w:pPr>
      <w:rPr>
        <w:rFonts w:ascii="Symbol" w:hAnsi="Symbol" w:hint="default"/>
      </w:rPr>
    </w:lvl>
    <w:lvl w:ilvl="1" w:tplc="ED046AB0">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72D7E"/>
    <w:multiLevelType w:val="hybridMultilevel"/>
    <w:tmpl w:val="CA34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38"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11"/>
  </w:num>
  <w:num w:numId="2" w16cid:durableId="1224100526">
    <w:abstractNumId w:val="43"/>
  </w:num>
  <w:num w:numId="3" w16cid:durableId="1269267838">
    <w:abstractNumId w:val="27"/>
  </w:num>
  <w:num w:numId="4" w16cid:durableId="1792934587">
    <w:abstractNumId w:val="11"/>
  </w:num>
  <w:num w:numId="5" w16cid:durableId="398984978">
    <w:abstractNumId w:val="20"/>
  </w:num>
  <w:num w:numId="6" w16cid:durableId="1711491000">
    <w:abstractNumId w:val="12"/>
  </w:num>
  <w:num w:numId="7" w16cid:durableId="1389835831">
    <w:abstractNumId w:val="33"/>
  </w:num>
  <w:num w:numId="8" w16cid:durableId="1581595270">
    <w:abstractNumId w:val="38"/>
  </w:num>
  <w:num w:numId="9" w16cid:durableId="971983080">
    <w:abstractNumId w:val="1"/>
  </w:num>
  <w:num w:numId="10" w16cid:durableId="1560628545">
    <w:abstractNumId w:val="45"/>
  </w:num>
  <w:num w:numId="11" w16cid:durableId="1895966269">
    <w:abstractNumId w:val="29"/>
  </w:num>
  <w:num w:numId="12" w16cid:durableId="288975919">
    <w:abstractNumId w:val="17"/>
  </w:num>
  <w:num w:numId="13" w16cid:durableId="1595825104">
    <w:abstractNumId w:val="18"/>
  </w:num>
  <w:num w:numId="14" w16cid:durableId="389427299">
    <w:abstractNumId w:val="48"/>
  </w:num>
  <w:num w:numId="15" w16cid:durableId="1326088107">
    <w:abstractNumId w:val="10"/>
  </w:num>
  <w:num w:numId="16" w16cid:durableId="1199200212">
    <w:abstractNumId w:val="34"/>
  </w:num>
  <w:num w:numId="17" w16cid:durableId="1120151965">
    <w:abstractNumId w:val="8"/>
  </w:num>
  <w:num w:numId="18" w16cid:durableId="1796174488">
    <w:abstractNumId w:val="42"/>
  </w:num>
  <w:num w:numId="19" w16cid:durableId="1552424792">
    <w:abstractNumId w:val="25"/>
  </w:num>
  <w:num w:numId="20" w16cid:durableId="1589534415">
    <w:abstractNumId w:val="29"/>
    <w:lvlOverride w:ilvl="0">
      <w:startOverride w:val="1"/>
    </w:lvlOverride>
  </w:num>
  <w:num w:numId="21" w16cid:durableId="1552962026">
    <w:abstractNumId w:val="47"/>
  </w:num>
  <w:num w:numId="22" w16cid:durableId="658383010">
    <w:abstractNumId w:val="22"/>
  </w:num>
  <w:num w:numId="23" w16cid:durableId="375591055">
    <w:abstractNumId w:val="19"/>
  </w:num>
  <w:num w:numId="24" w16cid:durableId="550772202">
    <w:abstractNumId w:val="32"/>
  </w:num>
  <w:num w:numId="25" w16cid:durableId="1276983454">
    <w:abstractNumId w:val="30"/>
  </w:num>
  <w:num w:numId="26" w16cid:durableId="730541721">
    <w:abstractNumId w:val="40"/>
  </w:num>
  <w:num w:numId="27" w16cid:durableId="1994482158">
    <w:abstractNumId w:val="15"/>
  </w:num>
  <w:num w:numId="28" w16cid:durableId="471676908">
    <w:abstractNumId w:val="6"/>
  </w:num>
  <w:num w:numId="29" w16cid:durableId="2031760162">
    <w:abstractNumId w:val="39"/>
  </w:num>
  <w:num w:numId="30" w16cid:durableId="2072149727">
    <w:abstractNumId w:val="5"/>
  </w:num>
  <w:num w:numId="31" w16cid:durableId="1777480698">
    <w:abstractNumId w:val="24"/>
  </w:num>
  <w:num w:numId="32" w16cid:durableId="1374844284">
    <w:abstractNumId w:val="46"/>
  </w:num>
  <w:num w:numId="33" w16cid:durableId="735859193">
    <w:abstractNumId w:val="3"/>
  </w:num>
  <w:num w:numId="34" w16cid:durableId="593896887">
    <w:abstractNumId w:val="7"/>
  </w:num>
  <w:num w:numId="35" w16cid:durableId="80612885">
    <w:abstractNumId w:val="44"/>
  </w:num>
  <w:num w:numId="36" w16cid:durableId="1301955089">
    <w:abstractNumId w:val="28"/>
  </w:num>
  <w:num w:numId="37" w16cid:durableId="643387427">
    <w:abstractNumId w:val="14"/>
  </w:num>
  <w:num w:numId="38" w16cid:durableId="495727423">
    <w:abstractNumId w:val="36"/>
  </w:num>
  <w:num w:numId="39" w16cid:durableId="1173447913">
    <w:abstractNumId w:val="37"/>
  </w:num>
  <w:num w:numId="40" w16cid:durableId="2037151764">
    <w:abstractNumId w:val="31"/>
  </w:num>
  <w:num w:numId="41" w16cid:durableId="612591037">
    <w:abstractNumId w:val="23"/>
  </w:num>
  <w:num w:numId="42" w16cid:durableId="1361206612">
    <w:abstractNumId w:val="13"/>
  </w:num>
  <w:num w:numId="43" w16cid:durableId="1022124433">
    <w:abstractNumId w:val="16"/>
  </w:num>
  <w:num w:numId="44" w16cid:durableId="213390012">
    <w:abstractNumId w:val="26"/>
  </w:num>
  <w:num w:numId="45" w16cid:durableId="1686512457">
    <w:abstractNumId w:val="0"/>
  </w:num>
  <w:num w:numId="46" w16cid:durableId="1700620836">
    <w:abstractNumId w:val="4"/>
  </w:num>
  <w:num w:numId="47" w16cid:durableId="1717776693">
    <w:abstractNumId w:val="21"/>
  </w:num>
  <w:num w:numId="48" w16cid:durableId="1041393996">
    <w:abstractNumId w:val="2"/>
  </w:num>
  <w:num w:numId="49" w16cid:durableId="724909206">
    <w:abstractNumId w:val="9"/>
  </w:num>
  <w:num w:numId="50" w16cid:durableId="688411385">
    <w:abstractNumId w:val="35"/>
  </w:num>
  <w:num w:numId="51" w16cid:durableId="21366006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0666A"/>
    <w:rsid w:val="00021009"/>
    <w:rsid w:val="00023A66"/>
    <w:rsid w:val="0002435C"/>
    <w:rsid w:val="00026645"/>
    <w:rsid w:val="00032724"/>
    <w:rsid w:val="00035AE8"/>
    <w:rsid w:val="00036678"/>
    <w:rsid w:val="00044DF9"/>
    <w:rsid w:val="0004748A"/>
    <w:rsid w:val="00047C0A"/>
    <w:rsid w:val="00054D0C"/>
    <w:rsid w:val="00057CD1"/>
    <w:rsid w:val="000910E5"/>
    <w:rsid w:val="000950C8"/>
    <w:rsid w:val="000A0ECA"/>
    <w:rsid w:val="000B30A5"/>
    <w:rsid w:val="000D080C"/>
    <w:rsid w:val="000E1A49"/>
    <w:rsid w:val="000E2CF5"/>
    <w:rsid w:val="000E2D8B"/>
    <w:rsid w:val="000F1BE5"/>
    <w:rsid w:val="000F4219"/>
    <w:rsid w:val="000F48EC"/>
    <w:rsid w:val="000F53A2"/>
    <w:rsid w:val="000F5E8F"/>
    <w:rsid w:val="000F68E2"/>
    <w:rsid w:val="001026FB"/>
    <w:rsid w:val="001123BA"/>
    <w:rsid w:val="001179FD"/>
    <w:rsid w:val="001208FF"/>
    <w:rsid w:val="0012626C"/>
    <w:rsid w:val="00127BC4"/>
    <w:rsid w:val="00135DDB"/>
    <w:rsid w:val="00141994"/>
    <w:rsid w:val="00142209"/>
    <w:rsid w:val="001432AE"/>
    <w:rsid w:val="00145D93"/>
    <w:rsid w:val="001479B1"/>
    <w:rsid w:val="00150309"/>
    <w:rsid w:val="00152265"/>
    <w:rsid w:val="00161742"/>
    <w:rsid w:val="00165BA2"/>
    <w:rsid w:val="00170656"/>
    <w:rsid w:val="00173AC1"/>
    <w:rsid w:val="0017424B"/>
    <w:rsid w:val="00180953"/>
    <w:rsid w:val="001860C1"/>
    <w:rsid w:val="00186F8B"/>
    <w:rsid w:val="001903BF"/>
    <w:rsid w:val="00190AC9"/>
    <w:rsid w:val="001939C7"/>
    <w:rsid w:val="001946BB"/>
    <w:rsid w:val="001948E2"/>
    <w:rsid w:val="0019640D"/>
    <w:rsid w:val="001A101D"/>
    <w:rsid w:val="001A4776"/>
    <w:rsid w:val="001A51F3"/>
    <w:rsid w:val="001A72C5"/>
    <w:rsid w:val="001B0E46"/>
    <w:rsid w:val="001B5F28"/>
    <w:rsid w:val="001B694A"/>
    <w:rsid w:val="001B6C1D"/>
    <w:rsid w:val="001C246F"/>
    <w:rsid w:val="001D0EF0"/>
    <w:rsid w:val="001D2CF1"/>
    <w:rsid w:val="001D5D77"/>
    <w:rsid w:val="001E4A10"/>
    <w:rsid w:val="001E5484"/>
    <w:rsid w:val="001F2BF8"/>
    <w:rsid w:val="001F4159"/>
    <w:rsid w:val="00200BBF"/>
    <w:rsid w:val="00201BED"/>
    <w:rsid w:val="0020740C"/>
    <w:rsid w:val="002148CB"/>
    <w:rsid w:val="00214BDA"/>
    <w:rsid w:val="00224A5C"/>
    <w:rsid w:val="00236EDC"/>
    <w:rsid w:val="00237F11"/>
    <w:rsid w:val="002415D5"/>
    <w:rsid w:val="00243F1F"/>
    <w:rsid w:val="0024547E"/>
    <w:rsid w:val="002477FF"/>
    <w:rsid w:val="00250BA1"/>
    <w:rsid w:val="0025147D"/>
    <w:rsid w:val="00251EF7"/>
    <w:rsid w:val="002523EC"/>
    <w:rsid w:val="0027038D"/>
    <w:rsid w:val="00273B12"/>
    <w:rsid w:val="00274A7A"/>
    <w:rsid w:val="0028454D"/>
    <w:rsid w:val="002A0803"/>
    <w:rsid w:val="002A5E93"/>
    <w:rsid w:val="002B0761"/>
    <w:rsid w:val="002B318E"/>
    <w:rsid w:val="002B45DB"/>
    <w:rsid w:val="002C3506"/>
    <w:rsid w:val="002C4029"/>
    <w:rsid w:val="002C5EE8"/>
    <w:rsid w:val="002D1A25"/>
    <w:rsid w:val="002D4BB4"/>
    <w:rsid w:val="002E2BA7"/>
    <w:rsid w:val="002F1103"/>
    <w:rsid w:val="002F2DEA"/>
    <w:rsid w:val="002F47EB"/>
    <w:rsid w:val="002F6F07"/>
    <w:rsid w:val="00302122"/>
    <w:rsid w:val="00303331"/>
    <w:rsid w:val="0030335E"/>
    <w:rsid w:val="003036A6"/>
    <w:rsid w:val="0030491B"/>
    <w:rsid w:val="00306E44"/>
    <w:rsid w:val="00310E09"/>
    <w:rsid w:val="00316F74"/>
    <w:rsid w:val="003201DC"/>
    <w:rsid w:val="00320AAD"/>
    <w:rsid w:val="00323120"/>
    <w:rsid w:val="003249D2"/>
    <w:rsid w:val="003263E8"/>
    <w:rsid w:val="003268BD"/>
    <w:rsid w:val="00326BD8"/>
    <w:rsid w:val="003310A9"/>
    <w:rsid w:val="00333A28"/>
    <w:rsid w:val="00335D52"/>
    <w:rsid w:val="0034160F"/>
    <w:rsid w:val="00341D88"/>
    <w:rsid w:val="00343C0A"/>
    <w:rsid w:val="0035287A"/>
    <w:rsid w:val="00352F67"/>
    <w:rsid w:val="00354F4D"/>
    <w:rsid w:val="003552BC"/>
    <w:rsid w:val="003558F4"/>
    <w:rsid w:val="00357F6B"/>
    <w:rsid w:val="00360805"/>
    <w:rsid w:val="00360FFA"/>
    <w:rsid w:val="00361167"/>
    <w:rsid w:val="00361FB3"/>
    <w:rsid w:val="0037508C"/>
    <w:rsid w:val="00375C79"/>
    <w:rsid w:val="00386DAA"/>
    <w:rsid w:val="003931A7"/>
    <w:rsid w:val="0039379F"/>
    <w:rsid w:val="00395427"/>
    <w:rsid w:val="0039672B"/>
    <w:rsid w:val="0039688D"/>
    <w:rsid w:val="003A4127"/>
    <w:rsid w:val="003A4B07"/>
    <w:rsid w:val="003B3F51"/>
    <w:rsid w:val="003B5125"/>
    <w:rsid w:val="003C11E4"/>
    <w:rsid w:val="003C21D1"/>
    <w:rsid w:val="003C2558"/>
    <w:rsid w:val="003D2022"/>
    <w:rsid w:val="003D53B2"/>
    <w:rsid w:val="003E5AD7"/>
    <w:rsid w:val="003E7840"/>
    <w:rsid w:val="003F2C46"/>
    <w:rsid w:val="003F440F"/>
    <w:rsid w:val="003F6212"/>
    <w:rsid w:val="003F646D"/>
    <w:rsid w:val="003F7161"/>
    <w:rsid w:val="00400E02"/>
    <w:rsid w:val="0040159E"/>
    <w:rsid w:val="004024D1"/>
    <w:rsid w:val="00403F47"/>
    <w:rsid w:val="0041005A"/>
    <w:rsid w:val="004114D6"/>
    <w:rsid w:val="00413F90"/>
    <w:rsid w:val="0041687B"/>
    <w:rsid w:val="00420944"/>
    <w:rsid w:val="00432CCD"/>
    <w:rsid w:val="0044347D"/>
    <w:rsid w:val="004438CF"/>
    <w:rsid w:val="00447C21"/>
    <w:rsid w:val="00453CAF"/>
    <w:rsid w:val="00462329"/>
    <w:rsid w:val="00485359"/>
    <w:rsid w:val="004864D7"/>
    <w:rsid w:val="004912A2"/>
    <w:rsid w:val="004968DC"/>
    <w:rsid w:val="004A1F66"/>
    <w:rsid w:val="004A28EF"/>
    <w:rsid w:val="004A4D94"/>
    <w:rsid w:val="004A5F57"/>
    <w:rsid w:val="004B05FA"/>
    <w:rsid w:val="004B11B5"/>
    <w:rsid w:val="004B25D8"/>
    <w:rsid w:val="004B69D9"/>
    <w:rsid w:val="004B6FA7"/>
    <w:rsid w:val="004B7BBD"/>
    <w:rsid w:val="004C0D86"/>
    <w:rsid w:val="004C2598"/>
    <w:rsid w:val="004C31F8"/>
    <w:rsid w:val="004C7302"/>
    <w:rsid w:val="004D17A2"/>
    <w:rsid w:val="004D46F6"/>
    <w:rsid w:val="004D5B8A"/>
    <w:rsid w:val="004D66F7"/>
    <w:rsid w:val="004E5EB8"/>
    <w:rsid w:val="004F2781"/>
    <w:rsid w:val="00502B61"/>
    <w:rsid w:val="00511138"/>
    <w:rsid w:val="0051526F"/>
    <w:rsid w:val="00515CB1"/>
    <w:rsid w:val="00517DC6"/>
    <w:rsid w:val="00521A7D"/>
    <w:rsid w:val="00521D64"/>
    <w:rsid w:val="005221E5"/>
    <w:rsid w:val="00530793"/>
    <w:rsid w:val="0053459F"/>
    <w:rsid w:val="00535162"/>
    <w:rsid w:val="0053551A"/>
    <w:rsid w:val="00537F63"/>
    <w:rsid w:val="00541CF7"/>
    <w:rsid w:val="005432DD"/>
    <w:rsid w:val="00545443"/>
    <w:rsid w:val="00547308"/>
    <w:rsid w:val="00547AA5"/>
    <w:rsid w:val="0055256C"/>
    <w:rsid w:val="00555845"/>
    <w:rsid w:val="00561F39"/>
    <w:rsid w:val="00565352"/>
    <w:rsid w:val="00572DB9"/>
    <w:rsid w:val="0057400B"/>
    <w:rsid w:val="00581703"/>
    <w:rsid w:val="00592565"/>
    <w:rsid w:val="0059282E"/>
    <w:rsid w:val="00594CBB"/>
    <w:rsid w:val="00597FEC"/>
    <w:rsid w:val="005A5F28"/>
    <w:rsid w:val="005A633C"/>
    <w:rsid w:val="005A7119"/>
    <w:rsid w:val="005B4BAE"/>
    <w:rsid w:val="005B7F7A"/>
    <w:rsid w:val="005D05B1"/>
    <w:rsid w:val="005D105B"/>
    <w:rsid w:val="005D27FE"/>
    <w:rsid w:val="005D416F"/>
    <w:rsid w:val="005D56F3"/>
    <w:rsid w:val="005D75B4"/>
    <w:rsid w:val="005D79FA"/>
    <w:rsid w:val="005E6901"/>
    <w:rsid w:val="005F346E"/>
    <w:rsid w:val="005F3D83"/>
    <w:rsid w:val="005F44A7"/>
    <w:rsid w:val="00601DA3"/>
    <w:rsid w:val="00613294"/>
    <w:rsid w:val="006179D7"/>
    <w:rsid w:val="0062204F"/>
    <w:rsid w:val="006247FA"/>
    <w:rsid w:val="00626457"/>
    <w:rsid w:val="00641F7D"/>
    <w:rsid w:val="00643FC9"/>
    <w:rsid w:val="00644539"/>
    <w:rsid w:val="00647492"/>
    <w:rsid w:val="0065325B"/>
    <w:rsid w:val="00656044"/>
    <w:rsid w:val="00661A75"/>
    <w:rsid w:val="006706F6"/>
    <w:rsid w:val="006837B0"/>
    <w:rsid w:val="00683C92"/>
    <w:rsid w:val="0068627A"/>
    <w:rsid w:val="006876AB"/>
    <w:rsid w:val="00692AD5"/>
    <w:rsid w:val="00694531"/>
    <w:rsid w:val="00696EFE"/>
    <w:rsid w:val="006A333F"/>
    <w:rsid w:val="006A6B10"/>
    <w:rsid w:val="006A72B5"/>
    <w:rsid w:val="006B7253"/>
    <w:rsid w:val="006B7712"/>
    <w:rsid w:val="006C064E"/>
    <w:rsid w:val="006C205C"/>
    <w:rsid w:val="006C3870"/>
    <w:rsid w:val="006D277B"/>
    <w:rsid w:val="006E062E"/>
    <w:rsid w:val="006E3725"/>
    <w:rsid w:val="006E5307"/>
    <w:rsid w:val="006F1403"/>
    <w:rsid w:val="006F1760"/>
    <w:rsid w:val="006F2BD8"/>
    <w:rsid w:val="006F5C79"/>
    <w:rsid w:val="007015BE"/>
    <w:rsid w:val="00703459"/>
    <w:rsid w:val="007039EB"/>
    <w:rsid w:val="00705F13"/>
    <w:rsid w:val="00716C9C"/>
    <w:rsid w:val="00721E7A"/>
    <w:rsid w:val="007333E4"/>
    <w:rsid w:val="0073466F"/>
    <w:rsid w:val="00743437"/>
    <w:rsid w:val="00747226"/>
    <w:rsid w:val="00747D63"/>
    <w:rsid w:val="007525E6"/>
    <w:rsid w:val="00756EF7"/>
    <w:rsid w:val="00761FA3"/>
    <w:rsid w:val="0076448D"/>
    <w:rsid w:val="00767B99"/>
    <w:rsid w:val="00776295"/>
    <w:rsid w:val="0078624F"/>
    <w:rsid w:val="0078680E"/>
    <w:rsid w:val="0079308C"/>
    <w:rsid w:val="007A2F8D"/>
    <w:rsid w:val="007A3852"/>
    <w:rsid w:val="007A3942"/>
    <w:rsid w:val="007A4CEB"/>
    <w:rsid w:val="007A56FB"/>
    <w:rsid w:val="007A6AB9"/>
    <w:rsid w:val="007A703C"/>
    <w:rsid w:val="007D0860"/>
    <w:rsid w:val="007D49ED"/>
    <w:rsid w:val="007E1483"/>
    <w:rsid w:val="007E1D5D"/>
    <w:rsid w:val="007F2776"/>
    <w:rsid w:val="007F5918"/>
    <w:rsid w:val="007F5A80"/>
    <w:rsid w:val="007F76B7"/>
    <w:rsid w:val="0080432B"/>
    <w:rsid w:val="00805EA9"/>
    <w:rsid w:val="0081160F"/>
    <w:rsid w:val="00812579"/>
    <w:rsid w:val="00813FDD"/>
    <w:rsid w:val="008142E9"/>
    <w:rsid w:val="00824D10"/>
    <w:rsid w:val="00825E03"/>
    <w:rsid w:val="00834811"/>
    <w:rsid w:val="0083681D"/>
    <w:rsid w:val="008402C0"/>
    <w:rsid w:val="00846C33"/>
    <w:rsid w:val="00850521"/>
    <w:rsid w:val="0085244E"/>
    <w:rsid w:val="00854C79"/>
    <w:rsid w:val="00855246"/>
    <w:rsid w:val="00857AF2"/>
    <w:rsid w:val="00857D13"/>
    <w:rsid w:val="00861BA8"/>
    <w:rsid w:val="00864066"/>
    <w:rsid w:val="00870582"/>
    <w:rsid w:val="00875921"/>
    <w:rsid w:val="008875AD"/>
    <w:rsid w:val="00890C0E"/>
    <w:rsid w:val="00891257"/>
    <w:rsid w:val="0089223A"/>
    <w:rsid w:val="00893011"/>
    <w:rsid w:val="0089560C"/>
    <w:rsid w:val="008A1C28"/>
    <w:rsid w:val="008A7289"/>
    <w:rsid w:val="008C5DE7"/>
    <w:rsid w:val="008C6935"/>
    <w:rsid w:val="008C732D"/>
    <w:rsid w:val="008C759F"/>
    <w:rsid w:val="008D52D9"/>
    <w:rsid w:val="008D6C16"/>
    <w:rsid w:val="008E223E"/>
    <w:rsid w:val="008E7A2D"/>
    <w:rsid w:val="008F6069"/>
    <w:rsid w:val="008F6407"/>
    <w:rsid w:val="008F7C48"/>
    <w:rsid w:val="009017A2"/>
    <w:rsid w:val="00902E58"/>
    <w:rsid w:val="00904B9E"/>
    <w:rsid w:val="00913319"/>
    <w:rsid w:val="00913C81"/>
    <w:rsid w:val="00914836"/>
    <w:rsid w:val="00915E09"/>
    <w:rsid w:val="00921203"/>
    <w:rsid w:val="009213F6"/>
    <w:rsid w:val="00924D4C"/>
    <w:rsid w:val="00925D95"/>
    <w:rsid w:val="0093064C"/>
    <w:rsid w:val="00932963"/>
    <w:rsid w:val="009331B2"/>
    <w:rsid w:val="00934454"/>
    <w:rsid w:val="00934919"/>
    <w:rsid w:val="0094328F"/>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A5752"/>
    <w:rsid w:val="009B21F3"/>
    <w:rsid w:val="009C34A6"/>
    <w:rsid w:val="009C383D"/>
    <w:rsid w:val="009C3964"/>
    <w:rsid w:val="009C64D5"/>
    <w:rsid w:val="009C7155"/>
    <w:rsid w:val="009D28E8"/>
    <w:rsid w:val="009D3C59"/>
    <w:rsid w:val="009D5234"/>
    <w:rsid w:val="009E2C50"/>
    <w:rsid w:val="009E48D1"/>
    <w:rsid w:val="009E5647"/>
    <w:rsid w:val="009E7120"/>
    <w:rsid w:val="009E76E0"/>
    <w:rsid w:val="009F106E"/>
    <w:rsid w:val="009F147B"/>
    <w:rsid w:val="009F2FB2"/>
    <w:rsid w:val="009F3CD7"/>
    <w:rsid w:val="009F495B"/>
    <w:rsid w:val="009F60DF"/>
    <w:rsid w:val="00A00E16"/>
    <w:rsid w:val="00A07375"/>
    <w:rsid w:val="00A07B59"/>
    <w:rsid w:val="00A12258"/>
    <w:rsid w:val="00A23014"/>
    <w:rsid w:val="00A238E8"/>
    <w:rsid w:val="00A25F1F"/>
    <w:rsid w:val="00A34E93"/>
    <w:rsid w:val="00A34F87"/>
    <w:rsid w:val="00A44140"/>
    <w:rsid w:val="00A51C33"/>
    <w:rsid w:val="00A62C68"/>
    <w:rsid w:val="00A75F2A"/>
    <w:rsid w:val="00A7767F"/>
    <w:rsid w:val="00A866B1"/>
    <w:rsid w:val="00A87E4E"/>
    <w:rsid w:val="00A93496"/>
    <w:rsid w:val="00AA054A"/>
    <w:rsid w:val="00AA2DB4"/>
    <w:rsid w:val="00AA77AA"/>
    <w:rsid w:val="00AB5625"/>
    <w:rsid w:val="00AB5FFA"/>
    <w:rsid w:val="00AD29EE"/>
    <w:rsid w:val="00AE0E89"/>
    <w:rsid w:val="00AE6B64"/>
    <w:rsid w:val="00AF3702"/>
    <w:rsid w:val="00AF6D9B"/>
    <w:rsid w:val="00B00BA2"/>
    <w:rsid w:val="00B02888"/>
    <w:rsid w:val="00B0666C"/>
    <w:rsid w:val="00B1162A"/>
    <w:rsid w:val="00B140AC"/>
    <w:rsid w:val="00B211F5"/>
    <w:rsid w:val="00B26BC0"/>
    <w:rsid w:val="00B32818"/>
    <w:rsid w:val="00B34E46"/>
    <w:rsid w:val="00B37609"/>
    <w:rsid w:val="00B448FF"/>
    <w:rsid w:val="00B57456"/>
    <w:rsid w:val="00B6423F"/>
    <w:rsid w:val="00B7076B"/>
    <w:rsid w:val="00B71E59"/>
    <w:rsid w:val="00B73F57"/>
    <w:rsid w:val="00B802D9"/>
    <w:rsid w:val="00B8340C"/>
    <w:rsid w:val="00B87200"/>
    <w:rsid w:val="00B917CE"/>
    <w:rsid w:val="00B934F3"/>
    <w:rsid w:val="00BA2628"/>
    <w:rsid w:val="00BA47E9"/>
    <w:rsid w:val="00BA5689"/>
    <w:rsid w:val="00BA59D4"/>
    <w:rsid w:val="00BB366B"/>
    <w:rsid w:val="00BB4167"/>
    <w:rsid w:val="00BB50BD"/>
    <w:rsid w:val="00BB73A0"/>
    <w:rsid w:val="00BC10C0"/>
    <w:rsid w:val="00BD117A"/>
    <w:rsid w:val="00BE0C8B"/>
    <w:rsid w:val="00BE1833"/>
    <w:rsid w:val="00BE22FC"/>
    <w:rsid w:val="00BE36F4"/>
    <w:rsid w:val="00BE5563"/>
    <w:rsid w:val="00BE765E"/>
    <w:rsid w:val="00BE77CD"/>
    <w:rsid w:val="00BF1406"/>
    <w:rsid w:val="00BF174A"/>
    <w:rsid w:val="00BF2B9E"/>
    <w:rsid w:val="00BF39A1"/>
    <w:rsid w:val="00BF4740"/>
    <w:rsid w:val="00BF634E"/>
    <w:rsid w:val="00C013FB"/>
    <w:rsid w:val="00C035A7"/>
    <w:rsid w:val="00C047D6"/>
    <w:rsid w:val="00C068F7"/>
    <w:rsid w:val="00C06D95"/>
    <w:rsid w:val="00C10A49"/>
    <w:rsid w:val="00C15C81"/>
    <w:rsid w:val="00C2040F"/>
    <w:rsid w:val="00C3123A"/>
    <w:rsid w:val="00C31FE5"/>
    <w:rsid w:val="00C3262E"/>
    <w:rsid w:val="00C3622B"/>
    <w:rsid w:val="00C54C9D"/>
    <w:rsid w:val="00C64E95"/>
    <w:rsid w:val="00C70912"/>
    <w:rsid w:val="00C72861"/>
    <w:rsid w:val="00C77A63"/>
    <w:rsid w:val="00C85274"/>
    <w:rsid w:val="00C94B7A"/>
    <w:rsid w:val="00C95FCE"/>
    <w:rsid w:val="00CA1513"/>
    <w:rsid w:val="00CA706A"/>
    <w:rsid w:val="00CB0F04"/>
    <w:rsid w:val="00CB457C"/>
    <w:rsid w:val="00CB5E9C"/>
    <w:rsid w:val="00CB5ECE"/>
    <w:rsid w:val="00CB6622"/>
    <w:rsid w:val="00CC4648"/>
    <w:rsid w:val="00CC4B76"/>
    <w:rsid w:val="00CD0E2E"/>
    <w:rsid w:val="00CD41C1"/>
    <w:rsid w:val="00CE22D1"/>
    <w:rsid w:val="00CE3CAD"/>
    <w:rsid w:val="00CE5F7D"/>
    <w:rsid w:val="00CF1121"/>
    <w:rsid w:val="00CF42CA"/>
    <w:rsid w:val="00CF5D14"/>
    <w:rsid w:val="00D03A33"/>
    <w:rsid w:val="00D04CA9"/>
    <w:rsid w:val="00D13A1C"/>
    <w:rsid w:val="00D24F9E"/>
    <w:rsid w:val="00D31D08"/>
    <w:rsid w:val="00D324D4"/>
    <w:rsid w:val="00D3299B"/>
    <w:rsid w:val="00D32FCD"/>
    <w:rsid w:val="00D435FB"/>
    <w:rsid w:val="00D47853"/>
    <w:rsid w:val="00D5030F"/>
    <w:rsid w:val="00D51C91"/>
    <w:rsid w:val="00D565E0"/>
    <w:rsid w:val="00D61801"/>
    <w:rsid w:val="00D62E9D"/>
    <w:rsid w:val="00D6465A"/>
    <w:rsid w:val="00D6471C"/>
    <w:rsid w:val="00D6535F"/>
    <w:rsid w:val="00D75224"/>
    <w:rsid w:val="00D763A0"/>
    <w:rsid w:val="00D7694D"/>
    <w:rsid w:val="00D80BC7"/>
    <w:rsid w:val="00D83656"/>
    <w:rsid w:val="00D84DEF"/>
    <w:rsid w:val="00D85A4D"/>
    <w:rsid w:val="00D91957"/>
    <w:rsid w:val="00D94606"/>
    <w:rsid w:val="00DA207D"/>
    <w:rsid w:val="00DA43EF"/>
    <w:rsid w:val="00DA50AB"/>
    <w:rsid w:val="00DA6373"/>
    <w:rsid w:val="00DA6898"/>
    <w:rsid w:val="00DB1904"/>
    <w:rsid w:val="00DB1EB7"/>
    <w:rsid w:val="00DB4462"/>
    <w:rsid w:val="00DB7BE4"/>
    <w:rsid w:val="00DC56F7"/>
    <w:rsid w:val="00DC6BC1"/>
    <w:rsid w:val="00DD1964"/>
    <w:rsid w:val="00DD3EC9"/>
    <w:rsid w:val="00DD72FD"/>
    <w:rsid w:val="00DE4EDB"/>
    <w:rsid w:val="00DE5F0F"/>
    <w:rsid w:val="00DF45D0"/>
    <w:rsid w:val="00DF53DC"/>
    <w:rsid w:val="00DF546B"/>
    <w:rsid w:val="00E02748"/>
    <w:rsid w:val="00E02EB3"/>
    <w:rsid w:val="00E1241F"/>
    <w:rsid w:val="00E237BF"/>
    <w:rsid w:val="00E26932"/>
    <w:rsid w:val="00E35AF1"/>
    <w:rsid w:val="00E37AA0"/>
    <w:rsid w:val="00E40774"/>
    <w:rsid w:val="00E41DC1"/>
    <w:rsid w:val="00E45F49"/>
    <w:rsid w:val="00E46660"/>
    <w:rsid w:val="00E57F18"/>
    <w:rsid w:val="00E6086E"/>
    <w:rsid w:val="00E67648"/>
    <w:rsid w:val="00E70B23"/>
    <w:rsid w:val="00E72BD0"/>
    <w:rsid w:val="00E768F3"/>
    <w:rsid w:val="00E83C66"/>
    <w:rsid w:val="00E933BF"/>
    <w:rsid w:val="00E95339"/>
    <w:rsid w:val="00E95A54"/>
    <w:rsid w:val="00EA5CA5"/>
    <w:rsid w:val="00EA6CEC"/>
    <w:rsid w:val="00EA6E66"/>
    <w:rsid w:val="00EA78BB"/>
    <w:rsid w:val="00EB33A1"/>
    <w:rsid w:val="00EB6ECF"/>
    <w:rsid w:val="00EC0326"/>
    <w:rsid w:val="00EC3273"/>
    <w:rsid w:val="00EC32AE"/>
    <w:rsid w:val="00EC3F27"/>
    <w:rsid w:val="00EC60A1"/>
    <w:rsid w:val="00EC6389"/>
    <w:rsid w:val="00EC702D"/>
    <w:rsid w:val="00ED2366"/>
    <w:rsid w:val="00ED7060"/>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24018"/>
    <w:rsid w:val="00F2717B"/>
    <w:rsid w:val="00F321FC"/>
    <w:rsid w:val="00F34C5E"/>
    <w:rsid w:val="00F3541E"/>
    <w:rsid w:val="00F37647"/>
    <w:rsid w:val="00F4137E"/>
    <w:rsid w:val="00F42B3C"/>
    <w:rsid w:val="00F43222"/>
    <w:rsid w:val="00F465B4"/>
    <w:rsid w:val="00F4791C"/>
    <w:rsid w:val="00F54268"/>
    <w:rsid w:val="00F556DE"/>
    <w:rsid w:val="00F57B58"/>
    <w:rsid w:val="00F66DA7"/>
    <w:rsid w:val="00F70696"/>
    <w:rsid w:val="00F71253"/>
    <w:rsid w:val="00F7127C"/>
    <w:rsid w:val="00F863CC"/>
    <w:rsid w:val="00F97A0A"/>
    <w:rsid w:val="00FA1C34"/>
    <w:rsid w:val="00FA30F5"/>
    <w:rsid w:val="00FA5C0B"/>
    <w:rsid w:val="00FB30EA"/>
    <w:rsid w:val="00FB404F"/>
    <w:rsid w:val="00FB49CB"/>
    <w:rsid w:val="00FC1FD7"/>
    <w:rsid w:val="00FC39F1"/>
    <w:rsid w:val="00FD6D26"/>
    <w:rsid w:val="00FE3EEF"/>
    <w:rsid w:val="00FE6F5A"/>
    <w:rsid w:val="00FE7024"/>
    <w:rsid w:val="00FF2DA0"/>
    <w:rsid w:val="00FF2F68"/>
    <w:rsid w:val="00FF4964"/>
    <w:rsid w:val="00FF4986"/>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long-read/items-which-should-not-routinely-be-prescribed-in-primary-care-policy-guidance/" TargetMode="External"/><Relationship Id="rId18" Type="http://schemas.openxmlformats.org/officeDocument/2006/relationships/hyperlink" Target="https://www.medicines.org.uk/emc/search?q=dronedarone" TargetMode="External"/><Relationship Id="rId26" Type="http://schemas.openxmlformats.org/officeDocument/2006/relationships/hyperlink" Target="https://bnf.nice.org.uk/" TargetMode="External"/><Relationship Id="rId39" Type="http://schemas.openxmlformats.org/officeDocument/2006/relationships/hyperlink" Target="https://www.england.nhs.uk/publication/responsibility-for-prescribing-between-primary-and-secondary-tertiary-care/" TargetMode="External"/><Relationship Id="rId21" Type="http://schemas.openxmlformats.org/officeDocument/2006/relationships/hyperlink" Target="http://www.mhra.gov.uk/yellowcard" TargetMode="External"/><Relationship Id="rId34" Type="http://schemas.openxmlformats.org/officeDocument/2006/relationships/hyperlink" Target="https://www.sps.nhs.uk/monitorings/dronedarone-monitorin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ta197" TargetMode="External"/><Relationship Id="rId29" Type="http://schemas.openxmlformats.org/officeDocument/2006/relationships/hyperlink" Target="https://www.medicines.org.uk/emc/product/14895/smp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bhf.org.uk/informationsupport/heart-matters-magazine/medical/drug-cabinet/anti-arrhythmics" TargetMode="External"/><Relationship Id="rId32" Type="http://schemas.openxmlformats.org/officeDocument/2006/relationships/hyperlink" Target="https://www.nice.org.uk/guidance/ta197" TargetMode="External"/><Relationship Id="rId37" Type="http://schemas.openxmlformats.org/officeDocument/2006/relationships/hyperlink" Target="https://crediblemeds.org/" TargetMode="External"/><Relationship Id="rId40" Type="http://schemas.openxmlformats.org/officeDocument/2006/relationships/hyperlink" Target="https://www.gmc-uk.org/ethical-guidance/ethical-guidance-for-doctors/good-practice-in-prescribing-and-managing-medicines-and-devices/shared-car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guidance/ta197" TargetMode="External"/><Relationship Id="rId23" Type="http://schemas.openxmlformats.org/officeDocument/2006/relationships/hyperlink" Target="https://www.sps.nhs.uk/articles/treating-acute-hypomagnesaemia-in-adults/" TargetMode="External"/><Relationship Id="rId28" Type="http://schemas.openxmlformats.org/officeDocument/2006/relationships/hyperlink" Target="https://www.medicines.org.uk/emc/product/10924/smpc" TargetMode="External"/><Relationship Id="rId36" Type="http://schemas.openxmlformats.org/officeDocument/2006/relationships/hyperlink" Target="https://www.ncbi.nlm.nih.gov/books/NBK548208/" TargetMode="External"/><Relationship Id="rId10" Type="http://schemas.openxmlformats.org/officeDocument/2006/relationships/endnotes" Target="endnotes.xml"/><Relationship Id="rId19" Type="http://schemas.openxmlformats.org/officeDocument/2006/relationships/hyperlink" Target="https://bnf.nice.org.uk/drugs/dronedarone/" TargetMode="External"/><Relationship Id="rId31" Type="http://schemas.openxmlformats.org/officeDocument/2006/relationships/hyperlink" Target="https://www.gov.uk/drug-safety-update/dronedarone-multaq-cardiovascular-hepatic-and-pulmonary-adverse-events-new-restrictions-and-monitoring-requirem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96/chapter/Recommendations" TargetMode="External"/><Relationship Id="rId22" Type="http://schemas.openxmlformats.org/officeDocument/2006/relationships/hyperlink" Target="https://www.sps.nhs.uk/articles/hypokalaemia/" TargetMode="External"/><Relationship Id="rId27" Type="http://schemas.openxmlformats.org/officeDocument/2006/relationships/hyperlink" Target="https://www.medicines.org.uk/emc/product/497/" TargetMode="External"/><Relationship Id="rId30" Type="http://schemas.openxmlformats.org/officeDocument/2006/relationships/hyperlink" Target="https://www.england.nhs.uk/long-read/items-which-should-not-routinely-be-prescribed-in-primary-care-policy-guidance/" TargetMode="External"/><Relationship Id="rId35" Type="http://schemas.openxmlformats.org/officeDocument/2006/relationships/hyperlink" Target="https://www.sps.nhs.uk/medicines/dronedarone/"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dtc.nhs.uk/publication-type/shared-care/" TargetMode="External"/><Relationship Id="rId17" Type="http://schemas.openxmlformats.org/officeDocument/2006/relationships/hyperlink" Target="https://bnf.nice.org.uk/drugs/dronedarone/" TargetMode="External"/><Relationship Id="rId25" Type="http://schemas.openxmlformats.org/officeDocument/2006/relationships/hyperlink" Target="https://www.sps.nhs.uk/medicines/dronedarone/" TargetMode="External"/><Relationship Id="rId33" Type="http://schemas.openxmlformats.org/officeDocument/2006/relationships/hyperlink" Target="https://www.nice.org.uk/guidance/ng196" TargetMode="External"/><Relationship Id="rId38" Type="http://schemas.openxmlformats.org/officeDocument/2006/relationships/hyperlink" Target="https://www.medicinesresources.nhs.uk/shared-care-for-medicines-guidance-a-standard-approach-rmoc.html" TargetMode="External"/><Relationship Id="rId20" Type="http://schemas.openxmlformats.org/officeDocument/2006/relationships/hyperlink" Target="https://www.medicines.org.uk/emc/search?q=dronedarone" TargetMode="External"/><Relationship Id="rId41" Type="http://schemas.openxmlformats.org/officeDocument/2006/relationships/hyperlink" Target="https://www.nice.org.uk/guidance/ng1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2688BE-DAD8-49AD-A0AB-8FED2C3A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3.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4.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Dickinson, Sue</dc:creator>
  <cp:lastModifiedBy>STANIFORTH, Rachel (NHS HUMBER AND NORTH YORKSHIRE ICB - 42D)</cp:lastModifiedBy>
  <cp:revision>7</cp:revision>
  <cp:lastPrinted>2022-03-11T14:19:00Z</cp:lastPrinted>
  <dcterms:created xsi:type="dcterms:W3CDTF">2025-04-03T15:18:00Z</dcterms:created>
  <dcterms:modified xsi:type="dcterms:W3CDTF">2025-04-04T10:20:00Z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