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1A9789A2" w14:textId="7BA19B17" w:rsidR="005228A2" w:rsidRPr="005228A2" w:rsidRDefault="00F9771E" w:rsidP="005228A2">
      <w:pPr>
        <w:pStyle w:val="Heading2"/>
        <w:numPr>
          <w:ilvl w:val="0"/>
          <w:numId w:val="0"/>
        </w:numPr>
        <w:ind w:left="357" w:hanging="357"/>
        <w:jc w:val="center"/>
        <w:rPr>
          <w:sz w:val="28"/>
          <w:szCs w:val="32"/>
        </w:rPr>
      </w:pPr>
      <w:r>
        <w:rPr>
          <w:sz w:val="28"/>
          <w:szCs w:val="32"/>
        </w:rPr>
        <w:t>Mycophenolate mofetil and mycophenolic acid</w:t>
      </w:r>
      <w:r w:rsidR="005228A2" w:rsidRPr="005228A2">
        <w:rPr>
          <w:sz w:val="28"/>
          <w:szCs w:val="32"/>
        </w:rPr>
        <w:t xml:space="preserve"> for patients within adult services</w:t>
      </w:r>
      <w:r>
        <w:rPr>
          <w:sz w:val="28"/>
          <w:szCs w:val="32"/>
        </w:rPr>
        <w:t xml:space="preserve"> (non-transplant indications)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6145BC54" w:rsidR="00812579" w:rsidRDefault="00275DC2" w:rsidP="00BF1406">
            <w:pPr>
              <w:rPr>
                <w:rFonts w:cs="Arial"/>
              </w:rPr>
            </w:pPr>
            <w:r>
              <w:rPr>
                <w:rFonts w:cs="Arial"/>
              </w:rPr>
              <w:t>HNY v1.0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10B9E281" w:rsidR="00812579" w:rsidRDefault="00000B8B" w:rsidP="00BF1406">
            <w:pPr>
              <w:rPr>
                <w:rFonts w:cs="Arial"/>
              </w:rPr>
            </w:pPr>
            <w:r>
              <w:rPr>
                <w:rFonts w:cs="Arial"/>
              </w:rPr>
              <w:t>RDTC</w:t>
            </w:r>
            <w:r w:rsidR="00F9771E">
              <w:rPr>
                <w:rFonts w:cs="Arial"/>
              </w:rPr>
              <w:t xml:space="preserve"> v1.</w:t>
            </w:r>
            <w:r w:rsidR="00275DC2">
              <w:rPr>
                <w:rFonts w:cs="Arial"/>
              </w:rPr>
              <w:t>1</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6DEFEB5E" w:rsidR="00812579" w:rsidRDefault="00096F5D" w:rsidP="00BF1406">
            <w:pPr>
              <w:rPr>
                <w:rFonts w:cs="Arial"/>
              </w:rPr>
            </w:pPr>
            <w:r>
              <w:rPr>
                <w:rFonts w:cs="Arial"/>
              </w:rPr>
              <w:t>November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09B43333" w:rsidR="00812579" w:rsidRDefault="00096F5D" w:rsidP="00BF1406">
            <w:pPr>
              <w:rPr>
                <w:rFonts w:cs="Arial"/>
              </w:rPr>
            </w:pPr>
            <w:r>
              <w:rPr>
                <w:rFonts w:cs="Arial"/>
              </w:rPr>
              <w:t>November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3171D6">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shd w:val="clear" w:color="auto" w:fill="auto"/>
          </w:tcPr>
          <w:p w14:paraId="4232EE9B" w14:textId="37AC9767" w:rsidR="00812579" w:rsidRPr="003171D6" w:rsidRDefault="003171D6" w:rsidP="00812579">
            <w:pPr>
              <w:rPr>
                <w:rFonts w:cs="Arial"/>
              </w:rPr>
            </w:pPr>
            <w:r w:rsidRPr="003171D6">
              <w:rPr>
                <w:rFonts w:cs="Arial"/>
              </w:rPr>
              <w:t>8</w:t>
            </w:r>
            <w:r w:rsidRPr="003171D6">
              <w:rPr>
                <w:rFonts w:cs="Arial"/>
                <w:vertAlign w:val="superscript"/>
              </w:rPr>
              <w:t>th</w:t>
            </w:r>
            <w:r w:rsidRPr="003171D6">
              <w:rPr>
                <w:rFonts w:cs="Arial"/>
              </w:rPr>
              <w:t xml:space="preserve"> March 2024</w:t>
            </w:r>
          </w:p>
        </w:tc>
        <w:tc>
          <w:tcPr>
            <w:tcW w:w="7200" w:type="dxa"/>
          </w:tcPr>
          <w:p w14:paraId="36F87864" w14:textId="7E3C755E" w:rsidR="00641F7D" w:rsidRPr="007A56FB" w:rsidRDefault="00ED68A3" w:rsidP="007A56FB">
            <w:pPr>
              <w:rPr>
                <w:rFonts w:cs="Arial"/>
              </w:rPr>
            </w:pPr>
            <w:r>
              <w:rPr>
                <w:rFonts w:cs="Arial"/>
              </w:rPr>
              <w:t>References and hyperlinks updated to current versions.</w:t>
            </w:r>
          </w:p>
        </w:tc>
      </w:tr>
      <w:tr w:rsidR="00000B8B" w14:paraId="120F2CF5" w14:textId="77777777" w:rsidTr="005A7119">
        <w:tc>
          <w:tcPr>
            <w:tcW w:w="1413" w:type="dxa"/>
          </w:tcPr>
          <w:p w14:paraId="36E8A0C3" w14:textId="417419C5" w:rsidR="00000B8B" w:rsidRPr="003171D6" w:rsidRDefault="00000B8B" w:rsidP="00000B8B">
            <w:pPr>
              <w:rPr>
                <w:rFonts w:cs="Arial"/>
              </w:rPr>
            </w:pPr>
            <w:r w:rsidRPr="003171D6">
              <w:rPr>
                <w:rFonts w:cs="Arial"/>
              </w:rPr>
              <w:t>RDTC v1.1</w:t>
            </w:r>
          </w:p>
        </w:tc>
        <w:tc>
          <w:tcPr>
            <w:tcW w:w="1843" w:type="dxa"/>
          </w:tcPr>
          <w:p w14:paraId="156C2558" w14:textId="654B7E8D" w:rsidR="00000B8B" w:rsidRPr="003171D6" w:rsidRDefault="003171D6" w:rsidP="00000B8B">
            <w:pPr>
              <w:rPr>
                <w:rFonts w:cs="Arial"/>
              </w:rPr>
            </w:pPr>
            <w:r>
              <w:rPr>
                <w:rFonts w:cs="Arial"/>
              </w:rPr>
              <w:t>10</w:t>
            </w:r>
            <w:r w:rsidRPr="003171D6">
              <w:rPr>
                <w:rFonts w:cs="Arial"/>
                <w:vertAlign w:val="superscript"/>
              </w:rPr>
              <w:t>th</w:t>
            </w:r>
            <w:r>
              <w:rPr>
                <w:rFonts w:cs="Arial"/>
              </w:rPr>
              <w:t xml:space="preserve"> December 2024</w:t>
            </w:r>
          </w:p>
        </w:tc>
        <w:tc>
          <w:tcPr>
            <w:tcW w:w="7200" w:type="dxa"/>
          </w:tcPr>
          <w:p w14:paraId="70E165E6" w14:textId="575D1AA8" w:rsidR="00000B8B" w:rsidRPr="003171D6" w:rsidRDefault="00000B8B" w:rsidP="00000B8B">
            <w:pPr>
              <w:rPr>
                <w:rFonts w:cs="Arial"/>
              </w:rPr>
            </w:pPr>
            <w:r w:rsidRPr="003171D6">
              <w:rPr>
                <w:rFonts w:cs="Arial"/>
              </w:rPr>
              <w:t>Advice on shingles vaccine clarified to reflect potential eligibility of patients aged 50 years or older taking immunosuppressive therapy</w:t>
            </w:r>
          </w:p>
        </w:tc>
      </w:tr>
      <w:tr w:rsidR="00275DC2" w14:paraId="54BA1BB1" w14:textId="77777777" w:rsidTr="005A7119">
        <w:tc>
          <w:tcPr>
            <w:tcW w:w="1413" w:type="dxa"/>
          </w:tcPr>
          <w:p w14:paraId="437B4122" w14:textId="6C8DAA89" w:rsidR="00275DC2" w:rsidRPr="003171D6" w:rsidRDefault="00275DC2" w:rsidP="00000B8B">
            <w:pPr>
              <w:rPr>
                <w:rFonts w:cs="Arial"/>
              </w:rPr>
            </w:pPr>
            <w:r>
              <w:rPr>
                <w:rFonts w:cs="Arial"/>
              </w:rPr>
              <w:t>HNY v1.0</w:t>
            </w:r>
          </w:p>
        </w:tc>
        <w:tc>
          <w:tcPr>
            <w:tcW w:w="1843" w:type="dxa"/>
          </w:tcPr>
          <w:p w14:paraId="6A7E946F" w14:textId="25E4F027" w:rsidR="00275DC2" w:rsidRDefault="00FF203C" w:rsidP="00000B8B">
            <w:pPr>
              <w:rPr>
                <w:rFonts w:cs="Arial"/>
              </w:rPr>
            </w:pPr>
            <w:r>
              <w:rPr>
                <w:rFonts w:cs="Arial"/>
              </w:rPr>
              <w:t>April 2025</w:t>
            </w:r>
          </w:p>
        </w:tc>
        <w:tc>
          <w:tcPr>
            <w:tcW w:w="7200" w:type="dxa"/>
          </w:tcPr>
          <w:p w14:paraId="070FF2AC" w14:textId="77777777" w:rsidR="00275DC2" w:rsidRDefault="00180DA3" w:rsidP="00A71E2F">
            <w:pPr>
              <w:pStyle w:val="ListParagraph"/>
              <w:numPr>
                <w:ilvl w:val="0"/>
                <w:numId w:val="27"/>
              </w:numPr>
              <w:rPr>
                <w:rFonts w:cs="Arial"/>
              </w:rPr>
            </w:pPr>
            <w:r>
              <w:rPr>
                <w:rFonts w:cs="Arial"/>
              </w:rPr>
              <w:t>HNY Logos added</w:t>
            </w:r>
          </w:p>
          <w:p w14:paraId="6FC709C6" w14:textId="5A42219B" w:rsidR="000D5609" w:rsidRPr="00FF203C" w:rsidRDefault="000D5609" w:rsidP="00FF203C">
            <w:pPr>
              <w:pStyle w:val="ListParagraph"/>
              <w:numPr>
                <w:ilvl w:val="0"/>
                <w:numId w:val="27"/>
              </w:numPr>
              <w:rPr>
                <w:rFonts w:cs="Arial"/>
              </w:rPr>
            </w:pPr>
            <w:r w:rsidRPr="00FF203C">
              <w:rPr>
                <w:rFonts w:cs="Arial"/>
              </w:rPr>
              <w:t xml:space="preserve">Section 4: Transfer of monitoring and prescribing updated as per NHSE document - </w:t>
            </w:r>
            <w:hyperlink r:id="rId11" w:history="1">
              <w:r w:rsidRPr="00FF203C">
                <w:rPr>
                  <w:rStyle w:val="Hyperlink"/>
                  <w:rFonts w:cs="Arial"/>
                </w:rPr>
                <w:t>https://www.england.nhs.uk/wp-content/uploads/2018/03/responsibility-prescribing-between-primary-secondary-care-v2.pdf</w:t>
              </w:r>
            </w:hyperlink>
            <w:r w:rsidR="00FF203C">
              <w:t xml:space="preserve"> and following wording added: </w:t>
            </w:r>
            <w:r w:rsidR="00FF203C"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212685A5" w14:textId="14F4D700" w:rsidR="00D61B04" w:rsidRPr="00D61B04" w:rsidRDefault="00D61B04" w:rsidP="00A71E2F">
            <w:pPr>
              <w:pStyle w:val="ListParagraph"/>
              <w:numPr>
                <w:ilvl w:val="0"/>
                <w:numId w:val="27"/>
              </w:numPr>
              <w:rPr>
                <w:rFonts w:cs="Arial"/>
              </w:rPr>
            </w:pPr>
            <w:r>
              <w:rPr>
                <w:rFonts w:cs="Arial"/>
              </w:rPr>
              <w:t>Section 5: Creatinine clearance removed and replaced with eGFR</w:t>
            </w:r>
          </w:p>
          <w:p w14:paraId="6B96CC93" w14:textId="77777777" w:rsidR="00E022A2" w:rsidRPr="0095305B" w:rsidRDefault="00E022A2" w:rsidP="00A71E2F">
            <w:pPr>
              <w:pStyle w:val="ListParagraph"/>
              <w:numPr>
                <w:ilvl w:val="0"/>
                <w:numId w:val="27"/>
              </w:numPr>
              <w:rPr>
                <w:rFonts w:cs="Arial"/>
              </w:rPr>
            </w:pPr>
            <w:r>
              <w:rPr>
                <w:rFonts w:cs="Arial"/>
              </w:rPr>
              <w:t>Section 5: Wording re screening for viral infections changed from "as per local policy" to "</w:t>
            </w:r>
            <w:r>
              <w:t>at discretion of the treating clinician"</w:t>
            </w:r>
          </w:p>
          <w:p w14:paraId="05339D38" w14:textId="77777777" w:rsidR="00C961F0" w:rsidRPr="002273EC" w:rsidRDefault="00C961F0" w:rsidP="00A71E2F">
            <w:pPr>
              <w:pStyle w:val="ListParagraph"/>
              <w:numPr>
                <w:ilvl w:val="0"/>
                <w:numId w:val="27"/>
              </w:numPr>
              <w:rPr>
                <w:rStyle w:val="Heading3Char"/>
                <w:rFonts w:eastAsiaTheme="minorHAnsi" w:cs="Arial"/>
                <w:b w:val="0"/>
                <w:szCs w:val="22"/>
                <w:u w:val="none"/>
              </w:rPr>
            </w:pPr>
            <w:r>
              <w:rPr>
                <w:rFonts w:cs="Arial"/>
              </w:rPr>
              <w:t xml:space="preserve">Section 5: Wording re checking bloods </w:t>
            </w:r>
            <w:r w:rsidRPr="002273EC">
              <w:rPr>
                <w:rStyle w:val="Heading3Char"/>
                <w:b w:val="0"/>
                <w:bCs/>
                <w:u w:val="none"/>
              </w:rPr>
              <w:t>after dose change amended from "every 2 weeks" to "repeat bloods after 2 weeks and 6 weeks"</w:t>
            </w:r>
          </w:p>
          <w:p w14:paraId="22C18606" w14:textId="77777777" w:rsidR="004540D3" w:rsidRPr="002273EC" w:rsidRDefault="004540D3" w:rsidP="00A71E2F">
            <w:pPr>
              <w:pStyle w:val="ListParagraph"/>
              <w:numPr>
                <w:ilvl w:val="0"/>
                <w:numId w:val="27"/>
              </w:numPr>
              <w:rPr>
                <w:rStyle w:val="Heading3Char"/>
                <w:rFonts w:eastAsiaTheme="minorHAnsi" w:cs="Arial"/>
                <w:b w:val="0"/>
                <w:szCs w:val="22"/>
                <w:u w:val="none"/>
              </w:rPr>
            </w:pPr>
            <w:r>
              <w:rPr>
                <w:rFonts w:cs="Arial"/>
              </w:rPr>
              <w:t>Section 5: Ongoing monitoring – added "</w:t>
            </w:r>
            <w:r w:rsidRPr="00504F30">
              <w:t xml:space="preserve"> At initiation of shared care, communication to primary care should include current and ongoing dose, any relevant test results, and date the next monitoring is required.</w:t>
            </w:r>
            <w:r>
              <w:t>"</w:t>
            </w:r>
          </w:p>
          <w:p w14:paraId="6999BE9D" w14:textId="77777777" w:rsidR="001D285A" w:rsidRDefault="001D285A" w:rsidP="00A71E2F">
            <w:pPr>
              <w:pStyle w:val="ListParagraph"/>
              <w:numPr>
                <w:ilvl w:val="0"/>
                <w:numId w:val="27"/>
              </w:numPr>
              <w:rPr>
                <w:rFonts w:cs="Arial"/>
              </w:rPr>
            </w:pPr>
            <w:r>
              <w:rPr>
                <w:rFonts w:cs="Arial"/>
              </w:rPr>
              <w:t xml:space="preserve">Section 6: </w:t>
            </w:r>
            <w:proofErr w:type="spellStart"/>
            <w:r>
              <w:rPr>
                <w:rFonts w:cs="Arial"/>
              </w:rPr>
              <w:t>CrCl</w:t>
            </w:r>
            <w:proofErr w:type="spellEnd"/>
            <w:r>
              <w:rPr>
                <w:rFonts w:cs="Arial"/>
              </w:rPr>
              <w:t xml:space="preserve"> removed and added eGFR</w:t>
            </w:r>
          </w:p>
          <w:p w14:paraId="4A328572" w14:textId="77777777" w:rsidR="001D285A" w:rsidRDefault="001D285A" w:rsidP="00A71E2F">
            <w:pPr>
              <w:pStyle w:val="ListParagraph"/>
              <w:numPr>
                <w:ilvl w:val="0"/>
                <w:numId w:val="27"/>
              </w:numPr>
              <w:rPr>
                <w:rFonts w:cs="Arial"/>
              </w:rPr>
            </w:pPr>
            <w:r>
              <w:rPr>
                <w:rFonts w:cs="Arial"/>
              </w:rPr>
              <w:t>Section 6: Removed monitoring of CRP &amp; / or ESR</w:t>
            </w:r>
          </w:p>
          <w:p w14:paraId="69B6A0C5" w14:textId="0C2457CC" w:rsidR="00B17BF4" w:rsidRDefault="00B17BF4" w:rsidP="00A71E2F">
            <w:pPr>
              <w:pStyle w:val="ListParagraph"/>
              <w:numPr>
                <w:ilvl w:val="0"/>
                <w:numId w:val="27"/>
              </w:numPr>
              <w:rPr>
                <w:rFonts w:cs="Arial"/>
              </w:rPr>
            </w:pPr>
            <w:r>
              <w:rPr>
                <w:rFonts w:cs="Arial"/>
              </w:rPr>
              <w:t>Section 6: Removed</w:t>
            </w:r>
            <w:r w:rsidR="00B7543A">
              <w:rPr>
                <w:rFonts w:cs="Arial"/>
              </w:rPr>
              <w:t xml:space="preserve"> monitoring of bloods monthly for 3 months as this is responsibility of specialist (section 5)</w:t>
            </w:r>
          </w:p>
          <w:p w14:paraId="49EF346A" w14:textId="77777777" w:rsidR="00892B15" w:rsidRDefault="00892B15" w:rsidP="00A71E2F">
            <w:pPr>
              <w:pStyle w:val="ListParagraph"/>
              <w:numPr>
                <w:ilvl w:val="0"/>
                <w:numId w:val="27"/>
              </w:numPr>
              <w:rPr>
                <w:rFonts w:cs="Arial"/>
              </w:rPr>
            </w:pPr>
            <w:r>
              <w:rPr>
                <w:rFonts w:cs="Arial"/>
              </w:rPr>
              <w:t>Section 10: FBC management section – changed wording from "interruption" to "withholding treatment"</w:t>
            </w:r>
          </w:p>
          <w:p w14:paraId="78BAA54A" w14:textId="77777777" w:rsidR="00892B15" w:rsidRDefault="00892B15" w:rsidP="00A71E2F">
            <w:pPr>
              <w:pStyle w:val="ListParagraph"/>
              <w:numPr>
                <w:ilvl w:val="0"/>
                <w:numId w:val="27"/>
              </w:numPr>
              <w:rPr>
                <w:rFonts w:cs="Arial"/>
              </w:rPr>
            </w:pPr>
            <w:r>
              <w:rPr>
                <w:rFonts w:cs="Arial"/>
              </w:rPr>
              <w:t>Section 10: Changed eosinophilia to unexplained eosinophilia</w:t>
            </w:r>
          </w:p>
          <w:p w14:paraId="2B63FF78" w14:textId="77777777" w:rsidR="00892B15" w:rsidRPr="0096279B" w:rsidRDefault="00892B15" w:rsidP="00A71E2F">
            <w:pPr>
              <w:pStyle w:val="ListParagraph"/>
              <w:numPr>
                <w:ilvl w:val="0"/>
                <w:numId w:val="27"/>
              </w:numPr>
              <w:rPr>
                <w:rFonts w:cs="Arial"/>
              </w:rPr>
            </w:pPr>
            <w:r>
              <w:rPr>
                <w:rFonts w:cs="Arial"/>
              </w:rPr>
              <w:t>Section 10: Mean cell volume greater than 105fl – changed wording in management section from "</w:t>
            </w:r>
            <w:r w:rsidRPr="00F97FA5">
              <w:t>Consider interruption in treatment if there is a significant increase from baseline</w:t>
            </w:r>
            <w:r>
              <w:t>" to "</w:t>
            </w:r>
            <w:r w:rsidRPr="00F97FA5">
              <w:t xml:space="preserve"> Check serum folate, B12, alcohol history and TSH and treat any underlying abnormality. If results of these additional investigations are </w:t>
            </w:r>
            <w:r>
              <w:t xml:space="preserve">abnormal treat, if </w:t>
            </w:r>
            <w:r w:rsidRPr="00F97FA5">
              <w:t>normal discuss with specialist team</w:t>
            </w:r>
            <w:r>
              <w:t>"</w:t>
            </w:r>
          </w:p>
          <w:p w14:paraId="68309898" w14:textId="77777777" w:rsidR="0061015B" w:rsidRDefault="0061015B" w:rsidP="00A71E2F">
            <w:pPr>
              <w:pStyle w:val="ListParagraph"/>
              <w:numPr>
                <w:ilvl w:val="0"/>
                <w:numId w:val="27"/>
              </w:numPr>
              <w:rPr>
                <w:rFonts w:cs="Arial"/>
              </w:rPr>
            </w:pPr>
            <w:r>
              <w:rPr>
                <w:rFonts w:cs="Arial"/>
              </w:rPr>
              <w:t>Section 10: Changed "calculated GFR" to eGFR</w:t>
            </w:r>
          </w:p>
          <w:p w14:paraId="2B5AEB91" w14:textId="77777777" w:rsidR="0061015B" w:rsidRDefault="0061015B" w:rsidP="00A71E2F">
            <w:pPr>
              <w:pStyle w:val="ListParagraph"/>
              <w:numPr>
                <w:ilvl w:val="0"/>
                <w:numId w:val="27"/>
              </w:numPr>
              <w:rPr>
                <w:rFonts w:cs="Arial"/>
              </w:rPr>
            </w:pPr>
            <w:r>
              <w:rPr>
                <w:rFonts w:cs="Arial"/>
              </w:rPr>
              <w:t>Section 10: Changed wording in management section from "Withhold and discuss with specialist team" to "discuss urgently with specialist team"</w:t>
            </w:r>
          </w:p>
          <w:p w14:paraId="496CA520" w14:textId="39CF8FED" w:rsidR="005C388B" w:rsidRDefault="005C388B" w:rsidP="00A71E2F">
            <w:pPr>
              <w:pStyle w:val="ListParagraph"/>
              <w:numPr>
                <w:ilvl w:val="0"/>
                <w:numId w:val="27"/>
              </w:numPr>
              <w:rPr>
                <w:rFonts w:cs="Arial"/>
              </w:rPr>
            </w:pPr>
            <w:r>
              <w:rPr>
                <w:rFonts w:cs="Arial"/>
              </w:rPr>
              <w:lastRenderedPageBreak/>
              <w:t xml:space="preserve">Section 11: </w:t>
            </w:r>
            <w:r w:rsidR="00D84C44">
              <w:rPr>
                <w:rFonts w:cs="Arial"/>
              </w:rPr>
              <w:t xml:space="preserve">Added </w:t>
            </w:r>
            <w:r w:rsidR="00D84C44">
              <w:rPr>
                <w:rFonts w:cs="Arial"/>
                <w:b/>
                <w:bCs/>
              </w:rPr>
              <w:t xml:space="preserve">highly </w:t>
            </w:r>
            <w:r w:rsidR="00D84C44">
              <w:rPr>
                <w:rFonts w:cs="Arial"/>
              </w:rPr>
              <w:t xml:space="preserve">to wording </w:t>
            </w:r>
            <w:r w:rsidR="00A33308">
              <w:rPr>
                <w:rFonts w:cs="Arial"/>
              </w:rPr>
              <w:t xml:space="preserve">"To use effective contraception" and added </w:t>
            </w:r>
            <w:r w:rsidR="00DA026A">
              <w:rPr>
                <w:rFonts w:cs="Arial"/>
              </w:rPr>
              <w:t>see section 12</w:t>
            </w:r>
          </w:p>
          <w:p w14:paraId="62192788" w14:textId="77777777" w:rsidR="00A71E2F" w:rsidRPr="00A71E2F" w:rsidRDefault="00A71E2F" w:rsidP="00A71E2F">
            <w:pPr>
              <w:pStyle w:val="ListParagraph"/>
              <w:numPr>
                <w:ilvl w:val="0"/>
                <w:numId w:val="27"/>
              </w:numPr>
              <w:rPr>
                <w:rFonts w:cs="Arial"/>
              </w:rPr>
            </w:pPr>
            <w:r w:rsidRPr="00CD6693">
              <w:rPr>
                <w:rFonts w:cs="Arial"/>
              </w:rPr>
              <w:t>Section 13: Contact information updated to "</w:t>
            </w:r>
            <w:r w:rsidRPr="002273EC">
              <w:rPr>
                <w:rFonts w:cs="Arial"/>
                <w:i/>
                <w:iCs/>
              </w:rPr>
              <w:t xml:space="preserve"> </w:t>
            </w:r>
            <w:r w:rsidRPr="00A71E2F">
              <w:rPr>
                <w:rFonts w:cs="Arial"/>
              </w:rPr>
              <w:t>Details</w:t>
            </w:r>
            <w:r w:rsidRPr="00D15A24">
              <w:rPr>
                <w:rFonts w:cs="Arial"/>
              </w:rPr>
              <w:t xml:space="preserve"> for contacting specialist must be included on clinic letter"</w:t>
            </w:r>
          </w:p>
          <w:p w14:paraId="1511536C" w14:textId="59F7BB10" w:rsidR="001D5B79" w:rsidRPr="00180DA3" w:rsidRDefault="00720D13" w:rsidP="00D15A24">
            <w:pPr>
              <w:pStyle w:val="ListParagraph"/>
              <w:numPr>
                <w:ilvl w:val="0"/>
                <w:numId w:val="27"/>
              </w:numPr>
              <w:rPr>
                <w:rFonts w:cs="Arial"/>
              </w:rPr>
            </w:pPr>
            <w:r>
              <w:rPr>
                <w:rFonts w:cs="Arial"/>
              </w:rPr>
              <w:t>Section 16: Hyperlink to Shared Care for Medicines Guidance updated</w:t>
            </w: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1195396D" w:rsidR="005A7119" w:rsidRDefault="00275DC2" w:rsidP="005A7119">
            <w:pPr>
              <w:rPr>
                <w:rFonts w:cs="Arial"/>
              </w:rPr>
            </w:pPr>
            <w:r>
              <w:rPr>
                <w:rFonts w:cs="Arial"/>
              </w:rPr>
              <w:t>March 2025</w:t>
            </w:r>
          </w:p>
        </w:tc>
      </w:tr>
      <w:tr w:rsidR="005A7119" w14:paraId="5274CE57" w14:textId="77777777" w:rsidTr="00716319">
        <w:tc>
          <w:tcPr>
            <w:tcW w:w="4248" w:type="dxa"/>
          </w:tcPr>
          <w:p w14:paraId="72D8275E" w14:textId="01B5AA36" w:rsidR="005A7119" w:rsidRDefault="005A7119" w:rsidP="005A7119">
            <w:pPr>
              <w:rPr>
                <w:rFonts w:cs="Arial"/>
              </w:rPr>
            </w:pPr>
            <w:r>
              <w:rPr>
                <w:rFonts w:cs="Arial"/>
              </w:rPr>
              <w:t xml:space="preserve">Approved for use by </w:t>
            </w:r>
            <w:r w:rsidR="00180DA3">
              <w:rPr>
                <w:rFonts w:cs="Arial"/>
              </w:rPr>
              <w:t xml:space="preserve">HNY </w:t>
            </w:r>
            <w:r>
              <w:rPr>
                <w:rFonts w:cs="Arial"/>
              </w:rPr>
              <w:t xml:space="preserve">ICB </w:t>
            </w:r>
          </w:p>
        </w:tc>
        <w:tc>
          <w:tcPr>
            <w:tcW w:w="4365" w:type="dxa"/>
          </w:tcPr>
          <w:p w14:paraId="696B3FA0" w14:textId="111FBAD4" w:rsidR="005A7119" w:rsidRDefault="00E87EB0" w:rsidP="005A7119">
            <w:pPr>
              <w:rPr>
                <w:rFonts w:cs="Arial"/>
              </w:rPr>
            </w:pPr>
            <w:r>
              <w:rPr>
                <w:rFonts w:cs="Arial"/>
              </w:rPr>
              <w:t>2</w:t>
            </w:r>
            <w:r w:rsidRPr="00D15A24">
              <w:rPr>
                <w:rFonts w:cs="Arial"/>
                <w:vertAlign w:val="superscript"/>
              </w:rPr>
              <w:t>nd</w:t>
            </w:r>
            <w:r>
              <w:rPr>
                <w:rFonts w:cs="Arial"/>
              </w:rPr>
              <w:t xml:space="preserve"> April 2025</w:t>
            </w:r>
          </w:p>
        </w:tc>
      </w:tr>
    </w:tbl>
    <w:p w14:paraId="4E87CD01" w14:textId="77777777" w:rsidR="00812579" w:rsidRDefault="00812579">
      <w:pPr>
        <w:rPr>
          <w:rFonts w:cs="Arial"/>
        </w:rPr>
      </w:pPr>
    </w:p>
    <w:p w14:paraId="2EA3AED0" w14:textId="139F57BA"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w:t>
      </w:r>
      <w:proofErr w:type="gramStart"/>
      <w:r>
        <w:rPr>
          <w:rFonts w:cs="Arial"/>
          <w:sz w:val="24"/>
          <w:szCs w:val="24"/>
        </w:rPr>
        <w:t>North West</w:t>
      </w:r>
      <w:proofErr w:type="gramEnd"/>
      <w:r>
        <w:rPr>
          <w:rFonts w:cs="Arial"/>
          <w:sz w:val="24"/>
          <w:szCs w:val="24"/>
        </w:rPr>
        <w:t xml:space="preserve"> and North East and Yorkshire ICBs for localisation and approval through standard ICB processes. The most recent version is available on the RDTC website at </w:t>
      </w:r>
      <w:hyperlink r:id="rId12" w:history="1">
        <w:r w:rsidR="00974B6C" w:rsidRPr="005948AD">
          <w:rPr>
            <w:rStyle w:val="Hyperlink"/>
            <w:rFonts w:cs="Arial"/>
            <w:sz w:val="24"/>
            <w:szCs w:val="24"/>
          </w:rPr>
          <w:t>https://rdtc.nhs.uk/prescribing-support-document/shared-care-protocol-mmf-mpa-in-adults-non-transplant/</w:t>
        </w:r>
      </w:hyperlink>
      <w:r w:rsidR="00974B6C">
        <w:rPr>
          <w:rFonts w:cs="Arial"/>
          <w:sz w:val="24"/>
          <w:szCs w:val="24"/>
        </w:rPr>
        <w:t xml:space="preserve">. </w:t>
      </w:r>
    </w:p>
    <w:p w14:paraId="58762991" w14:textId="77777777" w:rsidR="005A7119" w:rsidRDefault="005A7119" w:rsidP="005A7119">
      <w:pPr>
        <w:rPr>
          <w:rFonts w:cs="Arial"/>
          <w:sz w:val="24"/>
          <w:szCs w:val="24"/>
        </w:rPr>
      </w:pPr>
    </w:p>
    <w:p w14:paraId="48258EDF" w14:textId="0C157C32" w:rsidR="005A7119" w:rsidRDefault="005A7119" w:rsidP="005A7119">
      <w:pPr>
        <w:rPr>
          <w:rFonts w:cs="Arial"/>
          <w:sz w:val="24"/>
          <w:szCs w:val="24"/>
        </w:rPr>
      </w:pP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49206EC9" w:rsidR="00F321FC" w:rsidRPr="00ED7968" w:rsidRDefault="00F9771E" w:rsidP="00F9771E">
      <w:pPr>
        <w:pStyle w:val="Heading2"/>
        <w:numPr>
          <w:ilvl w:val="0"/>
          <w:numId w:val="0"/>
        </w:numPr>
        <w:rPr>
          <w:sz w:val="24"/>
          <w:szCs w:val="24"/>
        </w:rPr>
      </w:pPr>
      <w:r w:rsidRPr="00F9771E">
        <w:rPr>
          <w:sz w:val="24"/>
          <w:szCs w:val="24"/>
        </w:rPr>
        <w:t>Mycophenolate mofetil and mycophenolic acid for patients within adult services (non-transplant indications)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C72861" w:rsidRPr="00F321FC" w14:paraId="3FF50130" w14:textId="77777777" w:rsidTr="0051526F">
        <w:tc>
          <w:tcPr>
            <w:tcW w:w="2199" w:type="dxa"/>
            <w:tcBorders>
              <w:top w:val="single" w:sz="4" w:space="0" w:color="BFBFBF" w:themeColor="background1" w:themeShade="BF"/>
            </w:tcBorders>
          </w:tcPr>
          <w:p w14:paraId="60850D61" w14:textId="74515AEE" w:rsidR="00C72861" w:rsidRPr="00F321FC" w:rsidRDefault="00721E7A" w:rsidP="00413F90">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26345CC4" w14:textId="77777777" w:rsidR="00F9771E" w:rsidRPr="00F9771E" w:rsidRDefault="00F9771E" w:rsidP="00F9771E">
            <w:pPr>
              <w:rPr>
                <w:rFonts w:cs="Arial"/>
              </w:rPr>
            </w:pPr>
            <w:r w:rsidRPr="00F9771E">
              <w:rPr>
                <w:rFonts w:cs="Arial"/>
              </w:rPr>
              <w:t xml:space="preserve">Mycophenolate mofetil is a pro-drug of the active metabolite mycophenolic acid.  Mycophenolic acid is a suppressor of T and B cell proliferation and adhesion and inhibits inosine monophosphate dehydrogenase and eventually blocks the progression to DNA synthesis and proliferation. </w:t>
            </w:r>
          </w:p>
          <w:p w14:paraId="6B5F3EB1" w14:textId="41D7A378" w:rsidR="0065325B" w:rsidRPr="00B87200" w:rsidRDefault="00F9771E" w:rsidP="00F9771E">
            <w:pPr>
              <w:rPr>
                <w:rFonts w:cs="Arial"/>
              </w:rPr>
            </w:pPr>
            <w:r w:rsidRPr="00F9771E">
              <w:rPr>
                <w:rFonts w:cs="Arial"/>
              </w:rPr>
              <w:t>Mycophenolate is only licensed for the prevention of acute kidney, heart or liver transplant rejection (in combination with prednisolone or ciclosporin). It is not licensed for all the conditions it is used to treat. However, its use as a disease modifying anti-rheumatic drug (DMARD) and for the indications below are well established and supported by clinical specialists.</w:t>
            </w:r>
          </w:p>
        </w:tc>
      </w:tr>
      <w:tr w:rsidR="00C72861" w:rsidRPr="00F321FC" w14:paraId="700AF380" w14:textId="77777777" w:rsidTr="0051526F">
        <w:tc>
          <w:tcPr>
            <w:tcW w:w="2199" w:type="dxa"/>
          </w:tcPr>
          <w:p w14:paraId="353B7610" w14:textId="421AD839" w:rsidR="00C72861" w:rsidRPr="00F321FC" w:rsidRDefault="00A93496" w:rsidP="00D31D08">
            <w:pPr>
              <w:pStyle w:val="Heading2"/>
              <w:rPr>
                <w:rFonts w:cs="Arial"/>
              </w:rPr>
            </w:pPr>
            <w:bookmarkStart w:id="2" w:name="two_indications"/>
            <w:bookmarkStart w:id="3" w:name="_Toc149231786"/>
            <w:r w:rsidRPr="00F321FC">
              <w:rPr>
                <w:rFonts w:cs="Arial"/>
              </w:rPr>
              <w:t xml:space="preserve">Licensed </w:t>
            </w:r>
            <w:r w:rsidR="00035AE8">
              <w:rPr>
                <w:rFonts w:cs="Arial"/>
              </w:rPr>
              <w:t xml:space="preserve">and agreed off-label </w:t>
            </w:r>
            <w:r w:rsidRPr="00F321FC">
              <w:rPr>
                <w:rFonts w:cs="Arial"/>
              </w:rPr>
              <w:t>indications</w:t>
            </w:r>
            <w:bookmarkEnd w:id="2"/>
            <w:bookmarkEnd w:id="3"/>
          </w:p>
        </w:tc>
        <w:tc>
          <w:tcPr>
            <w:tcW w:w="8262" w:type="dxa"/>
          </w:tcPr>
          <w:p w14:paraId="580CA87C" w14:textId="77777777" w:rsidR="00F9771E" w:rsidRPr="00F9771E" w:rsidRDefault="00F9771E" w:rsidP="00F9771E">
            <w:pPr>
              <w:rPr>
                <w:rFonts w:cs="Arial"/>
              </w:rPr>
            </w:pPr>
            <w:r w:rsidRPr="00F9771E">
              <w:rPr>
                <w:rFonts w:cs="Arial"/>
              </w:rPr>
              <w:t xml:space="preserve">Off-label use for the treatment of chronic inflammatory conditions where use of mycophenolate mofetil is appropriate, including but not limited to the following specialities and conditions: </w:t>
            </w:r>
          </w:p>
          <w:p w14:paraId="78A882DF" w14:textId="3913C08E" w:rsidR="00F9771E" w:rsidRPr="00F9771E" w:rsidRDefault="00F9771E" w:rsidP="001B5AFA">
            <w:pPr>
              <w:pStyle w:val="ListParagraph"/>
              <w:numPr>
                <w:ilvl w:val="0"/>
                <w:numId w:val="4"/>
              </w:numPr>
              <w:rPr>
                <w:rFonts w:cs="Arial"/>
              </w:rPr>
            </w:pPr>
            <w:r w:rsidRPr="00F9771E">
              <w:rPr>
                <w:rFonts w:cs="Arial"/>
              </w:rPr>
              <w:t xml:space="preserve">Dermatology (e.g. myositis, severe psoriasis, severe atopic dermatitis/eczema, autoimmune bullous dermatoses, SLE) </w:t>
            </w:r>
          </w:p>
          <w:p w14:paraId="73B19F71" w14:textId="2C9F64CA" w:rsidR="00F9771E" w:rsidRPr="00F9771E" w:rsidRDefault="00F9771E" w:rsidP="001B5AFA">
            <w:pPr>
              <w:pStyle w:val="ListParagraph"/>
              <w:numPr>
                <w:ilvl w:val="0"/>
                <w:numId w:val="4"/>
              </w:numPr>
              <w:rPr>
                <w:rFonts w:cs="Arial"/>
              </w:rPr>
            </w:pPr>
            <w:r w:rsidRPr="00F9771E">
              <w:rPr>
                <w:rFonts w:cs="Arial"/>
              </w:rPr>
              <w:t xml:space="preserve">Gastroenterology (e.g. Crohn’s disease, ulcerative colitis) </w:t>
            </w:r>
          </w:p>
          <w:p w14:paraId="003EAAC4" w14:textId="2EFA89EB" w:rsidR="00F9771E" w:rsidRPr="00F9771E" w:rsidRDefault="00F9771E" w:rsidP="001B5AFA">
            <w:pPr>
              <w:pStyle w:val="ListParagraph"/>
              <w:numPr>
                <w:ilvl w:val="0"/>
                <w:numId w:val="4"/>
              </w:numPr>
              <w:rPr>
                <w:rFonts w:cs="Arial"/>
              </w:rPr>
            </w:pPr>
            <w:r w:rsidRPr="00F9771E">
              <w:rPr>
                <w:rFonts w:cs="Arial"/>
              </w:rPr>
              <w:t xml:space="preserve">Haematology (e.g. idiopathic thrombocytopenic purpura) </w:t>
            </w:r>
          </w:p>
          <w:p w14:paraId="7F29C64A" w14:textId="2EEBA74A" w:rsidR="00F9771E" w:rsidRPr="00F9771E" w:rsidRDefault="00F9771E" w:rsidP="001B5AFA">
            <w:pPr>
              <w:pStyle w:val="ListParagraph"/>
              <w:numPr>
                <w:ilvl w:val="0"/>
                <w:numId w:val="4"/>
              </w:numPr>
              <w:rPr>
                <w:rFonts w:cs="Arial"/>
              </w:rPr>
            </w:pPr>
            <w:r w:rsidRPr="00F9771E">
              <w:rPr>
                <w:rFonts w:cs="Arial"/>
              </w:rPr>
              <w:t xml:space="preserve">Hepatology (e.g. auto-immune hepatitis) </w:t>
            </w:r>
          </w:p>
          <w:p w14:paraId="00A901B8" w14:textId="6ABA9AA7" w:rsidR="00F9771E" w:rsidRPr="00F9771E" w:rsidRDefault="00F9771E" w:rsidP="001B5AFA">
            <w:pPr>
              <w:pStyle w:val="ListParagraph"/>
              <w:numPr>
                <w:ilvl w:val="0"/>
                <w:numId w:val="4"/>
              </w:numPr>
              <w:rPr>
                <w:rFonts w:cs="Arial"/>
              </w:rPr>
            </w:pPr>
            <w:r w:rsidRPr="00F9771E">
              <w:rPr>
                <w:rFonts w:cs="Arial"/>
              </w:rPr>
              <w:t xml:space="preserve">Neurology (e.g. inflammatory neuropathies, myasthenia gravis) </w:t>
            </w:r>
          </w:p>
          <w:p w14:paraId="6EB3A2DE" w14:textId="10FAED00" w:rsidR="00F9771E" w:rsidRPr="00F9771E" w:rsidRDefault="00F9771E" w:rsidP="001B5AFA">
            <w:pPr>
              <w:pStyle w:val="ListParagraph"/>
              <w:numPr>
                <w:ilvl w:val="0"/>
                <w:numId w:val="4"/>
              </w:numPr>
              <w:rPr>
                <w:rFonts w:cs="Arial"/>
              </w:rPr>
            </w:pPr>
            <w:r w:rsidRPr="00F9771E">
              <w:rPr>
                <w:rFonts w:cs="Arial"/>
              </w:rPr>
              <w:t xml:space="preserve">Ophthalmology (e.g. uveitis, scleritis) </w:t>
            </w:r>
          </w:p>
          <w:p w14:paraId="7C7C133C" w14:textId="3B5969D6" w:rsidR="00F9771E" w:rsidRPr="00F9771E" w:rsidRDefault="00F9771E" w:rsidP="001B5AFA">
            <w:pPr>
              <w:pStyle w:val="ListParagraph"/>
              <w:numPr>
                <w:ilvl w:val="0"/>
                <w:numId w:val="4"/>
              </w:numPr>
              <w:rPr>
                <w:rFonts w:cs="Arial"/>
              </w:rPr>
            </w:pPr>
            <w:r w:rsidRPr="00F9771E">
              <w:rPr>
                <w:rFonts w:cs="Arial"/>
              </w:rPr>
              <w:t xml:space="preserve">Oral medicine (e.g. Behçet’s disease, refractory inflammatory oral disease) </w:t>
            </w:r>
          </w:p>
          <w:p w14:paraId="3EFAE274" w14:textId="176DFD0C" w:rsidR="00F9771E" w:rsidRPr="00F9771E" w:rsidRDefault="00F9771E" w:rsidP="001B5AFA">
            <w:pPr>
              <w:pStyle w:val="ListParagraph"/>
              <w:numPr>
                <w:ilvl w:val="0"/>
                <w:numId w:val="4"/>
              </w:numPr>
              <w:rPr>
                <w:rFonts w:cs="Arial"/>
              </w:rPr>
            </w:pPr>
            <w:r w:rsidRPr="00F9771E">
              <w:rPr>
                <w:rFonts w:cs="Arial"/>
              </w:rPr>
              <w:t xml:space="preserve">Renal medicine (e.g. immune-mediated nephritis) </w:t>
            </w:r>
          </w:p>
          <w:p w14:paraId="39CE4725" w14:textId="727B2AE5" w:rsidR="00F9771E" w:rsidRPr="00F9771E" w:rsidRDefault="00F9771E" w:rsidP="001B5AFA">
            <w:pPr>
              <w:pStyle w:val="ListParagraph"/>
              <w:numPr>
                <w:ilvl w:val="0"/>
                <w:numId w:val="4"/>
              </w:numPr>
              <w:rPr>
                <w:rFonts w:cs="Arial"/>
              </w:rPr>
            </w:pPr>
            <w:r w:rsidRPr="00F9771E">
              <w:rPr>
                <w:rFonts w:cs="Arial"/>
              </w:rPr>
              <w:t xml:space="preserve">Respiratory disease (e.g. interstitial lung disease) </w:t>
            </w:r>
          </w:p>
          <w:p w14:paraId="398C2976" w14:textId="25847869" w:rsidR="00F9771E" w:rsidRPr="00F9771E" w:rsidRDefault="00F9771E" w:rsidP="001B5AFA">
            <w:pPr>
              <w:pStyle w:val="ListParagraph"/>
              <w:numPr>
                <w:ilvl w:val="0"/>
                <w:numId w:val="4"/>
              </w:numPr>
              <w:rPr>
                <w:rFonts w:cs="Arial"/>
              </w:rPr>
            </w:pPr>
            <w:r w:rsidRPr="00F9771E">
              <w:rPr>
                <w:rFonts w:cs="Arial"/>
              </w:rPr>
              <w:t xml:space="preserve">Rheumatology (e.g. rheumatoid arthritis, systemic lupus erythematosus [SLE], vasculitis) </w:t>
            </w:r>
          </w:p>
          <w:p w14:paraId="511F7799" w14:textId="77777777" w:rsidR="00F9771E" w:rsidRPr="00F9771E" w:rsidRDefault="00F9771E" w:rsidP="00F9771E">
            <w:pPr>
              <w:rPr>
                <w:rFonts w:cs="Arial"/>
              </w:rPr>
            </w:pPr>
            <w:r w:rsidRPr="00F9771E">
              <w:rPr>
                <w:rFonts w:cs="Arial"/>
              </w:rPr>
              <w:t xml:space="preserve">These indications are </w:t>
            </w:r>
            <w:proofErr w:type="gramStart"/>
            <w:r w:rsidRPr="00F9771E">
              <w:rPr>
                <w:rFonts w:cs="Arial"/>
              </w:rPr>
              <w:t>off-label</w:t>
            </w:r>
            <w:proofErr w:type="gramEnd"/>
            <w:r w:rsidRPr="00F9771E">
              <w:rPr>
                <w:rFonts w:cs="Arial"/>
              </w:rPr>
              <w:t xml:space="preserve">. The initiating specialist </w:t>
            </w:r>
            <w:r w:rsidRPr="00F9771E">
              <w:rPr>
                <w:rFonts w:cs="Arial"/>
                <w:u w:val="single"/>
              </w:rPr>
              <w:t>must specify the indication for each patient</w:t>
            </w:r>
            <w:r w:rsidRPr="00F9771E">
              <w:rPr>
                <w:rFonts w:cs="Arial"/>
              </w:rPr>
              <w:t xml:space="preserve"> when initiating shared care and clearly state when use is </w:t>
            </w:r>
            <w:proofErr w:type="gramStart"/>
            <w:r w:rsidRPr="00F9771E">
              <w:rPr>
                <w:rFonts w:cs="Arial"/>
              </w:rPr>
              <w:t>off-label</w:t>
            </w:r>
            <w:proofErr w:type="gramEnd"/>
            <w:r w:rsidRPr="00F9771E">
              <w:rPr>
                <w:rFonts w:cs="Arial"/>
              </w:rPr>
              <w:t xml:space="preserve">. </w:t>
            </w:r>
          </w:p>
          <w:p w14:paraId="452D25AB" w14:textId="3F3BF95B" w:rsidR="007A56FB" w:rsidRPr="007A56FB" w:rsidRDefault="00F9771E" w:rsidP="00F9771E">
            <w:pPr>
              <w:rPr>
                <w:rFonts w:cs="Arial"/>
              </w:rPr>
            </w:pPr>
            <w:r w:rsidRPr="00F9771E">
              <w:rPr>
                <w:rFonts w:cs="Arial"/>
              </w:rPr>
              <w:t>This shared care protocol applies to adults aged 18 and over. It does not include use of mycophenolate mofetil for transplant indications.</w:t>
            </w:r>
          </w:p>
        </w:tc>
      </w:tr>
      <w:tr w:rsidR="00C72861" w:rsidRPr="00F321FC" w14:paraId="36B1B999" w14:textId="77777777" w:rsidTr="0051526F">
        <w:tc>
          <w:tcPr>
            <w:tcW w:w="2199" w:type="dxa"/>
          </w:tcPr>
          <w:p w14:paraId="6F2C624B" w14:textId="515A3B01" w:rsidR="00C72861" w:rsidRPr="00F321FC" w:rsidRDefault="00A93496" w:rsidP="00D31D08">
            <w:pPr>
              <w:pStyle w:val="Heading2"/>
              <w:rPr>
                <w:rFonts w:cs="Arial"/>
              </w:rPr>
            </w:pPr>
            <w:bookmarkStart w:id="4" w:name="three_local_indications"/>
            <w:bookmarkStart w:id="5" w:name="_Toc149231787"/>
            <w:r w:rsidRPr="00F321FC">
              <w:rPr>
                <w:rFonts w:cs="Arial"/>
              </w:rPr>
              <w:t xml:space="preserve">Locally agreed </w:t>
            </w:r>
            <w:r w:rsidR="00EC0326">
              <w:rPr>
                <w:rFonts w:cs="Arial"/>
              </w:rPr>
              <w:t>indications</w:t>
            </w:r>
            <w:bookmarkEnd w:id="4"/>
            <w:bookmarkEnd w:id="5"/>
          </w:p>
        </w:tc>
        <w:tc>
          <w:tcPr>
            <w:tcW w:w="8262" w:type="dxa"/>
          </w:tcPr>
          <w:p w14:paraId="14C3CD90" w14:textId="6F6D3570" w:rsidR="00C72861" w:rsidRPr="00A01A31" w:rsidRDefault="00A01A31" w:rsidP="00FB404F">
            <w:pPr>
              <w:rPr>
                <w:rFonts w:cs="Arial"/>
              </w:rPr>
            </w:pPr>
            <w:r w:rsidRPr="00A01A31">
              <w:rPr>
                <w:rFonts w:cs="Arial"/>
              </w:rPr>
              <w:t>Agreed indications as per section 2</w:t>
            </w:r>
          </w:p>
        </w:tc>
      </w:tr>
      <w:tr w:rsidR="00C72861" w:rsidRPr="00F321FC" w14:paraId="6823BC14" w14:textId="77777777" w:rsidTr="0051526F">
        <w:tc>
          <w:tcPr>
            <w:tcW w:w="2199" w:type="dxa"/>
          </w:tcPr>
          <w:p w14:paraId="5B29E378" w14:textId="09C1A858" w:rsidR="00C72861" w:rsidRPr="00F321FC" w:rsidRDefault="00F132AA" w:rsidP="00D31D08">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445F754A" w14:textId="77777777" w:rsidR="00FF203C" w:rsidRDefault="00FB404F" w:rsidP="00FF203C">
            <w:pPr>
              <w:rPr>
                <w:rFonts w:cs="Arial"/>
              </w:rPr>
            </w:pPr>
            <w:r w:rsidRPr="00FB404F">
              <w:rPr>
                <w:rFonts w:cs="Arial"/>
              </w:rPr>
              <w:t xml:space="preserve">Transfer of monitoring and prescribing to primary care is normally after at least </w:t>
            </w:r>
            <w:r w:rsidR="00E44E88" w:rsidRPr="00772A5F">
              <w:rPr>
                <w:rFonts w:cs="Arial"/>
              </w:rPr>
              <w:t>12</w:t>
            </w:r>
            <w:r w:rsidRPr="00772A5F">
              <w:rPr>
                <w:rFonts w:cs="Arial"/>
              </w:rPr>
              <w:t xml:space="preserve"> weeks</w:t>
            </w:r>
            <w:r w:rsidRPr="00FB404F">
              <w:rPr>
                <w:rFonts w:cs="Arial"/>
              </w:rPr>
              <w:t xml:space="preserve">, and when the patient’s dose has been optimised and with satisfactory investigation results for at least </w:t>
            </w:r>
            <w:r w:rsidR="00E44E88" w:rsidRPr="00772A5F">
              <w:rPr>
                <w:rFonts w:cs="Arial"/>
              </w:rPr>
              <w:t>12</w:t>
            </w:r>
            <w:r w:rsidRPr="00772A5F">
              <w:rPr>
                <w:rFonts w:cs="Arial"/>
              </w:rPr>
              <w:t xml:space="preserve"> weeks</w:t>
            </w:r>
            <w:r w:rsidRPr="00FB404F">
              <w:rPr>
                <w:rFonts w:cs="Arial"/>
              </w:rPr>
              <w:t>.</w:t>
            </w:r>
            <w:r w:rsidR="00FF203C">
              <w:rPr>
                <w:rFonts w:cs="Arial"/>
              </w:rPr>
              <w:t xml:space="preserve"> </w:t>
            </w:r>
            <w:r w:rsidR="00FF203C"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7AB5F9FB" w14:textId="1D236F8D" w:rsidR="00FB404F" w:rsidRPr="00FB404F" w:rsidRDefault="00FB404F" w:rsidP="00FB404F">
            <w:pPr>
              <w:rPr>
                <w:rFonts w:cs="Arial"/>
              </w:rPr>
            </w:pPr>
          </w:p>
          <w:p w14:paraId="3243FEE8" w14:textId="4FE667AD" w:rsidR="00FB404F" w:rsidRPr="00FB404F" w:rsidRDefault="00FB404F" w:rsidP="00FB404F">
            <w:pPr>
              <w:rPr>
                <w:rFonts w:cs="Arial"/>
              </w:rPr>
            </w:pPr>
            <w:r w:rsidRPr="00FB404F">
              <w:rPr>
                <w:rFonts w:cs="Arial"/>
              </w:rPr>
              <w:t>The duration of treatment &amp; frequency of review will be determined by the specialist, based on clinical response and tolerability.</w:t>
            </w:r>
          </w:p>
          <w:p w14:paraId="7596D355" w14:textId="77EFBABC" w:rsidR="00FB404F" w:rsidRPr="00FB404F" w:rsidRDefault="00FB404F" w:rsidP="00FB404F">
            <w:pPr>
              <w:rPr>
                <w:rFonts w:cs="Arial"/>
              </w:rPr>
            </w:pPr>
            <w:r w:rsidRPr="00FB404F">
              <w:rPr>
                <w:rFonts w:cs="Arial"/>
              </w:rPr>
              <w:t>All dose or formulation adjustments will be the responsibility of the specialist unless directions have been discussed and agreed with the primary care clinician.</w:t>
            </w:r>
          </w:p>
          <w:p w14:paraId="78E31A93" w14:textId="0476360E" w:rsidR="00C72861" w:rsidRPr="00FB404F" w:rsidRDefault="00FB404F" w:rsidP="00FB404F">
            <w:pPr>
              <w:rPr>
                <w:rFonts w:cs="Arial"/>
              </w:rPr>
            </w:pPr>
            <w:r w:rsidRPr="00FB404F">
              <w:rPr>
                <w:rFonts w:cs="Arial"/>
              </w:rPr>
              <w:t>Termination of treatment will be the responsibility of the specialist.</w:t>
            </w:r>
          </w:p>
          <w:p w14:paraId="7FAC74DC" w14:textId="77777777" w:rsidR="00FB404F" w:rsidRDefault="00FB404F" w:rsidP="00FB404F">
            <w:pPr>
              <w:rPr>
                <w:rFonts w:cs="Arial"/>
              </w:rPr>
            </w:pPr>
          </w:p>
          <w:p w14:paraId="48B7E8CE" w14:textId="77777777" w:rsidR="00FF203C" w:rsidRPr="00FB404F" w:rsidRDefault="00FF203C" w:rsidP="00FB404F">
            <w:pPr>
              <w:rPr>
                <w:rFonts w:cs="Arial"/>
              </w:rPr>
            </w:pPr>
          </w:p>
          <w:p w14:paraId="6555FAD1" w14:textId="2C9BA274" w:rsidR="00891257" w:rsidRPr="0051526F" w:rsidRDefault="00FB404F" w:rsidP="0051526F">
            <w:pPr>
              <w:rPr>
                <w:b/>
                <w:bCs/>
                <w:u w:val="single"/>
              </w:rPr>
            </w:pPr>
            <w:r w:rsidRPr="0051526F">
              <w:rPr>
                <w:b/>
                <w:bCs/>
                <w:u w:val="single"/>
              </w:rPr>
              <w:lastRenderedPageBreak/>
              <w:t xml:space="preserve">Initial </w:t>
            </w:r>
            <w:r w:rsidR="00946787" w:rsidRPr="0051526F">
              <w:rPr>
                <w:b/>
                <w:bCs/>
                <w:u w:val="single"/>
              </w:rPr>
              <w:t>stabilisation</w:t>
            </w:r>
            <w:r w:rsidRPr="0051526F">
              <w:rPr>
                <w:b/>
                <w:bCs/>
                <w:u w:val="single"/>
              </w:rPr>
              <w:t xml:space="preserve">: </w:t>
            </w:r>
          </w:p>
          <w:p w14:paraId="2229E9DD" w14:textId="5C89C814" w:rsidR="00946787" w:rsidRPr="00946787" w:rsidRDefault="00F9771E" w:rsidP="00946787">
            <w:pPr>
              <w:rPr>
                <w:rFonts w:cs="Arial"/>
              </w:rPr>
            </w:pPr>
            <w:r w:rsidRPr="00F9771E">
              <w:rPr>
                <w:rFonts w:cs="Arial"/>
              </w:rPr>
              <w:t xml:space="preserve">To be determined by the specialist based on indication and disease severity. </w:t>
            </w:r>
            <w:proofErr w:type="gramStart"/>
            <w:r w:rsidRPr="00F9771E">
              <w:rPr>
                <w:rFonts w:cs="Arial"/>
              </w:rPr>
              <w:t>Typically</w:t>
            </w:r>
            <w:proofErr w:type="gramEnd"/>
            <w:r w:rsidRPr="00F9771E">
              <w:rPr>
                <w:rFonts w:cs="Arial"/>
              </w:rPr>
              <w:t xml:space="preserve"> mycophenolate mofetil 250mg or 500mg once or twice daily, increasing in weekly increments</w:t>
            </w:r>
            <w:r>
              <w:rPr>
                <w:rFonts w:cs="Arial"/>
              </w:rPr>
              <w:t>.</w:t>
            </w:r>
          </w:p>
          <w:p w14:paraId="46BB63EB" w14:textId="3CFD7F9A" w:rsidR="003558F4" w:rsidRPr="00946787" w:rsidRDefault="00946787" w:rsidP="00946787">
            <w:pPr>
              <w:rPr>
                <w:rFonts w:cs="Arial"/>
                <w:b/>
                <w:bCs/>
              </w:rPr>
            </w:pPr>
            <w:r w:rsidRPr="00946787">
              <w:rPr>
                <w:rFonts w:cs="Arial"/>
                <w:b/>
                <w:bCs/>
              </w:rPr>
              <w:t>The loading period must be prescribed by the initiating specialist.</w:t>
            </w:r>
          </w:p>
          <w:p w14:paraId="1FBF66C2" w14:textId="77777777" w:rsidR="007A56FB" w:rsidRDefault="007A56FB" w:rsidP="0051526F">
            <w:pPr>
              <w:rPr>
                <w:b/>
                <w:bCs/>
                <w:u w:val="single"/>
              </w:rPr>
            </w:pPr>
          </w:p>
          <w:p w14:paraId="2F92A165" w14:textId="47BFAF93" w:rsidR="000F4219" w:rsidRPr="0051526F" w:rsidRDefault="00FB404F" w:rsidP="0051526F">
            <w:pPr>
              <w:rPr>
                <w:b/>
                <w:bCs/>
                <w:u w:val="single"/>
              </w:rPr>
            </w:pPr>
            <w:r w:rsidRPr="0051526F">
              <w:rPr>
                <w:b/>
                <w:bCs/>
                <w:u w:val="single"/>
              </w:rPr>
              <w:t>Maintenance dose (following initial stabilisation):</w:t>
            </w:r>
          </w:p>
          <w:p w14:paraId="53534752" w14:textId="1CF62F9E" w:rsidR="007A56FB" w:rsidRDefault="00F9771E" w:rsidP="00F9771E">
            <w:proofErr w:type="gramStart"/>
            <w:r w:rsidRPr="00F9771E">
              <w:t>Typically</w:t>
            </w:r>
            <w:proofErr w:type="gramEnd"/>
            <w:r w:rsidRPr="00F9771E">
              <w:t xml:space="preserve"> mycophenolate mofetil 1-2 grams daily, in divided doses. Maximum dose: 3 grams daily. </w:t>
            </w:r>
          </w:p>
          <w:p w14:paraId="7AA3AEC4" w14:textId="47884F34" w:rsidR="00FB404F" w:rsidRDefault="001A51F3" w:rsidP="001A51F3">
            <w:pPr>
              <w:rPr>
                <w:rFonts w:cs="Arial"/>
                <w:b/>
                <w:bCs/>
              </w:rPr>
            </w:pPr>
            <w:r w:rsidRPr="001A51F3">
              <w:rPr>
                <w:rFonts w:cs="Arial"/>
                <w:b/>
                <w:bCs/>
              </w:rPr>
              <w:t>The initial maintenance dose must be prescribed by the initiating specialist.</w:t>
            </w:r>
          </w:p>
          <w:p w14:paraId="694EB333" w14:textId="77777777" w:rsidR="00F9771E" w:rsidRDefault="00F9771E" w:rsidP="001A51F3">
            <w:pPr>
              <w:rPr>
                <w:rFonts w:cs="Arial"/>
                <w:b/>
                <w:bCs/>
              </w:rPr>
            </w:pPr>
          </w:p>
          <w:p w14:paraId="5659C8F8" w14:textId="0786F348" w:rsidR="00F9771E" w:rsidRPr="00F9771E" w:rsidRDefault="00F9771E" w:rsidP="001A51F3">
            <w:pPr>
              <w:rPr>
                <w:rFonts w:cs="Arial"/>
                <w:b/>
                <w:bCs/>
                <w:u w:val="single"/>
              </w:rPr>
            </w:pPr>
            <w:r w:rsidRPr="00F9771E">
              <w:rPr>
                <w:rFonts w:cs="Arial"/>
                <w:b/>
                <w:bCs/>
                <w:u w:val="single"/>
              </w:rPr>
              <w:t>Mycophenolic acid</w:t>
            </w:r>
          </w:p>
          <w:p w14:paraId="49436DBE" w14:textId="7E549EF3" w:rsidR="00F9771E" w:rsidRPr="001A51F3" w:rsidRDefault="00F9771E" w:rsidP="00F9771E">
            <w:r w:rsidRPr="00F9771E">
              <w:t>Mycophenolic acid 720 mg is approximately equivalent to mycophenolate mofetil 1 g</w:t>
            </w:r>
            <w:r>
              <w:t>,</w:t>
            </w:r>
            <w:r w:rsidRPr="00F9771E">
              <w:t xml:space="preserve"> but unnecessary switching should be avoided due to pharmacokinetic differences. Switches should only be performed by, or with the advice of, the specialist team. Mycophenolic acid should usually be reserved for patients who do not tolerate mycophenolate mofetil. </w:t>
            </w:r>
          </w:p>
          <w:p w14:paraId="6BA7644C" w14:textId="77777777" w:rsidR="001A51F3" w:rsidRPr="00FB404F" w:rsidRDefault="001A51F3" w:rsidP="001A51F3">
            <w:pPr>
              <w:rPr>
                <w:rFonts w:cs="Arial"/>
              </w:rPr>
            </w:pPr>
          </w:p>
          <w:p w14:paraId="35304426" w14:textId="5CF2C7C6" w:rsidR="00FB404F" w:rsidRPr="00FB404F" w:rsidRDefault="00FB404F" w:rsidP="00FB404F">
            <w:pPr>
              <w:rPr>
                <w:rFonts w:eastAsiaTheme="majorEastAsia" w:cs="Arial"/>
                <w:b/>
                <w:szCs w:val="24"/>
              </w:rPr>
            </w:pPr>
            <w:r w:rsidRPr="00FB404F">
              <w:rPr>
                <w:rFonts w:eastAsiaTheme="majorEastAsia" w:cs="Arial"/>
                <w:b/>
                <w:szCs w:val="24"/>
              </w:rPr>
              <w:t>Condi</w:t>
            </w:r>
            <w:r>
              <w:rPr>
                <w:rFonts w:eastAsiaTheme="majorEastAsia" w:cs="Arial"/>
                <w:b/>
                <w:szCs w:val="24"/>
              </w:rPr>
              <w:t>tions requiring dose adjustment:</w:t>
            </w:r>
          </w:p>
          <w:p w14:paraId="4513789F" w14:textId="4F3245FB" w:rsidR="00F9771E" w:rsidRPr="00F9771E" w:rsidRDefault="00F9771E" w:rsidP="00F9771E">
            <w:pPr>
              <w:rPr>
                <w:rFonts w:cs="Arial"/>
              </w:rPr>
            </w:pPr>
            <w:r w:rsidRPr="00F9771E">
              <w:rPr>
                <w:rFonts w:cs="Arial"/>
              </w:rPr>
              <w:t xml:space="preserve">The maximum recommended dose in severe chronic renal impairment (GFR </w:t>
            </w:r>
            <w:r>
              <w:rPr>
                <w:rFonts w:cs="Arial"/>
              </w:rPr>
              <w:t xml:space="preserve">less than </w:t>
            </w:r>
            <w:r w:rsidRPr="00F9771E">
              <w:rPr>
                <w:rFonts w:cs="Arial"/>
              </w:rPr>
              <w:t>25 mL/min/1.73m</w:t>
            </w:r>
            <w:r w:rsidRPr="00F9771E">
              <w:rPr>
                <w:rFonts w:cs="Arial"/>
                <w:vertAlign w:val="superscript"/>
              </w:rPr>
              <w:t>2</w:t>
            </w:r>
            <w:r w:rsidRPr="00F9771E">
              <w:rPr>
                <w:rFonts w:cs="Arial"/>
              </w:rPr>
              <w:t xml:space="preserve">) is: </w:t>
            </w:r>
          </w:p>
          <w:p w14:paraId="170741EF" w14:textId="1B7A78CE" w:rsidR="00F9771E" w:rsidRPr="00F9771E" w:rsidRDefault="00F9771E" w:rsidP="001B5AFA">
            <w:pPr>
              <w:pStyle w:val="ListParagraph"/>
              <w:numPr>
                <w:ilvl w:val="0"/>
                <w:numId w:val="5"/>
              </w:numPr>
              <w:rPr>
                <w:rFonts w:cs="Arial"/>
              </w:rPr>
            </w:pPr>
            <w:r w:rsidRPr="00F9771E">
              <w:rPr>
                <w:rFonts w:cs="Arial"/>
              </w:rPr>
              <w:t xml:space="preserve">Mycophenolate mofetil:1 gram, twice daily </w:t>
            </w:r>
          </w:p>
          <w:p w14:paraId="710857F8" w14:textId="76CF16F0" w:rsidR="000F4219" w:rsidRPr="00F9771E" w:rsidRDefault="00F9771E" w:rsidP="001B5AFA">
            <w:pPr>
              <w:pStyle w:val="ListParagraph"/>
              <w:numPr>
                <w:ilvl w:val="0"/>
                <w:numId w:val="5"/>
              </w:numPr>
              <w:rPr>
                <w:rFonts w:cs="Arial"/>
              </w:rPr>
            </w:pPr>
            <w:r w:rsidRPr="00F9771E">
              <w:rPr>
                <w:rFonts w:cs="Arial"/>
              </w:rPr>
              <w:t>Mycophenolic acid: 720 mg, twice daily</w:t>
            </w:r>
          </w:p>
        </w:tc>
      </w:tr>
      <w:tr w:rsidR="00C72861" w:rsidRPr="00F321FC" w14:paraId="68FCED24" w14:textId="77777777" w:rsidTr="0051526F">
        <w:tc>
          <w:tcPr>
            <w:tcW w:w="2199" w:type="dxa"/>
          </w:tcPr>
          <w:p w14:paraId="3DF33630" w14:textId="4E2865B1" w:rsidR="00C72861" w:rsidRPr="00F321FC" w:rsidRDefault="00AE0E89" w:rsidP="00AE0E89">
            <w:pPr>
              <w:pStyle w:val="Heading2"/>
              <w:rPr>
                <w:rFonts w:cs="Arial"/>
              </w:rPr>
            </w:pPr>
            <w:bookmarkStart w:id="8" w:name="five_initial_monitoring"/>
            <w:bookmarkStart w:id="9" w:name="_Toc149231789"/>
            <w:r w:rsidRPr="00F321FC">
              <w:rPr>
                <w:rFonts w:cs="Arial"/>
              </w:rPr>
              <w:lastRenderedPageBreak/>
              <w:t xml:space="preserve">Baseline investigations, initial </w:t>
            </w:r>
            <w:r w:rsidR="00005FC7" w:rsidRPr="00F321FC">
              <w:rPr>
                <w:rFonts w:cs="Arial"/>
              </w:rPr>
              <w:t>monitoring,</w:t>
            </w:r>
            <w:r w:rsidRPr="00F321FC">
              <w:rPr>
                <w:rFonts w:cs="Arial"/>
              </w:rPr>
              <w:t xml:space="preserve"> and </w:t>
            </w:r>
            <w:r w:rsidR="00FB404F">
              <w:rPr>
                <w:rFonts w:cs="Arial"/>
              </w:rPr>
              <w:t xml:space="preserve">ongoing monitoring </w:t>
            </w:r>
            <w:r w:rsidRPr="00F321FC">
              <w:rPr>
                <w:rFonts w:cs="Arial"/>
              </w:rPr>
              <w:t>to be undertaken by specialist</w:t>
            </w:r>
            <w:bookmarkEnd w:id="8"/>
            <w:bookmarkEnd w:id="9"/>
          </w:p>
        </w:tc>
        <w:tc>
          <w:tcPr>
            <w:tcW w:w="8262" w:type="dxa"/>
          </w:tcPr>
          <w:p w14:paraId="0226882F" w14:textId="432B5CFF" w:rsidR="00FB404F" w:rsidRDefault="00FB404F" w:rsidP="00003E35">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3E25A637" w14:textId="77777777" w:rsidR="00FB404F" w:rsidRPr="00FB404F" w:rsidRDefault="00FB404F" w:rsidP="00003E35">
            <w:pPr>
              <w:rPr>
                <w:lang w:eastAsia="en-GB"/>
              </w:rPr>
            </w:pPr>
          </w:p>
          <w:p w14:paraId="294CCC09" w14:textId="77777777" w:rsidR="00F9771E" w:rsidRPr="00F9771E" w:rsidRDefault="00F9771E" w:rsidP="00F9771E">
            <w:pPr>
              <w:rPr>
                <w:b/>
                <w:bCs/>
                <w:u w:val="single"/>
              </w:rPr>
            </w:pPr>
            <w:r w:rsidRPr="00F9771E">
              <w:rPr>
                <w:b/>
                <w:bCs/>
                <w:u w:val="single"/>
              </w:rPr>
              <w:t xml:space="preserve">Baseline investigations: </w:t>
            </w:r>
          </w:p>
          <w:p w14:paraId="023C4C1E" w14:textId="68F4B711" w:rsidR="00F9771E" w:rsidRPr="00F9771E" w:rsidRDefault="00F9771E" w:rsidP="001B5AFA">
            <w:pPr>
              <w:pStyle w:val="ListParagraph"/>
              <w:numPr>
                <w:ilvl w:val="0"/>
                <w:numId w:val="6"/>
              </w:numPr>
            </w:pPr>
            <w:r w:rsidRPr="00F9771E">
              <w:t>Full blood count (FBC)</w:t>
            </w:r>
            <w:r>
              <w:t>.</w:t>
            </w:r>
            <w:r w:rsidRPr="00F9771E">
              <w:t xml:space="preserve"> </w:t>
            </w:r>
          </w:p>
          <w:p w14:paraId="5E40BC04" w14:textId="62B08A47" w:rsidR="00F9771E" w:rsidRPr="00F9771E" w:rsidRDefault="00F9771E" w:rsidP="001B5AFA">
            <w:pPr>
              <w:pStyle w:val="ListParagraph"/>
              <w:numPr>
                <w:ilvl w:val="0"/>
                <w:numId w:val="6"/>
              </w:numPr>
            </w:pPr>
            <w:r w:rsidRPr="00F9771E">
              <w:t xml:space="preserve">Urea and electrolytes (U&amp;E), including creatinine and </w:t>
            </w:r>
            <w:r w:rsidR="00D93C82">
              <w:t>eGFR</w:t>
            </w:r>
            <w:r>
              <w:t>.</w:t>
            </w:r>
          </w:p>
          <w:p w14:paraId="7479CA3B" w14:textId="1D4E7ECE" w:rsidR="00F9771E" w:rsidRPr="00F9771E" w:rsidRDefault="00F9771E" w:rsidP="001B5AFA">
            <w:pPr>
              <w:pStyle w:val="ListParagraph"/>
              <w:numPr>
                <w:ilvl w:val="0"/>
                <w:numId w:val="6"/>
              </w:numPr>
            </w:pPr>
            <w:r w:rsidRPr="00F9771E">
              <w:t>Alanine aminotransferase (ALT) and/or aspartate aminotransferase (AST), and albumin</w:t>
            </w:r>
            <w:r>
              <w:t>.</w:t>
            </w:r>
          </w:p>
          <w:p w14:paraId="7F503609" w14:textId="6E0E0F61" w:rsidR="00F9771E" w:rsidRPr="00F9771E" w:rsidRDefault="00F9771E" w:rsidP="001B5AFA">
            <w:pPr>
              <w:pStyle w:val="ListParagraph"/>
              <w:numPr>
                <w:ilvl w:val="0"/>
                <w:numId w:val="6"/>
              </w:numPr>
            </w:pPr>
            <w:r w:rsidRPr="00F9771E">
              <w:t>Height &amp; weight</w:t>
            </w:r>
            <w:r>
              <w:t>.</w:t>
            </w:r>
          </w:p>
          <w:p w14:paraId="4335FA2B" w14:textId="05A28C07" w:rsidR="00F9771E" w:rsidRPr="00F9771E" w:rsidRDefault="00F9771E" w:rsidP="001B5AFA">
            <w:pPr>
              <w:pStyle w:val="ListParagraph"/>
              <w:numPr>
                <w:ilvl w:val="0"/>
                <w:numId w:val="6"/>
              </w:numPr>
            </w:pPr>
            <w:r w:rsidRPr="00F9771E">
              <w:t>Blood pressure</w:t>
            </w:r>
            <w:r>
              <w:t>.</w:t>
            </w:r>
          </w:p>
          <w:p w14:paraId="08CB2A0D" w14:textId="481E7DFA" w:rsidR="00F9771E" w:rsidRPr="00F9771E" w:rsidRDefault="00F9771E" w:rsidP="001B5AFA">
            <w:pPr>
              <w:pStyle w:val="ListParagraph"/>
              <w:numPr>
                <w:ilvl w:val="0"/>
                <w:numId w:val="6"/>
              </w:numPr>
            </w:pPr>
            <w:r w:rsidRPr="00F9771E">
              <w:t xml:space="preserve">Screening for viral infections </w:t>
            </w:r>
            <w:r w:rsidR="00360ED3">
              <w:t xml:space="preserve">at discretion of the treating </w:t>
            </w:r>
            <w:proofErr w:type="gramStart"/>
            <w:r w:rsidR="00360ED3">
              <w:t xml:space="preserve">clinician </w:t>
            </w:r>
            <w:r w:rsidRPr="00F9771E">
              <w:t>,</w:t>
            </w:r>
            <w:proofErr w:type="gramEnd"/>
            <w:r w:rsidRPr="00F9771E">
              <w:t xml:space="preserve"> e.g. HIV and hepatitis B and C, varicella zoster, Epstein Barr virus, cytomegalovirus</w:t>
            </w:r>
            <w:r>
              <w:t>.</w:t>
            </w:r>
          </w:p>
          <w:p w14:paraId="7518F3CF" w14:textId="016C1AAC" w:rsidR="00F9771E" w:rsidRPr="00F9771E" w:rsidRDefault="00F9771E" w:rsidP="001B5AFA">
            <w:pPr>
              <w:pStyle w:val="ListParagraph"/>
              <w:numPr>
                <w:ilvl w:val="0"/>
                <w:numId w:val="6"/>
              </w:numPr>
            </w:pPr>
            <w:r w:rsidRPr="00F9771E">
              <w:t xml:space="preserve">Before starting mycophenolate mofetil treatment, people of childbearing potential should have a negative pregnancy test. Two serum or urine pregnancy tests with a sensitivity of at least 25 </w:t>
            </w:r>
            <w:proofErr w:type="spellStart"/>
            <w:r w:rsidRPr="00F9771E">
              <w:t>mlU</w:t>
            </w:r>
            <w:proofErr w:type="spellEnd"/>
            <w:r w:rsidRPr="00F9771E">
              <w:t xml:space="preserve">/mL are recommended. A second test should be done 8-10 days after the first one and immediately before starting mycophenolate mofetil, unless exceptional circumstances exist whereby a delay in the initiation of treatment would cause harm to the patient and the prescriber is satisfied that a single test is adequate to rule out pregnancy. Pregnancy tests should be repeated as clinically required (e.g. after any gap in contraception is reported). See </w:t>
            </w:r>
            <w:hyperlink r:id="rId13" w:history="1">
              <w:r w:rsidRPr="00603A8A">
                <w:rPr>
                  <w:rStyle w:val="Hyperlink"/>
                </w:rPr>
                <w:t>MHRA Drug Safety Update</w:t>
              </w:r>
            </w:hyperlink>
            <w:r w:rsidRPr="00F9771E">
              <w:t xml:space="preserve"> for more detail</w:t>
            </w:r>
            <w:r>
              <w:t>.</w:t>
            </w:r>
          </w:p>
          <w:p w14:paraId="594E4A27" w14:textId="294C2358" w:rsidR="00F9771E" w:rsidRPr="00F9771E" w:rsidRDefault="00F9771E" w:rsidP="001B5AFA">
            <w:pPr>
              <w:pStyle w:val="ListParagraph"/>
              <w:numPr>
                <w:ilvl w:val="0"/>
                <w:numId w:val="6"/>
              </w:numPr>
            </w:pPr>
            <w:r w:rsidRPr="00F9771E">
              <w:t xml:space="preserve">Screening for lung disease, including tuberculosis, should be undertaken at clinician discretion on a </w:t>
            </w:r>
            <w:proofErr w:type="gramStart"/>
            <w:r w:rsidRPr="00F9771E">
              <w:t>case by case</w:t>
            </w:r>
            <w:proofErr w:type="gramEnd"/>
            <w:r w:rsidRPr="00F9771E">
              <w:t xml:space="preserve"> basis</w:t>
            </w:r>
            <w:r>
              <w:t>.</w:t>
            </w:r>
          </w:p>
          <w:p w14:paraId="2B7FA10C" w14:textId="7A2D0E6C" w:rsidR="00F9771E" w:rsidRDefault="00F9771E" w:rsidP="001B5AFA">
            <w:pPr>
              <w:pStyle w:val="ListParagraph"/>
              <w:numPr>
                <w:ilvl w:val="0"/>
                <w:numId w:val="6"/>
              </w:numPr>
            </w:pPr>
            <w:r w:rsidRPr="00F9771E">
              <w:lastRenderedPageBreak/>
              <w:t>Provide or request appropriate vaccination prior to treatment initiation, according to local arrangements (e.g. pneumococcal, shingles, influenza, COVID-19)</w:t>
            </w:r>
            <w:r>
              <w:t>.</w:t>
            </w:r>
          </w:p>
          <w:p w14:paraId="2F973AED" w14:textId="77777777" w:rsidR="00F9771E" w:rsidRPr="00F9771E" w:rsidRDefault="00F9771E" w:rsidP="00F9771E"/>
          <w:p w14:paraId="3E8418F3" w14:textId="77777777" w:rsidR="00D15A24" w:rsidRDefault="00D15A24" w:rsidP="00F9771E">
            <w:pPr>
              <w:rPr>
                <w:b/>
                <w:bCs/>
                <w:u w:val="single"/>
              </w:rPr>
            </w:pPr>
          </w:p>
          <w:p w14:paraId="5A520BE5" w14:textId="6E6547E5" w:rsidR="00F9771E" w:rsidRPr="00F9771E" w:rsidRDefault="00F9771E" w:rsidP="00F9771E">
            <w:pPr>
              <w:rPr>
                <w:b/>
                <w:bCs/>
                <w:u w:val="single"/>
              </w:rPr>
            </w:pPr>
            <w:r w:rsidRPr="00F9771E">
              <w:rPr>
                <w:b/>
                <w:bCs/>
                <w:u w:val="single"/>
              </w:rPr>
              <w:t xml:space="preserve">Initial monitoring: </w:t>
            </w:r>
          </w:p>
          <w:p w14:paraId="189F356C" w14:textId="77777777" w:rsidR="00F9771E" w:rsidRPr="00F9771E" w:rsidRDefault="00F9771E" w:rsidP="00F9771E">
            <w:r w:rsidRPr="00F9771E">
              <w:t xml:space="preserve">To be repeated every 2 weeks until the dose has been stable for 6 weeks, then monthly for 3 months:  </w:t>
            </w:r>
          </w:p>
          <w:p w14:paraId="2ED132EC" w14:textId="154E086B" w:rsidR="00F9771E" w:rsidRPr="00F9771E" w:rsidRDefault="00F9771E" w:rsidP="001B5AFA">
            <w:pPr>
              <w:pStyle w:val="ListParagraph"/>
              <w:numPr>
                <w:ilvl w:val="0"/>
                <w:numId w:val="7"/>
              </w:numPr>
            </w:pPr>
            <w:r w:rsidRPr="00F9771E">
              <w:t xml:space="preserve">FBC </w:t>
            </w:r>
          </w:p>
          <w:p w14:paraId="2A9B548A" w14:textId="5BEECD33" w:rsidR="00F9771E" w:rsidRPr="00F9771E" w:rsidRDefault="00F9771E" w:rsidP="001B5AFA">
            <w:pPr>
              <w:pStyle w:val="ListParagraph"/>
              <w:numPr>
                <w:ilvl w:val="0"/>
                <w:numId w:val="7"/>
              </w:numPr>
            </w:pPr>
            <w:r w:rsidRPr="00F9771E">
              <w:t xml:space="preserve">U&amp;Es, including creatinine and </w:t>
            </w:r>
            <w:r w:rsidR="00D93C82">
              <w:t>eGFR</w:t>
            </w:r>
            <w:r w:rsidRPr="00F9771E">
              <w:t xml:space="preserve"> </w:t>
            </w:r>
          </w:p>
          <w:p w14:paraId="2406EC94" w14:textId="692A1FAD" w:rsidR="00F9771E" w:rsidRPr="00F9771E" w:rsidRDefault="00F9771E" w:rsidP="001B5AFA">
            <w:pPr>
              <w:pStyle w:val="ListParagraph"/>
              <w:numPr>
                <w:ilvl w:val="0"/>
                <w:numId w:val="7"/>
              </w:numPr>
            </w:pPr>
            <w:r w:rsidRPr="00F9771E">
              <w:t xml:space="preserve">AST and/or ALT, and albumin </w:t>
            </w:r>
          </w:p>
          <w:p w14:paraId="7728592C" w14:textId="44C4D1C4" w:rsidR="00F9771E" w:rsidRDefault="00F9771E" w:rsidP="00F9771E">
            <w:pPr>
              <w:spacing w:line="259" w:lineRule="auto"/>
            </w:pPr>
            <w:r w:rsidRPr="00F9771E">
              <w:t xml:space="preserve">Following a dose increase repeat </w:t>
            </w:r>
            <w:r w:rsidR="007C3DBC">
              <w:t>bloods after</w:t>
            </w:r>
            <w:r w:rsidR="00275DC2">
              <w:t xml:space="preserve"> </w:t>
            </w:r>
            <w:r w:rsidRPr="00F9771E">
              <w:t xml:space="preserve">2 weeks </w:t>
            </w:r>
            <w:r w:rsidR="00275DC2">
              <w:t xml:space="preserve">and </w:t>
            </w:r>
            <w:r w:rsidRPr="00F9771E">
              <w:t xml:space="preserve">6 weeks, then revert to previous schedule. </w:t>
            </w:r>
          </w:p>
          <w:p w14:paraId="38AEB751" w14:textId="4F331E90" w:rsidR="00F9771E" w:rsidRPr="00F9771E" w:rsidRDefault="00F9771E" w:rsidP="00F9771E">
            <w:r w:rsidRPr="00F9771E">
              <w:t xml:space="preserve"> </w:t>
            </w:r>
          </w:p>
          <w:p w14:paraId="21BB7831" w14:textId="00621E5A" w:rsidR="00F9771E" w:rsidRDefault="00F9771E" w:rsidP="00F9771E">
            <w:r w:rsidRPr="00F9771E">
              <w:rPr>
                <w:b/>
                <w:bCs/>
                <w:u w:val="single"/>
              </w:rPr>
              <w:t>Ongoing monitoring:</w:t>
            </w:r>
            <w:r w:rsidRPr="00F9771E">
              <w:t xml:space="preserve">  </w:t>
            </w:r>
          </w:p>
          <w:p w14:paraId="075ED2EF" w14:textId="77777777" w:rsidR="007C3DBC" w:rsidRPr="00145FA1" w:rsidRDefault="007C3DBC" w:rsidP="007C3DBC">
            <w:r w:rsidRPr="00504F30">
              <w:t>At initiation of shared care, communication to primary care should include current and ongoing dose, any relevant test results, and date the next monitoring is required.</w:t>
            </w:r>
          </w:p>
          <w:p w14:paraId="3672B0FF" w14:textId="60127C12" w:rsidR="007A56FB" w:rsidRPr="0041687B" w:rsidRDefault="00F9771E" w:rsidP="001A51F3">
            <w:pPr>
              <w:rPr>
                <w:rFonts w:cs="Arial"/>
              </w:rPr>
            </w:pPr>
            <w:r w:rsidRPr="00F9771E">
              <w:t xml:space="preserve">The specialist will retain the responsibility for monitoring the patient’s ongoing response to </w:t>
            </w:r>
            <w:proofErr w:type="gramStart"/>
            <w:r w:rsidRPr="00F9771E">
              <w:t>treatment, and</w:t>
            </w:r>
            <w:proofErr w:type="gramEnd"/>
            <w:r w:rsidRPr="00F9771E">
              <w:t xml:space="preserve"> advise if a dose change or treatment cessation is appropriate. This should usually be undertaken annually. After each review, advise primary care whether treatment should be continued, confirm the ongoing dose, and whether the ongoing monitoring outlined in </w:t>
            </w:r>
            <w:hyperlink w:anchor="six_monitoring" w:history="1">
              <w:r w:rsidRPr="00F9771E">
                <w:rPr>
                  <w:rStyle w:val="Hyperlink"/>
                </w:rPr>
                <w:t>section 6</w:t>
              </w:r>
            </w:hyperlink>
            <w:r w:rsidRPr="00F9771E">
              <w:t xml:space="preserve"> remains appropriate. </w:t>
            </w:r>
          </w:p>
        </w:tc>
      </w:tr>
    </w:tbl>
    <w:p w14:paraId="7BD95E7B"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F9771E" w:rsidRPr="00F321FC" w14:paraId="33418424" w14:textId="77777777" w:rsidTr="000B18BF">
        <w:tc>
          <w:tcPr>
            <w:tcW w:w="5245" w:type="dxa"/>
          </w:tcPr>
          <w:p w14:paraId="770C74C6" w14:textId="77777777" w:rsidR="00F9771E" w:rsidRDefault="00F9771E" w:rsidP="001B5AFA">
            <w:pPr>
              <w:pStyle w:val="paragraph"/>
              <w:numPr>
                <w:ilvl w:val="0"/>
                <w:numId w:val="8"/>
              </w:numPr>
              <w:spacing w:before="60" w:beforeAutospacing="0" w:after="60" w:afterAutospacing="0"/>
              <w:textAlignment w:val="baseline"/>
              <w:rPr>
                <w:rFonts w:ascii="Arial" w:hAnsi="Arial" w:cs="Arial"/>
                <w:lang w:eastAsia="en-US"/>
              </w:rPr>
            </w:pPr>
            <w:r>
              <w:rPr>
                <w:rStyle w:val="normaltextrun"/>
                <w:rFonts w:ascii="Arial" w:hAnsi="Arial" w:cs="Arial"/>
                <w:color w:val="000000"/>
                <w:lang w:eastAsia="en-US"/>
              </w:rPr>
              <w:t>FBC </w:t>
            </w:r>
            <w:r>
              <w:rPr>
                <w:rStyle w:val="eop"/>
                <w:rFonts w:ascii="Arial" w:hAnsi="Arial" w:cs="Arial"/>
                <w:color w:val="000000"/>
                <w:lang w:eastAsia="en-US"/>
              </w:rPr>
              <w:t> </w:t>
            </w:r>
          </w:p>
          <w:p w14:paraId="33E8D0BC" w14:textId="41198753" w:rsidR="00F9771E" w:rsidRDefault="00F9771E" w:rsidP="001B5AFA">
            <w:pPr>
              <w:pStyle w:val="paragraph"/>
              <w:numPr>
                <w:ilvl w:val="0"/>
                <w:numId w:val="8"/>
              </w:numPr>
              <w:spacing w:before="60" w:beforeAutospacing="0" w:after="60" w:afterAutospacing="0"/>
              <w:textAlignment w:val="baseline"/>
              <w:rPr>
                <w:rFonts w:ascii="Arial" w:hAnsi="Arial" w:cs="Arial"/>
                <w:lang w:eastAsia="en-US"/>
              </w:rPr>
            </w:pPr>
            <w:r>
              <w:rPr>
                <w:rStyle w:val="normaltextrun"/>
                <w:rFonts w:ascii="Arial" w:hAnsi="Arial" w:cs="Arial"/>
                <w:color w:val="000000"/>
                <w:lang w:eastAsia="en-US"/>
              </w:rPr>
              <w:t xml:space="preserve">U&amp;Es including creatinine and </w:t>
            </w:r>
            <w:r w:rsidR="00D93C82">
              <w:rPr>
                <w:rStyle w:val="normaltextrun"/>
                <w:rFonts w:ascii="Arial" w:hAnsi="Arial" w:cs="Arial"/>
                <w:color w:val="000000"/>
                <w:lang w:eastAsia="en-US"/>
              </w:rPr>
              <w:t>e</w:t>
            </w:r>
            <w:r w:rsidR="00D93C82">
              <w:rPr>
                <w:rStyle w:val="normaltextrun"/>
                <w:rFonts w:ascii="Arial" w:hAnsi="Arial" w:cs="Arial"/>
                <w:color w:val="000000"/>
              </w:rPr>
              <w:t>GFR</w:t>
            </w:r>
            <w:r>
              <w:rPr>
                <w:rStyle w:val="eop"/>
                <w:rFonts w:ascii="Arial" w:hAnsi="Arial" w:cs="Arial"/>
                <w:color w:val="000000"/>
                <w:lang w:eastAsia="en-US"/>
              </w:rPr>
              <w:t> </w:t>
            </w:r>
          </w:p>
          <w:p w14:paraId="4BD7735F" w14:textId="77777777" w:rsidR="00F9771E" w:rsidRPr="00F9771E" w:rsidRDefault="00F9771E" w:rsidP="001B5AFA">
            <w:pPr>
              <w:pStyle w:val="paragraph"/>
              <w:numPr>
                <w:ilvl w:val="0"/>
                <w:numId w:val="8"/>
              </w:numPr>
              <w:spacing w:before="60" w:beforeAutospacing="0" w:after="60" w:afterAutospacing="0"/>
              <w:textAlignment w:val="baseline"/>
              <w:rPr>
                <w:rStyle w:val="eop"/>
                <w:rFonts w:cs="Arial"/>
              </w:rPr>
            </w:pPr>
            <w:r>
              <w:rPr>
                <w:rStyle w:val="normaltextrun"/>
                <w:rFonts w:ascii="Arial" w:hAnsi="Arial" w:cs="Arial"/>
                <w:color w:val="000000"/>
                <w:lang w:eastAsia="en-US"/>
              </w:rPr>
              <w:t>ALT and/or AST and albumin</w:t>
            </w:r>
            <w:r>
              <w:rPr>
                <w:rStyle w:val="eop"/>
                <w:rFonts w:ascii="Arial" w:hAnsi="Arial" w:cs="Arial"/>
                <w:color w:val="000000"/>
                <w:lang w:eastAsia="en-US"/>
              </w:rPr>
              <w:t> </w:t>
            </w:r>
          </w:p>
          <w:p w14:paraId="38C3A527" w14:textId="471E5788" w:rsidR="00F9771E" w:rsidRPr="007A56FB" w:rsidRDefault="00F9771E" w:rsidP="00DD0BC1">
            <w:pPr>
              <w:pStyle w:val="paragraph"/>
              <w:spacing w:before="60" w:beforeAutospacing="0" w:after="60" w:afterAutospacing="0"/>
              <w:ind w:left="360"/>
              <w:textAlignment w:val="baseline"/>
              <w:rPr>
                <w:rFonts w:cs="Arial"/>
              </w:rPr>
            </w:pPr>
          </w:p>
        </w:tc>
        <w:tc>
          <w:tcPr>
            <w:tcW w:w="5245" w:type="dxa"/>
          </w:tcPr>
          <w:p w14:paraId="6902C7C6" w14:textId="61E96C12" w:rsidR="00F9771E" w:rsidRDefault="009D3217" w:rsidP="00F9771E">
            <w:pPr>
              <w:textAlignment w:val="baseline"/>
              <w:rPr>
                <w:rFonts w:eastAsia="Times New Roman" w:cs="Arial"/>
                <w:szCs w:val="24"/>
                <w:lang w:eastAsia="en-GB"/>
              </w:rPr>
            </w:pPr>
            <w:r>
              <w:rPr>
                <w:rFonts w:eastAsia="Times New Roman" w:cs="Arial"/>
                <w:color w:val="000000"/>
                <w:szCs w:val="24"/>
                <w:lang w:eastAsia="en-GB"/>
              </w:rPr>
              <w:t>A</w:t>
            </w:r>
            <w:r w:rsidR="00F9771E">
              <w:rPr>
                <w:rFonts w:eastAsia="Times New Roman" w:cs="Arial"/>
                <w:color w:val="000000"/>
                <w:szCs w:val="24"/>
                <w:lang w:eastAsia="en-GB"/>
              </w:rPr>
              <w:t>t least every 12 weeks, and more frequently in patients at higher risk of toxicity, as advised by the specialist team. </w:t>
            </w:r>
          </w:p>
          <w:p w14:paraId="460119A4" w14:textId="2AB6F39D" w:rsidR="00F9771E" w:rsidRPr="00F321FC" w:rsidRDefault="00F9771E" w:rsidP="00F9771E">
            <w:pPr>
              <w:rPr>
                <w:rFonts w:cs="Arial"/>
              </w:rPr>
            </w:pPr>
            <w:r>
              <w:rPr>
                <w:rFonts w:eastAsia="Times New Roman" w:cs="Arial"/>
                <w:b/>
                <w:bCs/>
                <w:color w:val="000000"/>
                <w:szCs w:val="24"/>
                <w:lang w:eastAsia="en-GB"/>
              </w:rPr>
              <w:t>The exact frequency of monitoring to be communicated by the specialist in all cases</w:t>
            </w:r>
            <w:r>
              <w:rPr>
                <w:rFonts w:eastAsia="Times New Roman" w:cs="Arial"/>
                <w:color w:val="000000"/>
                <w:szCs w:val="24"/>
                <w:lang w:eastAsia="en-GB"/>
              </w:rPr>
              <w:t>. </w:t>
            </w:r>
          </w:p>
        </w:tc>
      </w:tr>
      <w:tr w:rsidR="00F9771E" w:rsidRPr="00F321FC" w14:paraId="60A93057" w14:textId="77777777" w:rsidTr="000B18BF">
        <w:tc>
          <w:tcPr>
            <w:tcW w:w="5245" w:type="dxa"/>
          </w:tcPr>
          <w:p w14:paraId="5A91EDA0" w14:textId="77777777" w:rsidR="00000B8B" w:rsidRPr="007A2C20" w:rsidRDefault="00000B8B" w:rsidP="00000B8B">
            <w:pPr>
              <w:pStyle w:val="Default"/>
              <w:numPr>
                <w:ilvl w:val="0"/>
                <w:numId w:val="9"/>
              </w:numPr>
              <w:spacing w:before="60" w:after="60"/>
              <w:rPr>
                <w:rFonts w:ascii="Arial" w:hAnsi="Arial" w:cs="Arial"/>
                <w:lang w:eastAsia="en-GB"/>
              </w:rPr>
            </w:pPr>
            <w:r w:rsidRPr="007A2C20">
              <w:rPr>
                <w:rFonts w:ascii="Arial" w:hAnsi="Arial" w:cs="Arial"/>
                <w:lang w:eastAsia="en-GB"/>
              </w:rPr>
              <w:t>Patients aged 60-79 years old are eligible for the shingles vaccine (herpes zoster). Patients aged 50 years or older and taking immunosuppressive therapy may also be eligible. Specialist input may be required. R</w:t>
            </w:r>
            <w:r w:rsidRPr="007A2C20">
              <w:rPr>
                <w:rFonts w:ascii="Arial" w:hAnsi="Arial" w:cs="Arial"/>
              </w:rPr>
              <w:t xml:space="preserve">efer to </w:t>
            </w:r>
            <w:hyperlink r:id="rId14" w:history="1">
              <w:r w:rsidRPr="007A2C20">
                <w:rPr>
                  <w:rStyle w:val="Hyperlink"/>
                  <w:rFonts w:ascii="Arial" w:hAnsi="Arial" w:cs="Arial"/>
                </w:rPr>
                <w:t>Green Book Chapter 6 (Contraindications and special considerations)</w:t>
              </w:r>
            </w:hyperlink>
            <w:r w:rsidRPr="007A2C20">
              <w:rPr>
                <w:rStyle w:val="Hyperlink"/>
                <w:rFonts w:ascii="Arial" w:hAnsi="Arial" w:cs="Arial"/>
              </w:rPr>
              <w:t xml:space="preserve"> and </w:t>
            </w:r>
            <w:hyperlink r:id="rId15" w:history="1">
              <w:r w:rsidRPr="007A2C20">
                <w:rPr>
                  <w:rStyle w:val="Hyperlink"/>
                  <w:rFonts w:ascii="Arial" w:hAnsi="Arial" w:cs="Arial"/>
                </w:rPr>
                <w:t>Green Book Chapter 28a (Shingles)</w:t>
              </w:r>
            </w:hyperlink>
            <w:r w:rsidRPr="007A2C20">
              <w:rPr>
                <w:rFonts w:ascii="Arial" w:hAnsi="Arial" w:cs="Arial"/>
              </w:rPr>
              <w:t xml:space="preserve"> </w:t>
            </w:r>
            <w:r w:rsidRPr="007A2C20">
              <w:rPr>
                <w:rFonts w:ascii="Arial" w:hAnsi="Arial" w:cs="Arial"/>
                <w:lang w:eastAsia="en-GB"/>
              </w:rPr>
              <w:t>for further details.</w:t>
            </w:r>
          </w:p>
          <w:p w14:paraId="41613FB5" w14:textId="77777777" w:rsidR="00F9771E" w:rsidRDefault="00F9771E" w:rsidP="00000B8B">
            <w:pPr>
              <w:pStyle w:val="paragraph"/>
              <w:numPr>
                <w:ilvl w:val="0"/>
                <w:numId w:val="9"/>
              </w:numPr>
              <w:spacing w:before="60" w:beforeAutospacing="0" w:after="60" w:afterAutospacing="0"/>
              <w:textAlignment w:val="baseline"/>
              <w:rPr>
                <w:rFonts w:ascii="Arial" w:hAnsi="Arial" w:cs="Arial"/>
                <w:color w:val="000000"/>
                <w:lang w:eastAsia="en-US"/>
              </w:rPr>
            </w:pPr>
            <w:r>
              <w:rPr>
                <w:rStyle w:val="normaltextrun"/>
                <w:rFonts w:ascii="Arial" w:hAnsi="Arial" w:cs="Arial"/>
                <w:b/>
                <w:bCs/>
                <w:color w:val="000000"/>
                <w:lang w:eastAsia="en-US"/>
              </w:rPr>
              <w:t xml:space="preserve">Annual </w:t>
            </w:r>
            <w:r>
              <w:rPr>
                <w:rStyle w:val="normaltextrun"/>
                <w:rFonts w:ascii="Arial" w:hAnsi="Arial" w:cs="Arial"/>
                <w:color w:val="000000"/>
                <w:lang w:eastAsia="en-US"/>
              </w:rPr>
              <w:t>influenza (</w:t>
            </w:r>
            <w:hyperlink r:id="rId16" w:tgtFrame="_blank" w:history="1">
              <w:r>
                <w:rPr>
                  <w:rStyle w:val="normaltextrun"/>
                  <w:rFonts w:ascii="Arial" w:hAnsi="Arial" w:cs="Arial"/>
                  <w:color w:val="0000FF"/>
                  <w:u w:val="single"/>
                  <w:lang w:eastAsia="en-US"/>
                </w:rPr>
                <w:t>The Green Book, Chapter 19</w:t>
              </w:r>
            </w:hyperlink>
            <w:r>
              <w:rPr>
                <w:rStyle w:val="normaltextrun"/>
                <w:rFonts w:ascii="Arial" w:hAnsi="Arial" w:cs="Arial"/>
                <w:color w:val="000000"/>
                <w:lang w:eastAsia="en-US"/>
              </w:rPr>
              <w:t>) vaccinations are recommended.</w:t>
            </w:r>
            <w:r>
              <w:rPr>
                <w:rStyle w:val="eop"/>
                <w:rFonts w:ascii="Arial" w:hAnsi="Arial" w:cs="Arial"/>
                <w:color w:val="000000"/>
                <w:lang w:eastAsia="en-US"/>
              </w:rPr>
              <w:t> </w:t>
            </w:r>
          </w:p>
          <w:p w14:paraId="0C76948D" w14:textId="05978B4F" w:rsidR="00F9771E" w:rsidRPr="00F9771E" w:rsidRDefault="00F9771E" w:rsidP="00000B8B">
            <w:pPr>
              <w:pStyle w:val="paragraph"/>
              <w:numPr>
                <w:ilvl w:val="0"/>
                <w:numId w:val="9"/>
              </w:numPr>
              <w:spacing w:before="60" w:beforeAutospacing="0" w:after="60" w:afterAutospacing="0"/>
              <w:textAlignment w:val="baseline"/>
              <w:rPr>
                <w:rFonts w:ascii="Arial" w:hAnsi="Arial" w:cs="Arial"/>
                <w:color w:val="000000"/>
                <w:lang w:eastAsia="en-US"/>
              </w:rPr>
            </w:pPr>
            <w:r>
              <w:rPr>
                <w:rStyle w:val="normaltextrun"/>
                <w:rFonts w:ascii="Arial" w:hAnsi="Arial" w:cs="Arial"/>
                <w:color w:val="000000"/>
                <w:lang w:eastAsia="en-US"/>
              </w:rPr>
              <w:lastRenderedPageBreak/>
              <w:t xml:space="preserve">COVID-19 vaccination is safe and recommended (see </w:t>
            </w:r>
            <w:hyperlink r:id="rId17" w:tgtFrame="_blank" w:history="1">
              <w:r>
                <w:rPr>
                  <w:rStyle w:val="normaltextrun"/>
                  <w:rFonts w:ascii="Arial" w:hAnsi="Arial" w:cs="Arial"/>
                  <w:color w:val="0000FF"/>
                  <w:u w:val="single"/>
                  <w:lang w:eastAsia="en-US"/>
                </w:rPr>
                <w:t>The Green Book, Chapter 14a</w:t>
              </w:r>
            </w:hyperlink>
            <w:r>
              <w:rPr>
                <w:rStyle w:val="normaltextrun"/>
                <w:rFonts w:ascii="Arial" w:hAnsi="Arial" w:cs="Arial"/>
                <w:color w:val="000000"/>
                <w:lang w:eastAsia="en-US"/>
              </w:rPr>
              <w:t>).</w:t>
            </w:r>
            <w:r>
              <w:rPr>
                <w:rStyle w:val="eop"/>
                <w:rFonts w:ascii="Arial" w:hAnsi="Arial" w:cs="Arial"/>
                <w:color w:val="000000"/>
                <w:lang w:eastAsia="en-US"/>
              </w:rPr>
              <w:t> </w:t>
            </w:r>
          </w:p>
        </w:tc>
        <w:tc>
          <w:tcPr>
            <w:tcW w:w="5245" w:type="dxa"/>
          </w:tcPr>
          <w:p w14:paraId="0ADB351E" w14:textId="135A3C28" w:rsidR="00F9771E" w:rsidRDefault="00F9771E" w:rsidP="001B5AFA">
            <w:pPr>
              <w:pStyle w:val="paragraph"/>
              <w:numPr>
                <w:ilvl w:val="0"/>
                <w:numId w:val="9"/>
              </w:numPr>
              <w:spacing w:before="60" w:beforeAutospacing="0" w:after="60" w:afterAutospacing="0"/>
              <w:textAlignment w:val="baseline"/>
              <w:rPr>
                <w:rFonts w:ascii="Arial" w:hAnsi="Arial" w:cs="Arial"/>
                <w:lang w:eastAsia="en-US"/>
              </w:rPr>
            </w:pPr>
            <w:r>
              <w:rPr>
                <w:rStyle w:val="normaltextrun"/>
                <w:rFonts w:ascii="Arial" w:hAnsi="Arial" w:cs="Arial"/>
                <w:color w:val="000000"/>
                <w:lang w:eastAsia="en-US"/>
              </w:rPr>
              <w:lastRenderedPageBreak/>
              <w:t>Shingles vaccination: one</w:t>
            </w:r>
            <w:r w:rsidR="007A2C20">
              <w:rPr>
                <w:rStyle w:val="normaltextrun"/>
                <w:rFonts w:ascii="Arial" w:hAnsi="Arial" w:cs="Arial"/>
                <w:color w:val="000000"/>
                <w:lang w:eastAsia="en-US"/>
              </w:rPr>
              <w:t xml:space="preserve"> </w:t>
            </w:r>
            <w:r w:rsidR="00603A8A">
              <w:rPr>
                <w:rStyle w:val="normaltextrun"/>
                <w:rFonts w:ascii="Arial" w:hAnsi="Arial" w:cs="Arial"/>
                <w:color w:val="000000"/>
                <w:lang w:eastAsia="en-US"/>
              </w:rPr>
              <w:t>course (two doses)</w:t>
            </w:r>
            <w:r>
              <w:rPr>
                <w:rStyle w:val="normaltextrun"/>
                <w:rFonts w:ascii="Arial" w:hAnsi="Arial" w:cs="Arial"/>
                <w:color w:val="000000"/>
                <w:lang w:eastAsia="en-US"/>
              </w:rPr>
              <w:t>.</w:t>
            </w:r>
            <w:r>
              <w:rPr>
                <w:rStyle w:val="eop"/>
                <w:rFonts w:ascii="Arial" w:hAnsi="Arial" w:cs="Arial"/>
                <w:color w:val="000000"/>
                <w:lang w:eastAsia="en-US"/>
              </w:rPr>
              <w:t> </w:t>
            </w:r>
          </w:p>
          <w:p w14:paraId="16916EE2" w14:textId="77777777" w:rsidR="00F9771E" w:rsidRDefault="00F9771E" w:rsidP="001B5AFA">
            <w:pPr>
              <w:pStyle w:val="paragraph"/>
              <w:numPr>
                <w:ilvl w:val="0"/>
                <w:numId w:val="9"/>
              </w:numPr>
              <w:spacing w:before="60" w:beforeAutospacing="0" w:after="60" w:afterAutospacing="0"/>
              <w:textAlignment w:val="baseline"/>
              <w:rPr>
                <w:rFonts w:ascii="Arial" w:hAnsi="Arial" w:cs="Arial"/>
                <w:lang w:eastAsia="en-US"/>
              </w:rPr>
            </w:pPr>
            <w:r>
              <w:rPr>
                <w:rStyle w:val="normaltextrun"/>
                <w:rFonts w:ascii="Arial" w:hAnsi="Arial" w:cs="Arial"/>
                <w:color w:val="000000"/>
                <w:lang w:eastAsia="en-US"/>
              </w:rPr>
              <w:t>Influenza vaccination: annual. It is advisable to add the patient to the influenza vaccine list.</w:t>
            </w:r>
            <w:r>
              <w:rPr>
                <w:rStyle w:val="eop"/>
                <w:rFonts w:ascii="Arial" w:hAnsi="Arial" w:cs="Arial"/>
                <w:color w:val="000000"/>
                <w:lang w:eastAsia="en-US"/>
              </w:rPr>
              <w:t> </w:t>
            </w:r>
          </w:p>
          <w:p w14:paraId="6457834E" w14:textId="77777777" w:rsidR="00F9771E" w:rsidRDefault="00F9771E" w:rsidP="001B5AFA">
            <w:pPr>
              <w:pStyle w:val="paragraph"/>
              <w:numPr>
                <w:ilvl w:val="0"/>
                <w:numId w:val="9"/>
              </w:numPr>
              <w:spacing w:before="60" w:beforeAutospacing="0" w:after="60" w:afterAutospacing="0"/>
              <w:textAlignment w:val="baseline"/>
              <w:rPr>
                <w:rFonts w:ascii="Arial" w:hAnsi="Arial" w:cs="Arial"/>
                <w:lang w:eastAsia="en-US"/>
              </w:rPr>
            </w:pPr>
            <w:r>
              <w:rPr>
                <w:rStyle w:val="normaltextrun"/>
                <w:rFonts w:ascii="Arial" w:hAnsi="Arial" w:cs="Arial"/>
                <w:color w:val="000000"/>
                <w:lang w:eastAsia="en-US"/>
              </w:rPr>
              <w:t>COVID-19 vaccination as per national schedule.</w:t>
            </w:r>
            <w:r>
              <w:rPr>
                <w:rStyle w:val="eop"/>
                <w:rFonts w:ascii="Arial" w:hAnsi="Arial" w:cs="Arial"/>
                <w:color w:val="000000"/>
                <w:lang w:eastAsia="en-US"/>
              </w:rPr>
              <w:t> </w:t>
            </w:r>
          </w:p>
          <w:p w14:paraId="5A85F8DE" w14:textId="0B43D12D" w:rsidR="00F9771E" w:rsidRPr="00F321FC" w:rsidRDefault="00F9771E" w:rsidP="00F9771E">
            <w:pPr>
              <w:rPr>
                <w:rFonts w:cs="Arial"/>
              </w:rPr>
            </w:pPr>
          </w:p>
        </w:tc>
      </w:tr>
    </w:tbl>
    <w:p w14:paraId="20855291" w14:textId="63AA50ED" w:rsidR="00D15A24" w:rsidRDefault="00D15A24"/>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F9771E" w:rsidRPr="00F321FC" w14:paraId="793C17AD" w14:textId="77777777" w:rsidTr="000B18BF">
        <w:trPr>
          <w:cantSplit/>
        </w:trPr>
        <w:tc>
          <w:tcPr>
            <w:tcW w:w="2410" w:type="dxa"/>
          </w:tcPr>
          <w:p w14:paraId="435FCFFB" w14:textId="2404CE1C" w:rsidR="00F9771E" w:rsidRPr="00F321FC" w:rsidRDefault="00F9771E" w:rsidP="00F9771E">
            <w:pPr>
              <w:rPr>
                <w:rFonts w:cs="Arial"/>
              </w:rPr>
            </w:pPr>
            <w:r w:rsidRPr="00F321FC">
              <w:rPr>
                <w:rFonts w:cs="Arial"/>
              </w:rPr>
              <w:t>Route of administration:</w:t>
            </w:r>
          </w:p>
        </w:tc>
        <w:tc>
          <w:tcPr>
            <w:tcW w:w="8080" w:type="dxa"/>
            <w:vAlign w:val="center"/>
          </w:tcPr>
          <w:p w14:paraId="58A97D63" w14:textId="433F468F" w:rsidR="00F9771E" w:rsidRPr="00F321FC" w:rsidRDefault="00F9771E" w:rsidP="00F9771E">
            <w:pPr>
              <w:rPr>
                <w:rFonts w:cs="Arial"/>
              </w:rPr>
            </w:pPr>
            <w:r>
              <w:rPr>
                <w:rFonts w:eastAsia="Times New Roman" w:cs="Arial"/>
                <w:szCs w:val="24"/>
                <w:lang w:eastAsia="en-GB"/>
              </w:rPr>
              <w:t>Oral</w:t>
            </w:r>
          </w:p>
        </w:tc>
      </w:tr>
      <w:tr w:rsidR="00F9771E" w:rsidRPr="00F321FC" w14:paraId="0E5DDFDD" w14:textId="77777777" w:rsidTr="000B18BF">
        <w:trPr>
          <w:cantSplit/>
        </w:trPr>
        <w:tc>
          <w:tcPr>
            <w:tcW w:w="2410" w:type="dxa"/>
          </w:tcPr>
          <w:p w14:paraId="3B641692" w14:textId="6763D472" w:rsidR="00F9771E" w:rsidRPr="00F321FC" w:rsidRDefault="00F9771E" w:rsidP="00F9771E">
            <w:pPr>
              <w:rPr>
                <w:rFonts w:cs="Arial"/>
              </w:rPr>
            </w:pPr>
            <w:r w:rsidRPr="00F321FC">
              <w:rPr>
                <w:rFonts w:cs="Arial"/>
              </w:rPr>
              <w:t>Formulation:</w:t>
            </w:r>
          </w:p>
        </w:tc>
        <w:tc>
          <w:tcPr>
            <w:tcW w:w="8080" w:type="dxa"/>
            <w:vAlign w:val="center"/>
          </w:tcPr>
          <w:p w14:paraId="6D82C6FB" w14:textId="77777777" w:rsidR="00F9771E" w:rsidRDefault="00F9771E" w:rsidP="00F9771E">
            <w:pPr>
              <w:shd w:val="clear" w:color="auto" w:fill="FFFFFF"/>
              <w:textAlignment w:val="baseline"/>
              <w:rPr>
                <w:rFonts w:eastAsia="Times New Roman" w:cs="Arial"/>
                <w:sz w:val="28"/>
                <w:szCs w:val="28"/>
                <w:lang w:eastAsia="en-GB"/>
              </w:rPr>
            </w:pPr>
            <w:r>
              <w:rPr>
                <w:rFonts w:eastAsia="Times New Roman" w:cs="Arial"/>
                <w:color w:val="000000"/>
                <w:szCs w:val="24"/>
                <w:u w:val="single"/>
                <w:lang w:eastAsia="en-GB"/>
              </w:rPr>
              <w:t>Mycophenolate mofetil</w:t>
            </w:r>
            <w:r>
              <w:rPr>
                <w:rFonts w:eastAsia="Times New Roman" w:cs="Arial"/>
                <w:color w:val="000000"/>
                <w:szCs w:val="24"/>
                <w:lang w:eastAsia="en-GB"/>
              </w:rPr>
              <w:t> </w:t>
            </w:r>
          </w:p>
          <w:p w14:paraId="4D188A69" w14:textId="77777777" w:rsidR="00F9771E" w:rsidRDefault="00F9771E" w:rsidP="00F9771E">
            <w:pPr>
              <w:shd w:val="clear" w:color="auto" w:fill="FFFFFF"/>
              <w:textAlignment w:val="baseline"/>
              <w:rPr>
                <w:rFonts w:eastAsia="Times New Roman" w:cs="Arial"/>
                <w:sz w:val="28"/>
                <w:szCs w:val="28"/>
                <w:lang w:eastAsia="en-GB"/>
              </w:rPr>
            </w:pPr>
            <w:r>
              <w:rPr>
                <w:rFonts w:eastAsia="Times New Roman" w:cs="Arial"/>
                <w:color w:val="000000"/>
                <w:szCs w:val="24"/>
                <w:lang w:eastAsia="en-GB"/>
              </w:rPr>
              <w:t>Mycophenolate mofetil 250 mg capsules </w:t>
            </w:r>
          </w:p>
          <w:p w14:paraId="4182C878" w14:textId="77777777" w:rsidR="00F9771E" w:rsidRDefault="00F9771E" w:rsidP="00F9771E">
            <w:pPr>
              <w:shd w:val="clear" w:color="auto" w:fill="FFFFFF"/>
              <w:textAlignment w:val="baseline"/>
              <w:rPr>
                <w:rFonts w:eastAsia="Times New Roman" w:cs="Arial"/>
                <w:sz w:val="28"/>
                <w:szCs w:val="28"/>
                <w:lang w:eastAsia="en-GB"/>
              </w:rPr>
            </w:pPr>
            <w:r>
              <w:rPr>
                <w:rFonts w:eastAsia="Times New Roman" w:cs="Arial"/>
                <w:color w:val="000000"/>
                <w:szCs w:val="24"/>
                <w:lang w:eastAsia="en-GB"/>
              </w:rPr>
              <w:t>Mycophenolate mofetil 500 mg tablets  </w:t>
            </w:r>
          </w:p>
          <w:p w14:paraId="515173C4" w14:textId="77777777" w:rsidR="00F9771E" w:rsidRDefault="00F9771E" w:rsidP="00F9771E">
            <w:pPr>
              <w:shd w:val="clear" w:color="auto" w:fill="FFFFFF"/>
              <w:textAlignment w:val="baseline"/>
              <w:rPr>
                <w:rFonts w:eastAsia="Times New Roman" w:cs="Arial"/>
                <w:sz w:val="28"/>
                <w:szCs w:val="28"/>
                <w:lang w:eastAsia="en-GB"/>
              </w:rPr>
            </w:pPr>
            <w:r>
              <w:rPr>
                <w:rFonts w:eastAsia="Times New Roman" w:cs="Arial"/>
                <w:color w:val="000000"/>
                <w:szCs w:val="24"/>
                <w:lang w:eastAsia="en-GB"/>
              </w:rPr>
              <w:t>Mycophenolate mofetil 1g/5mL powder for oral suspension.  </w:t>
            </w:r>
          </w:p>
          <w:p w14:paraId="49EEA89A" w14:textId="77777777" w:rsidR="00F9771E" w:rsidRDefault="00F9771E" w:rsidP="00F9771E">
            <w:pPr>
              <w:shd w:val="clear" w:color="auto" w:fill="FFFFFF"/>
              <w:textAlignment w:val="baseline"/>
              <w:rPr>
                <w:rFonts w:eastAsia="Times New Roman" w:cs="Arial"/>
                <w:color w:val="000000"/>
                <w:szCs w:val="24"/>
                <w:lang w:eastAsia="en-GB"/>
              </w:rPr>
            </w:pPr>
            <w:r>
              <w:rPr>
                <w:rFonts w:eastAsia="Times New Roman" w:cs="Arial"/>
                <w:color w:val="000000"/>
                <w:szCs w:val="24"/>
                <w:lang w:eastAsia="en-GB"/>
              </w:rPr>
              <w:t xml:space="preserve">Mycophenolate should be prescribed generically, and not by brand name. Brands include </w:t>
            </w:r>
            <w:proofErr w:type="spellStart"/>
            <w:r>
              <w:rPr>
                <w:rFonts w:eastAsia="Times New Roman" w:cs="Arial"/>
                <w:color w:val="000000"/>
                <w:szCs w:val="24"/>
                <w:lang w:eastAsia="en-GB"/>
              </w:rPr>
              <w:t>Cellcept</w:t>
            </w:r>
            <w:proofErr w:type="spellEnd"/>
            <w:r w:rsidRPr="00F9771E">
              <w:rPr>
                <w:rFonts w:eastAsia="Times New Roman" w:cs="Arial"/>
                <w:color w:val="000000"/>
                <w:szCs w:val="24"/>
                <w:vertAlign w:val="superscript"/>
                <w:lang w:eastAsia="en-GB"/>
              </w:rPr>
              <w:t>®</w:t>
            </w:r>
            <w:r>
              <w:rPr>
                <w:rFonts w:eastAsia="Times New Roman" w:cs="Arial"/>
                <w:color w:val="000000"/>
                <w:szCs w:val="24"/>
                <w:lang w:eastAsia="en-GB"/>
              </w:rPr>
              <w:t xml:space="preserve"> and </w:t>
            </w:r>
            <w:proofErr w:type="spellStart"/>
            <w:r>
              <w:rPr>
                <w:rFonts w:eastAsia="Times New Roman" w:cs="Arial"/>
                <w:color w:val="000000"/>
                <w:szCs w:val="24"/>
                <w:lang w:eastAsia="en-GB"/>
              </w:rPr>
              <w:t>Myfenax</w:t>
            </w:r>
            <w:proofErr w:type="spellEnd"/>
            <w:r w:rsidRPr="00F9771E">
              <w:rPr>
                <w:rFonts w:eastAsia="Times New Roman" w:cs="Arial"/>
                <w:color w:val="000000"/>
                <w:szCs w:val="24"/>
                <w:vertAlign w:val="superscript"/>
                <w:lang w:eastAsia="en-GB"/>
              </w:rPr>
              <w:t>®</w:t>
            </w:r>
            <w:r>
              <w:rPr>
                <w:rFonts w:eastAsia="Times New Roman" w:cs="Arial"/>
                <w:color w:val="000000"/>
                <w:szCs w:val="24"/>
                <w:lang w:eastAsia="en-GB"/>
              </w:rPr>
              <w:t>; generics are available and may be more cost effective. </w:t>
            </w:r>
          </w:p>
          <w:p w14:paraId="3CD30DAE" w14:textId="1B4890FB" w:rsidR="00F9771E" w:rsidRDefault="00F9771E" w:rsidP="00F9771E">
            <w:pPr>
              <w:shd w:val="clear" w:color="auto" w:fill="FFFFFF"/>
              <w:textAlignment w:val="baseline"/>
              <w:rPr>
                <w:rFonts w:eastAsia="Times New Roman" w:cs="Arial"/>
                <w:sz w:val="28"/>
                <w:szCs w:val="28"/>
                <w:lang w:eastAsia="en-GB"/>
              </w:rPr>
            </w:pPr>
            <w:r>
              <w:rPr>
                <w:rFonts w:eastAsia="Times New Roman" w:cs="Arial"/>
                <w:color w:val="000000"/>
                <w:szCs w:val="24"/>
                <w:lang w:eastAsia="en-GB"/>
              </w:rPr>
              <w:t> </w:t>
            </w:r>
          </w:p>
          <w:p w14:paraId="07C0A022" w14:textId="77777777" w:rsidR="00F9771E" w:rsidRDefault="00F9771E" w:rsidP="00F9771E">
            <w:pPr>
              <w:shd w:val="clear" w:color="auto" w:fill="FFFFFF"/>
              <w:textAlignment w:val="baseline"/>
              <w:rPr>
                <w:rFonts w:eastAsia="Times New Roman" w:cs="Arial"/>
                <w:sz w:val="28"/>
                <w:szCs w:val="28"/>
                <w:lang w:eastAsia="en-GB"/>
              </w:rPr>
            </w:pPr>
            <w:r>
              <w:rPr>
                <w:rFonts w:eastAsia="Times New Roman" w:cs="Arial"/>
                <w:color w:val="000000"/>
                <w:szCs w:val="24"/>
                <w:u w:val="single"/>
                <w:lang w:eastAsia="en-GB"/>
              </w:rPr>
              <w:t>Mycophenolic acid</w:t>
            </w:r>
            <w:r>
              <w:rPr>
                <w:rFonts w:eastAsia="Times New Roman" w:cs="Arial"/>
                <w:color w:val="000000"/>
                <w:szCs w:val="24"/>
                <w:lang w:eastAsia="en-GB"/>
              </w:rPr>
              <w:t> </w:t>
            </w:r>
          </w:p>
          <w:p w14:paraId="03CBFC9E" w14:textId="77777777" w:rsidR="00F9771E" w:rsidRDefault="00F9771E" w:rsidP="00F9771E">
            <w:pPr>
              <w:shd w:val="clear" w:color="auto" w:fill="FFFFFF"/>
              <w:textAlignment w:val="baseline"/>
              <w:rPr>
                <w:rFonts w:eastAsia="Times New Roman" w:cs="Arial"/>
                <w:color w:val="000000"/>
                <w:szCs w:val="24"/>
                <w:lang w:eastAsia="en-GB"/>
              </w:rPr>
            </w:pPr>
            <w:r>
              <w:rPr>
                <w:rFonts w:eastAsia="Times New Roman" w:cs="Arial"/>
                <w:color w:val="000000"/>
                <w:szCs w:val="24"/>
                <w:lang w:eastAsia="en-GB"/>
              </w:rPr>
              <w:t>Mycophenolic acid gastro-resistant capsules 180 mg and 360 mg tablets </w:t>
            </w:r>
          </w:p>
          <w:p w14:paraId="23985E73" w14:textId="528838FF" w:rsidR="00816AA0" w:rsidRDefault="00816AA0" w:rsidP="00F9771E">
            <w:pPr>
              <w:shd w:val="clear" w:color="auto" w:fill="FFFFFF"/>
              <w:textAlignment w:val="baseline"/>
              <w:rPr>
                <w:rFonts w:eastAsia="Times New Roman" w:cs="Arial"/>
                <w:sz w:val="28"/>
                <w:szCs w:val="28"/>
                <w:lang w:eastAsia="en-GB"/>
              </w:rPr>
            </w:pPr>
            <w:r>
              <w:rPr>
                <w:rFonts w:eastAsia="Times New Roman"/>
                <w:szCs w:val="24"/>
                <w:lang w:eastAsia="en-GB"/>
              </w:rPr>
              <w:t xml:space="preserve">Brands include </w:t>
            </w:r>
            <w:proofErr w:type="spellStart"/>
            <w:r>
              <w:rPr>
                <w:rFonts w:eastAsia="Times New Roman"/>
                <w:szCs w:val="24"/>
                <w:lang w:eastAsia="en-GB"/>
              </w:rPr>
              <w:t>Ceptava</w:t>
            </w:r>
            <w:proofErr w:type="spellEnd"/>
            <w:r w:rsidRPr="00974B6C">
              <w:rPr>
                <w:rFonts w:eastAsia="Times New Roman"/>
                <w:szCs w:val="24"/>
                <w:vertAlign w:val="superscript"/>
                <w:lang w:eastAsia="en-GB"/>
              </w:rPr>
              <w:t>®</w:t>
            </w:r>
            <w:r>
              <w:rPr>
                <w:rFonts w:eastAsia="Times New Roman"/>
                <w:szCs w:val="24"/>
                <w:lang w:eastAsia="en-GB"/>
              </w:rPr>
              <w:t xml:space="preserve"> and </w:t>
            </w:r>
            <w:proofErr w:type="spellStart"/>
            <w:r>
              <w:rPr>
                <w:rFonts w:eastAsia="Times New Roman"/>
                <w:szCs w:val="24"/>
                <w:lang w:eastAsia="en-GB"/>
              </w:rPr>
              <w:t>Myfortic</w:t>
            </w:r>
            <w:proofErr w:type="spellEnd"/>
            <w:r w:rsidRPr="00974B6C">
              <w:rPr>
                <w:rFonts w:eastAsia="Times New Roman"/>
                <w:szCs w:val="24"/>
                <w:vertAlign w:val="superscript"/>
                <w:lang w:eastAsia="en-GB"/>
              </w:rPr>
              <w:t>®</w:t>
            </w:r>
            <w:r>
              <w:rPr>
                <w:rFonts w:eastAsia="Times New Roman"/>
                <w:szCs w:val="24"/>
                <w:lang w:eastAsia="en-GB"/>
              </w:rPr>
              <w:t>.</w:t>
            </w:r>
          </w:p>
          <w:p w14:paraId="09C2B9C8" w14:textId="43A6D8B8" w:rsidR="00F9771E" w:rsidRPr="00F321FC" w:rsidRDefault="00F9771E" w:rsidP="00F9771E">
            <w:pPr>
              <w:rPr>
                <w:rFonts w:cs="Arial"/>
              </w:rPr>
            </w:pPr>
            <w:r>
              <w:rPr>
                <w:rFonts w:eastAsia="Times New Roman" w:cs="Arial"/>
                <w:color w:val="000000"/>
                <w:szCs w:val="24"/>
                <w:lang w:eastAsia="en-GB"/>
              </w:rPr>
              <w:t>Mycophenolic acid 720 mg is approximately equivalent to mycophenolate mofetil 1 </w:t>
            </w:r>
            <w:proofErr w:type="gramStart"/>
            <w:r>
              <w:rPr>
                <w:rFonts w:eastAsia="Times New Roman" w:cs="Arial"/>
                <w:color w:val="000000"/>
                <w:szCs w:val="24"/>
                <w:lang w:eastAsia="en-GB"/>
              </w:rPr>
              <w:t>g</w:t>
            </w:r>
            <w:proofErr w:type="gramEnd"/>
            <w:r>
              <w:rPr>
                <w:rFonts w:eastAsia="Times New Roman" w:cs="Arial"/>
                <w:color w:val="000000"/>
                <w:szCs w:val="24"/>
                <w:lang w:eastAsia="en-GB"/>
              </w:rPr>
              <w:t xml:space="preserve"> but unnecessary switching should be avoided, due to pharmacokinetic differences. Mycophenolic acid should usually be reserved for patients who do not tolerate mycophenolate mofetil. </w:t>
            </w:r>
          </w:p>
        </w:tc>
      </w:tr>
      <w:tr w:rsidR="00F9771E" w:rsidRPr="00F321FC" w14:paraId="4D08654E" w14:textId="77777777" w:rsidTr="000B18BF">
        <w:trPr>
          <w:cantSplit/>
        </w:trPr>
        <w:tc>
          <w:tcPr>
            <w:tcW w:w="2410" w:type="dxa"/>
          </w:tcPr>
          <w:p w14:paraId="5807ABCD" w14:textId="7BDA162B" w:rsidR="00F9771E" w:rsidRPr="00F321FC" w:rsidRDefault="00F9771E" w:rsidP="00F9771E">
            <w:pPr>
              <w:rPr>
                <w:rFonts w:cs="Arial"/>
              </w:rPr>
            </w:pPr>
            <w:r w:rsidRPr="00F321FC">
              <w:rPr>
                <w:rFonts w:cs="Arial"/>
              </w:rPr>
              <w:t>Administration details:</w:t>
            </w:r>
          </w:p>
        </w:tc>
        <w:tc>
          <w:tcPr>
            <w:tcW w:w="8080" w:type="dxa"/>
            <w:vAlign w:val="center"/>
          </w:tcPr>
          <w:p w14:paraId="72D4E1D5" w14:textId="77777777" w:rsidR="00F9771E" w:rsidRDefault="00F9771E" w:rsidP="00F9771E">
            <w:pPr>
              <w:textAlignment w:val="baseline"/>
              <w:rPr>
                <w:rFonts w:eastAsia="Times New Roman" w:cs="Arial"/>
                <w:sz w:val="24"/>
                <w:szCs w:val="24"/>
                <w:lang w:eastAsia="en-GB"/>
              </w:rPr>
            </w:pPr>
            <w:r>
              <w:rPr>
                <w:rFonts w:eastAsia="Times New Roman" w:cs="Arial"/>
                <w:color w:val="000000"/>
                <w:szCs w:val="24"/>
                <w:lang w:eastAsia="en-GB"/>
              </w:rPr>
              <w:t>Mycophenolate mofetil can be taken with or without food. </w:t>
            </w:r>
          </w:p>
          <w:p w14:paraId="3956ABC5" w14:textId="2DAEF428" w:rsidR="00F9771E" w:rsidRPr="00F9771E" w:rsidRDefault="00F9771E" w:rsidP="00F9771E">
            <w:pPr>
              <w:textAlignment w:val="baseline"/>
              <w:rPr>
                <w:rFonts w:eastAsia="Times New Roman" w:cs="Arial"/>
                <w:szCs w:val="24"/>
                <w:lang w:eastAsia="en-GB"/>
              </w:rPr>
            </w:pPr>
            <w:r>
              <w:rPr>
                <w:rFonts w:eastAsia="Times New Roman" w:cs="Arial"/>
                <w:szCs w:val="24"/>
                <w:lang w:eastAsia="en-GB"/>
              </w:rPr>
              <w:t xml:space="preserve">If a dose is missed it should be taken as soon as remembered, then dosing resumed at the usual times. However, </w:t>
            </w:r>
            <w:r>
              <w:rPr>
                <w:rFonts w:eastAsia="Times New Roman" w:cs="Arial"/>
                <w:szCs w:val="24"/>
                <w:u w:val="single"/>
                <w:lang w:eastAsia="en-GB"/>
              </w:rPr>
              <w:t>a double dose should not be taken to make up for a missed dose.</w:t>
            </w:r>
            <w:r>
              <w:rPr>
                <w:rFonts w:eastAsia="Times New Roman" w:cs="Arial"/>
                <w:szCs w:val="24"/>
                <w:lang w:eastAsia="en-GB"/>
              </w:rPr>
              <w:t> </w:t>
            </w:r>
          </w:p>
        </w:tc>
      </w:tr>
      <w:tr w:rsidR="00F9771E" w:rsidRPr="00F321FC" w14:paraId="1BF5C41D" w14:textId="77777777" w:rsidTr="000B18BF">
        <w:trPr>
          <w:cantSplit/>
        </w:trPr>
        <w:tc>
          <w:tcPr>
            <w:tcW w:w="2410" w:type="dxa"/>
          </w:tcPr>
          <w:p w14:paraId="00D209C3" w14:textId="4AA020DB" w:rsidR="00F9771E" w:rsidRPr="00F321FC" w:rsidRDefault="00F9771E" w:rsidP="00F9771E">
            <w:pPr>
              <w:rPr>
                <w:rFonts w:cs="Arial"/>
              </w:rPr>
            </w:pPr>
            <w:r>
              <w:rPr>
                <w:rFonts w:cs="Arial"/>
              </w:rPr>
              <w:t xml:space="preserve">Other important information: </w:t>
            </w:r>
          </w:p>
        </w:tc>
        <w:tc>
          <w:tcPr>
            <w:tcW w:w="8080" w:type="dxa"/>
            <w:vAlign w:val="center"/>
          </w:tcPr>
          <w:p w14:paraId="14CD1D9D" w14:textId="1D3BD434" w:rsidR="00F9771E" w:rsidRPr="00F9771E" w:rsidRDefault="00F9771E" w:rsidP="00F9771E">
            <w:pPr>
              <w:textAlignment w:val="baseline"/>
              <w:rPr>
                <w:rFonts w:eastAsia="Times New Roman" w:cs="Arial"/>
                <w:szCs w:val="24"/>
                <w:lang w:eastAsia="en-GB"/>
              </w:rPr>
            </w:pPr>
            <w:r>
              <w:rPr>
                <w:rFonts w:eastAsia="Times New Roman" w:cs="Arial"/>
                <w:color w:val="000000"/>
                <w:szCs w:val="24"/>
                <w:lang w:eastAsia="en-GB"/>
              </w:rPr>
              <w:t xml:space="preserve">Capsules and tablets should not be opened crushed, or chewed, to avoid inhalation or direct contact with skin or mucus membranes of the active substance. If such contact occurs, wash thoroughly with soap and </w:t>
            </w:r>
            <w:proofErr w:type="gramStart"/>
            <w:r>
              <w:rPr>
                <w:rFonts w:eastAsia="Times New Roman" w:cs="Arial"/>
                <w:color w:val="000000"/>
                <w:szCs w:val="24"/>
                <w:lang w:eastAsia="en-GB"/>
              </w:rPr>
              <w:t>water;</w:t>
            </w:r>
            <w:proofErr w:type="gramEnd"/>
            <w:r>
              <w:rPr>
                <w:rFonts w:eastAsia="Times New Roman" w:cs="Arial"/>
                <w:color w:val="000000"/>
                <w:szCs w:val="24"/>
                <w:lang w:eastAsia="en-GB"/>
              </w:rPr>
              <w:t xml:space="preserve"> rinse eyes with plain water. </w:t>
            </w:r>
          </w:p>
        </w:tc>
      </w:tr>
    </w:tbl>
    <w:p w14:paraId="2699777B"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F132AA" w:rsidRPr="00F321FC" w14:paraId="4A999C67" w14:textId="77777777" w:rsidTr="0051526F">
        <w:tc>
          <w:tcPr>
            <w:tcW w:w="2204" w:type="dxa"/>
          </w:tcPr>
          <w:p w14:paraId="6BB97933" w14:textId="5394937C" w:rsidR="00F132AA" w:rsidRPr="00F321FC" w:rsidRDefault="00BA2628" w:rsidP="00BA2628">
            <w:pPr>
              <w:pStyle w:val="Heading2"/>
              <w:rPr>
                <w:rFonts w:cs="Arial"/>
              </w:rPr>
            </w:pPr>
            <w:bookmarkStart w:id="13" w:name="eight_cautions_cx"/>
            <w:bookmarkStart w:id="14" w:name="_Toc149231792"/>
            <w:r w:rsidRPr="00F321FC">
              <w:rPr>
                <w:rFonts w:cs="Arial"/>
              </w:rPr>
              <w:t>C</w:t>
            </w:r>
            <w:r w:rsidR="0041687B">
              <w:rPr>
                <w:rFonts w:cs="Arial"/>
              </w:rPr>
              <w:t>autions and c</w:t>
            </w:r>
            <w:r w:rsidRPr="00F321FC">
              <w:rPr>
                <w:rFonts w:cs="Arial"/>
              </w:rPr>
              <w:t>ontraindications</w:t>
            </w:r>
            <w:bookmarkEnd w:id="13"/>
            <w:bookmarkEnd w:id="14"/>
          </w:p>
        </w:tc>
        <w:tc>
          <w:tcPr>
            <w:tcW w:w="8257" w:type="dxa"/>
          </w:tcPr>
          <w:p w14:paraId="6C8F1AB5" w14:textId="13B6811E" w:rsidR="00F132AA" w:rsidRPr="003758EE" w:rsidRDefault="00FB404F" w:rsidP="003758EE">
            <w:pPr>
              <w:rPr>
                <w:rFonts w:cs="Arial"/>
              </w:rPr>
            </w:pPr>
            <w:r w:rsidRPr="003758EE">
              <w:rPr>
                <w:rFonts w:cs="Arial"/>
              </w:rPr>
              <w:t>This information does not replace the Summary of Product Characteristics (SPC</w:t>
            </w:r>
            <w:proofErr w:type="gramStart"/>
            <w:r w:rsidRPr="003758EE">
              <w:rPr>
                <w:rFonts w:cs="Arial"/>
              </w:rPr>
              <w:t>), and</w:t>
            </w:r>
            <w:proofErr w:type="gramEnd"/>
            <w:r w:rsidRPr="003758EE">
              <w:rPr>
                <w:rFonts w:cs="Arial"/>
              </w:rPr>
              <w:t xml:space="preserve"> should be read in conjunction with it. Please see BNF &amp; SPC for comprehensive information.</w:t>
            </w:r>
          </w:p>
          <w:p w14:paraId="004A4D13" w14:textId="77777777" w:rsidR="00FB404F" w:rsidRPr="003758EE" w:rsidRDefault="00FB404F" w:rsidP="003758EE">
            <w:pPr>
              <w:rPr>
                <w:rFonts w:cs="Arial"/>
              </w:rPr>
            </w:pPr>
          </w:p>
          <w:p w14:paraId="5074DDE0" w14:textId="77777777" w:rsidR="00FB404F" w:rsidRPr="003758EE" w:rsidRDefault="00FB404F" w:rsidP="003758EE">
            <w:pPr>
              <w:rPr>
                <w:rFonts w:cs="Arial"/>
                <w:b/>
                <w:bCs/>
              </w:rPr>
            </w:pPr>
            <w:r w:rsidRPr="003758EE">
              <w:rPr>
                <w:rFonts w:cs="Arial"/>
                <w:b/>
                <w:bCs/>
              </w:rPr>
              <w:t xml:space="preserve">Contraindications: </w:t>
            </w:r>
          </w:p>
          <w:p w14:paraId="3A0BD2F0" w14:textId="66058A8F" w:rsidR="003758EE" w:rsidRPr="003758EE" w:rsidRDefault="003758EE" w:rsidP="001B5AFA">
            <w:pPr>
              <w:pStyle w:val="ListParagraph"/>
              <w:numPr>
                <w:ilvl w:val="0"/>
                <w:numId w:val="10"/>
              </w:numPr>
              <w:rPr>
                <w:rFonts w:cs="Arial"/>
              </w:rPr>
            </w:pPr>
            <w:r w:rsidRPr="003758EE">
              <w:rPr>
                <w:rFonts w:cs="Arial"/>
              </w:rPr>
              <w:t xml:space="preserve">Hypersensitivity to mycophenolate mofetil or any excipients </w:t>
            </w:r>
          </w:p>
          <w:p w14:paraId="2C678D4C" w14:textId="6639537A" w:rsidR="001A51F3" w:rsidRPr="003758EE" w:rsidRDefault="003758EE" w:rsidP="001B5AFA">
            <w:pPr>
              <w:pStyle w:val="ListParagraph"/>
              <w:numPr>
                <w:ilvl w:val="0"/>
                <w:numId w:val="10"/>
              </w:numPr>
              <w:rPr>
                <w:rFonts w:cs="Arial"/>
              </w:rPr>
            </w:pPr>
            <w:r w:rsidRPr="003758EE">
              <w:rPr>
                <w:rFonts w:cs="Arial"/>
              </w:rPr>
              <w:t>Pregnancy or breastfeeding</w:t>
            </w:r>
            <w:r w:rsidR="007D1085">
              <w:rPr>
                <w:rFonts w:cs="Arial"/>
              </w:rPr>
              <w:t xml:space="preserve">. </w:t>
            </w:r>
            <w:r w:rsidR="007D1085" w:rsidRPr="007D1085">
              <w:rPr>
                <w:rFonts w:cs="Arial"/>
              </w:rPr>
              <w:t>Treatment should not be initiated without providing a negative pregnancy test</w:t>
            </w:r>
            <w:r w:rsidR="007D1085">
              <w:rPr>
                <w:rFonts w:cs="Arial"/>
              </w:rPr>
              <w:t>.</w:t>
            </w:r>
          </w:p>
          <w:p w14:paraId="1A4D3424" w14:textId="77777777" w:rsidR="007A56FB" w:rsidRPr="003758EE" w:rsidRDefault="007A56FB" w:rsidP="003758EE">
            <w:pPr>
              <w:rPr>
                <w:rFonts w:cs="Arial"/>
              </w:rPr>
            </w:pPr>
          </w:p>
          <w:p w14:paraId="14A2CAB8" w14:textId="77777777" w:rsidR="00FB404F" w:rsidRPr="003758EE" w:rsidRDefault="00FB404F" w:rsidP="003758EE">
            <w:pPr>
              <w:rPr>
                <w:rFonts w:cs="Arial"/>
                <w:b/>
                <w:bCs/>
              </w:rPr>
            </w:pPr>
            <w:r w:rsidRPr="003758EE">
              <w:rPr>
                <w:rFonts w:cs="Arial"/>
                <w:b/>
                <w:bCs/>
              </w:rPr>
              <w:t>Cautions:</w:t>
            </w:r>
          </w:p>
          <w:p w14:paraId="528F6274"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Localised or systemic infection. </w:t>
            </w:r>
          </w:p>
          <w:p w14:paraId="61C0D71A"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Very frail or elderly patients. </w:t>
            </w:r>
          </w:p>
          <w:p w14:paraId="3E08EDEA"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lastRenderedPageBreak/>
              <w:t>Patients with suspected lymphoproliferative disorder. </w:t>
            </w:r>
          </w:p>
          <w:p w14:paraId="779C124E"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Patients with unexplained anaemia, leukopenia or thrombocytopenia. </w:t>
            </w:r>
          </w:p>
          <w:p w14:paraId="3977348B"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Active gastrointestinal disease. </w:t>
            </w:r>
          </w:p>
          <w:p w14:paraId="2D279C3A"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 xml:space="preserve">Live vaccines (e.g. oral polio, oral typhoid, MMR, BCG, yellow fever): should usually be avoided in patients taking mycophenolate. Live shingles vaccine should be avoided in patients taking mycophenolate 1g/day or more, or lower doses together with prednisolone 7.5 mg/day or more.  Please refer to the </w:t>
            </w:r>
            <w:hyperlink r:id="rId18" w:tgtFrame="_blank" w:history="1">
              <w:r w:rsidRPr="003758EE">
                <w:rPr>
                  <w:rFonts w:eastAsia="Times New Roman" w:cs="Arial"/>
                  <w:color w:val="0000FF"/>
                  <w:u w:val="single"/>
                  <w:lang w:eastAsia="en-GB"/>
                </w:rPr>
                <w:t>Green Book Chapter 6</w:t>
              </w:r>
            </w:hyperlink>
            <w:r w:rsidRPr="003758EE">
              <w:rPr>
                <w:rFonts w:eastAsia="Times New Roman" w:cs="Arial"/>
                <w:color w:val="000000"/>
                <w:lang w:eastAsia="en-GB"/>
              </w:rPr>
              <w:t xml:space="preserve"> (cautions and contraindications), together with chapters for the specific vaccine under consideration, for current advice. A non-live vaccine can still be used. Contact the specialist if further guidance is required.  </w:t>
            </w:r>
          </w:p>
          <w:p w14:paraId="396889F7"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As there is a potential increased risk of malignancy, any pre-malignant disease should be adequately treated before starting therapy and patients should be up to date with relevant national cancer screening programmes.</w:t>
            </w:r>
          </w:p>
          <w:p w14:paraId="7A81A20B"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Due to the increased risk of skin cancer, exposure to sunlight and UV light should be limited by wearing protective clothing and using a sunscreen with a high protection factor </w:t>
            </w:r>
          </w:p>
          <w:p w14:paraId="5A326D9D"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Avoid if previous hepatitis B or C infection, or recurrent shingles  </w:t>
            </w:r>
          </w:p>
          <w:p w14:paraId="5BA41658"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Marked renal failure (eGFR below 25 mL/min). </w:t>
            </w:r>
          </w:p>
          <w:p w14:paraId="40FA26E7" w14:textId="1C7D6BC2"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 xml:space="preserve">Paternal exposure. See </w:t>
            </w:r>
            <w:hyperlink w:anchor="twelve_pregnancy" w:tgtFrame="_blank" w:history="1">
              <w:r w:rsidRPr="003758EE">
                <w:rPr>
                  <w:rFonts w:eastAsia="Times New Roman" w:cs="Arial"/>
                  <w:color w:val="0000FF"/>
                  <w:u w:val="single"/>
                  <w:lang w:eastAsia="en-GB"/>
                </w:rPr>
                <w:t>section 1</w:t>
              </w:r>
              <w:r w:rsidR="00D06F14">
                <w:rPr>
                  <w:rFonts w:eastAsia="Times New Roman" w:cs="Arial"/>
                  <w:color w:val="0000FF"/>
                  <w:u w:val="single"/>
                  <w:lang w:eastAsia="en-GB"/>
                </w:rPr>
                <w:t>2</w:t>
              </w:r>
            </w:hyperlink>
            <w:r w:rsidR="007D1085">
              <w:rPr>
                <w:rFonts w:eastAsia="Times New Roman" w:cs="Arial"/>
                <w:color w:val="0000FF"/>
                <w:u w:val="single"/>
                <w:lang w:eastAsia="en-GB"/>
              </w:rPr>
              <w:t xml:space="preserve"> and </w:t>
            </w:r>
            <w:hyperlink r:id="rId19" w:history="1">
              <w:r w:rsidR="007D1085" w:rsidRPr="007D1085">
                <w:rPr>
                  <w:rStyle w:val="Hyperlink"/>
                  <w:rFonts w:eastAsia="Times New Roman" w:cs="Arial"/>
                  <w:lang w:eastAsia="en-GB"/>
                </w:rPr>
                <w:t>MHRA advice</w:t>
              </w:r>
            </w:hyperlink>
            <w:r w:rsidRPr="003758EE">
              <w:rPr>
                <w:rFonts w:eastAsia="Times New Roman" w:cs="Arial"/>
                <w:color w:val="000000"/>
                <w:lang w:eastAsia="en-GB"/>
              </w:rPr>
              <w:t>.  </w:t>
            </w:r>
          </w:p>
          <w:p w14:paraId="57B34C33" w14:textId="77777777" w:rsidR="003758EE" w:rsidRPr="003758EE" w:rsidRDefault="003758EE" w:rsidP="001B5AFA">
            <w:pPr>
              <w:numPr>
                <w:ilvl w:val="0"/>
                <w:numId w:val="11"/>
              </w:numPr>
              <w:ind w:left="379" w:hanging="357"/>
              <w:textAlignment w:val="baseline"/>
              <w:rPr>
                <w:rFonts w:eastAsia="Times New Roman" w:cs="Arial"/>
                <w:lang w:eastAsia="en-GB"/>
              </w:rPr>
            </w:pPr>
            <w:r w:rsidRPr="003758EE">
              <w:rPr>
                <w:rFonts w:eastAsia="Times New Roman" w:cs="Arial"/>
                <w:color w:val="000000"/>
                <w:lang w:eastAsia="en-GB"/>
              </w:rPr>
              <w:t>Patients should not donate blood during therapy or for at least 6 weeks following discontinuation of mycophenolate. Men should not donate semen during therapy or for 90 days following discontinuation of mycophenolate. </w:t>
            </w:r>
          </w:p>
          <w:p w14:paraId="147F2A08" w14:textId="77777777"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In addition, the MHRA have also issued the following Drug Safety Updates for mycophenolate: </w:t>
            </w:r>
          </w:p>
          <w:p w14:paraId="507973C9" w14:textId="77777777" w:rsidR="003758EE" w:rsidRPr="003758EE" w:rsidRDefault="003758EE" w:rsidP="001B5AFA">
            <w:pPr>
              <w:numPr>
                <w:ilvl w:val="0"/>
                <w:numId w:val="12"/>
              </w:numPr>
              <w:textAlignment w:val="baseline"/>
              <w:rPr>
                <w:rFonts w:cs="Arial"/>
              </w:rPr>
            </w:pPr>
            <w:hyperlink r:id="rId20" w:tgtFrame="_blank" w:history="1">
              <w:r w:rsidRPr="003758EE">
                <w:rPr>
                  <w:rFonts w:eastAsia="Times New Roman" w:cs="Arial"/>
                  <w:color w:val="0000FF"/>
                  <w:u w:val="single"/>
                  <w:lang w:eastAsia="en-GB"/>
                </w:rPr>
                <w:t>Mycophenolate mofetil: pure red cell aplasia</w:t>
              </w:r>
            </w:hyperlink>
            <w:r w:rsidRPr="003758EE">
              <w:rPr>
                <w:rFonts w:eastAsia="Times New Roman" w:cs="Arial"/>
                <w:color w:val="000000"/>
                <w:lang w:eastAsia="en-GB"/>
              </w:rPr>
              <w:t xml:space="preserve"> (Dec 2014) </w:t>
            </w:r>
          </w:p>
          <w:p w14:paraId="456B90AA" w14:textId="7980779B" w:rsidR="00FE3EEF" w:rsidRPr="003758EE" w:rsidRDefault="003758EE" w:rsidP="001B5AFA">
            <w:pPr>
              <w:numPr>
                <w:ilvl w:val="0"/>
                <w:numId w:val="12"/>
              </w:numPr>
              <w:textAlignment w:val="baseline"/>
              <w:rPr>
                <w:rFonts w:cs="Arial"/>
              </w:rPr>
            </w:pPr>
            <w:hyperlink r:id="rId21" w:tgtFrame="_blank" w:history="1">
              <w:r w:rsidRPr="003758EE">
                <w:rPr>
                  <w:rFonts w:eastAsia="Calibri" w:cs="Arial"/>
                  <w:color w:val="0000FF"/>
                  <w:u w:val="single"/>
                </w:rPr>
                <w:t>Mycophenolate mofetil (</w:t>
              </w:r>
              <w:proofErr w:type="spellStart"/>
              <w:r w:rsidRPr="003758EE">
                <w:rPr>
                  <w:rFonts w:eastAsia="Calibri" w:cs="Arial"/>
                  <w:color w:val="0000FF"/>
                  <w:u w:val="single"/>
                </w:rPr>
                <w:t>CellCept</w:t>
              </w:r>
              <w:proofErr w:type="spellEnd"/>
              <w:r w:rsidRPr="003758EE">
                <w:rPr>
                  <w:rFonts w:eastAsia="Calibri" w:cs="Arial"/>
                  <w:color w:val="0000FF"/>
                  <w:u w:val="single"/>
                </w:rPr>
                <w:t xml:space="preserve">) and mycophenolic acid: risk of </w:t>
              </w:r>
              <w:proofErr w:type="spellStart"/>
              <w:r w:rsidRPr="003758EE">
                <w:rPr>
                  <w:rFonts w:eastAsia="Calibri" w:cs="Arial"/>
                  <w:color w:val="0000FF"/>
                  <w:u w:val="single"/>
                </w:rPr>
                <w:t>hypogammaglobulinaemia</w:t>
              </w:r>
              <w:proofErr w:type="spellEnd"/>
              <w:r w:rsidRPr="003758EE">
                <w:rPr>
                  <w:rFonts w:eastAsia="Calibri" w:cs="Arial"/>
                  <w:color w:val="0000FF"/>
                  <w:u w:val="single"/>
                </w:rPr>
                <w:t xml:space="preserve"> and risk of bronchiectasi</w:t>
              </w:r>
              <w:r w:rsidRPr="003758EE">
                <w:rPr>
                  <w:rFonts w:eastAsia="Calibri" w:cs="Arial"/>
                  <w:color w:val="000000"/>
                  <w:u w:val="single"/>
                </w:rPr>
                <w:t>s</w:t>
              </w:r>
            </w:hyperlink>
            <w:r w:rsidRPr="003758EE">
              <w:rPr>
                <w:rFonts w:eastAsia="Calibri" w:cs="Arial"/>
                <w:color w:val="000000"/>
              </w:rPr>
              <w:t xml:space="preserve"> (Jan 2015) </w:t>
            </w:r>
          </w:p>
        </w:tc>
      </w:tr>
      <w:tr w:rsidR="00F132AA" w:rsidRPr="00F321FC" w14:paraId="11E3D793" w14:textId="77777777" w:rsidTr="0051526F">
        <w:tc>
          <w:tcPr>
            <w:tcW w:w="2204" w:type="dxa"/>
          </w:tcPr>
          <w:p w14:paraId="1E8C8FBF" w14:textId="3ED10190" w:rsidR="00F132AA" w:rsidRPr="00F321FC" w:rsidRDefault="0098487D" w:rsidP="0098487D">
            <w:pPr>
              <w:pStyle w:val="Heading2"/>
              <w:rPr>
                <w:rFonts w:cs="Arial"/>
              </w:rPr>
            </w:pPr>
            <w:bookmarkStart w:id="15" w:name="nine_interactions"/>
            <w:bookmarkStart w:id="16" w:name="_Toc149231793"/>
            <w:r w:rsidRPr="00F321FC">
              <w:rPr>
                <w:rFonts w:cs="Arial"/>
              </w:rPr>
              <w:t>Significant drug interactions</w:t>
            </w:r>
            <w:bookmarkEnd w:id="15"/>
            <w:bookmarkEnd w:id="16"/>
          </w:p>
        </w:tc>
        <w:tc>
          <w:tcPr>
            <w:tcW w:w="8257" w:type="dxa"/>
          </w:tcPr>
          <w:p w14:paraId="112C1849" w14:textId="2D2EEFE2" w:rsidR="00F132AA" w:rsidRPr="003758EE" w:rsidRDefault="00FB404F" w:rsidP="003758EE">
            <w:pPr>
              <w:rPr>
                <w:rFonts w:cs="Arial"/>
              </w:rPr>
            </w:pPr>
            <w:r w:rsidRPr="003758EE">
              <w:rPr>
                <w:rFonts w:cs="Arial"/>
              </w:rPr>
              <w:t xml:space="preserve">The following list is not exhaustive. Please see </w:t>
            </w:r>
            <w:hyperlink r:id="rId22" w:history="1">
              <w:r w:rsidRPr="00D06F14">
                <w:rPr>
                  <w:rStyle w:val="Hyperlink"/>
                  <w:rFonts w:cs="Arial"/>
                </w:rPr>
                <w:t>BNF</w:t>
              </w:r>
            </w:hyperlink>
            <w:r w:rsidRPr="003758EE">
              <w:rPr>
                <w:rFonts w:cs="Arial"/>
              </w:rPr>
              <w:t xml:space="preserve"> </w:t>
            </w:r>
            <w:r w:rsidR="00D06F14">
              <w:rPr>
                <w:rFonts w:cs="Arial"/>
              </w:rPr>
              <w:t xml:space="preserve">and </w:t>
            </w:r>
            <w:hyperlink r:id="rId23" w:history="1">
              <w:r w:rsidRPr="00D06F14">
                <w:rPr>
                  <w:rStyle w:val="Hyperlink"/>
                  <w:rFonts w:cs="Arial"/>
                </w:rPr>
                <w:t>SPC</w:t>
              </w:r>
            </w:hyperlink>
            <w:r w:rsidRPr="003758EE">
              <w:rPr>
                <w:rFonts w:cs="Arial"/>
              </w:rPr>
              <w:t xml:space="preserve"> for comprehensive information and recommended management.</w:t>
            </w:r>
          </w:p>
          <w:p w14:paraId="6CA5EE1C" w14:textId="77777777" w:rsidR="003758EE" w:rsidRPr="003758EE" w:rsidRDefault="003758EE" w:rsidP="001B5AFA">
            <w:pPr>
              <w:numPr>
                <w:ilvl w:val="0"/>
                <w:numId w:val="13"/>
              </w:numPr>
              <w:ind w:left="357" w:hanging="357"/>
              <w:textAlignment w:val="baseline"/>
              <w:rPr>
                <w:rFonts w:eastAsia="Times New Roman" w:cs="Arial"/>
                <w:lang w:eastAsia="en-GB"/>
              </w:rPr>
            </w:pPr>
            <w:proofErr w:type="spellStart"/>
            <w:r w:rsidRPr="003758EE">
              <w:rPr>
                <w:rFonts w:eastAsia="Times New Roman" w:cs="Arial"/>
                <w:b/>
                <w:bCs/>
                <w:lang w:eastAsia="en-GB"/>
              </w:rPr>
              <w:t>Aciclovir</w:t>
            </w:r>
            <w:proofErr w:type="spellEnd"/>
            <w:r w:rsidRPr="003758EE">
              <w:rPr>
                <w:rFonts w:eastAsia="Times New Roman" w:cs="Arial"/>
                <w:b/>
                <w:bCs/>
                <w:lang w:eastAsia="en-GB"/>
              </w:rPr>
              <w:t xml:space="preserve"> / ganciclovir / valaciclovir / valganciclovir</w:t>
            </w:r>
            <w:r w:rsidRPr="003758EE">
              <w:rPr>
                <w:rFonts w:eastAsia="Times New Roman" w:cs="Arial"/>
                <w:lang w:eastAsia="en-GB"/>
              </w:rPr>
              <w:t>: possible increased plasma concentration of antiviral and mycophenolate metabolite especially in patients with renal impairment; possible increased risk of haematological toxicity   </w:t>
            </w:r>
          </w:p>
          <w:p w14:paraId="34ACA933" w14:textId="77777777" w:rsidR="003758EE" w:rsidRPr="003758EE" w:rsidRDefault="003758EE" w:rsidP="001B5AFA">
            <w:pPr>
              <w:numPr>
                <w:ilvl w:val="0"/>
                <w:numId w:val="13"/>
              </w:numPr>
              <w:ind w:left="357" w:hanging="357"/>
              <w:textAlignment w:val="baseline"/>
              <w:rPr>
                <w:rFonts w:eastAsia="Times New Roman" w:cs="Arial"/>
                <w:lang w:eastAsia="en-GB"/>
              </w:rPr>
            </w:pPr>
            <w:r w:rsidRPr="003758EE">
              <w:rPr>
                <w:rFonts w:eastAsia="Times New Roman" w:cs="Arial"/>
                <w:b/>
                <w:bCs/>
                <w:lang w:eastAsia="en-GB"/>
              </w:rPr>
              <w:t>Antacids and proton pump inhibitors</w:t>
            </w:r>
            <w:r w:rsidRPr="003758EE">
              <w:rPr>
                <w:rFonts w:eastAsia="Times New Roman" w:cs="Arial"/>
                <w:lang w:eastAsia="en-GB"/>
              </w:rPr>
              <w:t>: reduced absorption of mycophenolate </w:t>
            </w:r>
          </w:p>
          <w:p w14:paraId="5EE3DB46" w14:textId="77777777" w:rsidR="003758EE" w:rsidRPr="003758EE" w:rsidRDefault="003758EE" w:rsidP="001B5AFA">
            <w:pPr>
              <w:numPr>
                <w:ilvl w:val="0"/>
                <w:numId w:val="13"/>
              </w:numPr>
              <w:ind w:left="357" w:hanging="357"/>
              <w:textAlignment w:val="baseline"/>
              <w:rPr>
                <w:rFonts w:eastAsia="Times New Roman" w:cs="Arial"/>
                <w:lang w:eastAsia="en-GB"/>
              </w:rPr>
            </w:pPr>
            <w:r w:rsidRPr="003758EE">
              <w:rPr>
                <w:rFonts w:eastAsia="Times New Roman" w:cs="Arial"/>
                <w:b/>
                <w:bCs/>
                <w:lang w:eastAsia="en-GB"/>
              </w:rPr>
              <w:t>Further immunosuppression e.g. azathioprine, ciclosporin, sirolimus</w:t>
            </w:r>
            <w:r w:rsidRPr="003758EE">
              <w:rPr>
                <w:rFonts w:eastAsia="Times New Roman" w:cs="Arial"/>
                <w:lang w:eastAsia="en-GB"/>
              </w:rPr>
              <w:t>: increased risk of bone marrow suppression </w:t>
            </w:r>
          </w:p>
          <w:p w14:paraId="665FECC9" w14:textId="77777777" w:rsidR="003758EE" w:rsidRPr="003758EE" w:rsidRDefault="003758EE" w:rsidP="001B5AFA">
            <w:pPr>
              <w:numPr>
                <w:ilvl w:val="0"/>
                <w:numId w:val="13"/>
              </w:numPr>
              <w:ind w:left="357" w:hanging="357"/>
              <w:textAlignment w:val="baseline"/>
              <w:rPr>
                <w:rFonts w:eastAsia="Times New Roman" w:cs="Arial"/>
                <w:lang w:eastAsia="en-GB"/>
              </w:rPr>
            </w:pPr>
            <w:r w:rsidRPr="003758EE">
              <w:rPr>
                <w:rFonts w:eastAsia="Times New Roman" w:cs="Arial"/>
                <w:b/>
                <w:bCs/>
                <w:lang w:eastAsia="en-GB"/>
              </w:rPr>
              <w:t xml:space="preserve">Cholestyramine / </w:t>
            </w:r>
            <w:proofErr w:type="spellStart"/>
            <w:r w:rsidRPr="003758EE">
              <w:rPr>
                <w:rFonts w:eastAsia="Times New Roman" w:cs="Arial"/>
                <w:b/>
                <w:bCs/>
                <w:lang w:eastAsia="en-GB"/>
              </w:rPr>
              <w:t>colesevelam</w:t>
            </w:r>
            <w:proofErr w:type="spellEnd"/>
            <w:r w:rsidRPr="003758EE">
              <w:rPr>
                <w:rFonts w:eastAsia="Times New Roman" w:cs="Arial"/>
                <w:lang w:eastAsia="en-GB"/>
              </w:rPr>
              <w:t>: reduced absorption of mycophenolate </w:t>
            </w:r>
          </w:p>
          <w:p w14:paraId="090BCB7E" w14:textId="77777777" w:rsidR="003758EE" w:rsidRPr="003758EE" w:rsidRDefault="003758EE" w:rsidP="001B5AFA">
            <w:pPr>
              <w:numPr>
                <w:ilvl w:val="0"/>
                <w:numId w:val="13"/>
              </w:numPr>
              <w:ind w:left="357" w:hanging="357"/>
              <w:textAlignment w:val="baseline"/>
              <w:rPr>
                <w:rFonts w:eastAsia="Times New Roman" w:cs="Arial"/>
                <w:lang w:eastAsia="en-GB"/>
              </w:rPr>
            </w:pPr>
            <w:r w:rsidRPr="003758EE">
              <w:rPr>
                <w:rFonts w:eastAsia="Times New Roman" w:cs="Arial"/>
                <w:b/>
                <w:bCs/>
                <w:lang w:eastAsia="en-GB"/>
              </w:rPr>
              <w:t>Ciclosporin</w:t>
            </w:r>
            <w:r w:rsidRPr="003758EE">
              <w:rPr>
                <w:rFonts w:eastAsia="Times New Roman" w:cs="Arial"/>
                <w:lang w:eastAsia="en-GB"/>
              </w:rPr>
              <w:t>: reduced mycophenolate exposure </w:t>
            </w:r>
          </w:p>
          <w:p w14:paraId="248A468A" w14:textId="77777777" w:rsidR="003758EE" w:rsidRPr="003758EE" w:rsidRDefault="003758EE" w:rsidP="001B5AFA">
            <w:pPr>
              <w:numPr>
                <w:ilvl w:val="0"/>
                <w:numId w:val="13"/>
              </w:numPr>
              <w:ind w:left="357" w:hanging="357"/>
              <w:textAlignment w:val="baseline"/>
              <w:rPr>
                <w:rFonts w:eastAsia="Times New Roman" w:cs="Arial"/>
                <w:lang w:eastAsia="en-GB"/>
              </w:rPr>
            </w:pPr>
            <w:proofErr w:type="spellStart"/>
            <w:r w:rsidRPr="003758EE">
              <w:rPr>
                <w:rFonts w:eastAsia="Times New Roman" w:cs="Arial"/>
                <w:b/>
                <w:bCs/>
                <w:lang w:eastAsia="en-GB"/>
              </w:rPr>
              <w:t>Isavuconazole</w:t>
            </w:r>
            <w:proofErr w:type="spellEnd"/>
            <w:r w:rsidRPr="003758EE">
              <w:rPr>
                <w:rFonts w:eastAsia="Times New Roman" w:cs="Arial"/>
                <w:lang w:eastAsia="en-GB"/>
              </w:rPr>
              <w:t>: possible increased risk of mycophenolate adverse effects due to increased exposure to mycophenolate or its metabolite </w:t>
            </w:r>
          </w:p>
          <w:p w14:paraId="67C0E496" w14:textId="77777777" w:rsidR="003758EE" w:rsidRPr="003758EE" w:rsidRDefault="003758EE" w:rsidP="001B5AFA">
            <w:pPr>
              <w:numPr>
                <w:ilvl w:val="0"/>
                <w:numId w:val="13"/>
              </w:numPr>
              <w:ind w:left="357" w:hanging="357"/>
              <w:textAlignment w:val="baseline"/>
              <w:rPr>
                <w:rFonts w:eastAsia="Times New Roman" w:cs="Arial"/>
                <w:lang w:eastAsia="en-GB"/>
              </w:rPr>
            </w:pPr>
            <w:r w:rsidRPr="003758EE">
              <w:rPr>
                <w:rFonts w:eastAsia="Times New Roman" w:cs="Arial"/>
                <w:b/>
                <w:bCs/>
                <w:lang w:eastAsia="en-GB"/>
              </w:rPr>
              <w:t>Telmisartan</w:t>
            </w:r>
            <w:r w:rsidRPr="003758EE">
              <w:rPr>
                <w:rFonts w:eastAsia="Times New Roman" w:cs="Arial"/>
                <w:lang w:eastAsia="en-GB"/>
              </w:rPr>
              <w:t>: may reduce mycophenolate exposure </w:t>
            </w:r>
          </w:p>
          <w:p w14:paraId="6E0E4121" w14:textId="77777777" w:rsidR="003758EE" w:rsidRPr="003758EE" w:rsidRDefault="003758EE" w:rsidP="001B5AFA">
            <w:pPr>
              <w:numPr>
                <w:ilvl w:val="0"/>
                <w:numId w:val="13"/>
              </w:numPr>
              <w:ind w:left="357" w:hanging="357"/>
              <w:textAlignment w:val="baseline"/>
              <w:rPr>
                <w:rFonts w:eastAsia="Times New Roman" w:cs="Arial"/>
                <w:lang w:eastAsia="en-GB"/>
              </w:rPr>
            </w:pPr>
            <w:r w:rsidRPr="003758EE">
              <w:rPr>
                <w:rFonts w:eastAsia="Times New Roman" w:cs="Arial"/>
                <w:b/>
                <w:bCs/>
                <w:lang w:eastAsia="en-GB"/>
              </w:rPr>
              <w:t>Live vaccines</w:t>
            </w:r>
            <w:r w:rsidRPr="003758EE">
              <w:rPr>
                <w:rFonts w:eastAsia="Times New Roman" w:cs="Arial"/>
                <w:lang w:eastAsia="en-GB"/>
              </w:rPr>
              <w:t xml:space="preserve">: Increased risk of generalised infection. Consult the </w:t>
            </w:r>
            <w:hyperlink r:id="rId24" w:tgtFrame="_blank" w:history="1">
              <w:r w:rsidRPr="003758EE">
                <w:rPr>
                  <w:rFonts w:eastAsia="Times New Roman" w:cs="Arial"/>
                  <w:color w:val="0000FF"/>
                  <w:u w:val="single"/>
                  <w:lang w:eastAsia="en-GB"/>
                </w:rPr>
                <w:t>Green Book</w:t>
              </w:r>
            </w:hyperlink>
            <w:r w:rsidRPr="003758EE">
              <w:rPr>
                <w:rFonts w:eastAsia="Times New Roman" w:cs="Arial"/>
                <w:lang w:eastAsia="en-GB"/>
              </w:rPr>
              <w:t xml:space="preserve"> for the most up to date advice </w:t>
            </w:r>
          </w:p>
          <w:p w14:paraId="0D4668A4" w14:textId="77777777" w:rsidR="007D1085" w:rsidRPr="007D1085" w:rsidRDefault="003758EE" w:rsidP="007D1085">
            <w:pPr>
              <w:numPr>
                <w:ilvl w:val="0"/>
                <w:numId w:val="13"/>
              </w:numPr>
              <w:ind w:left="357" w:hanging="357"/>
              <w:textAlignment w:val="baseline"/>
              <w:rPr>
                <w:rFonts w:cs="Arial"/>
              </w:rPr>
            </w:pPr>
            <w:r w:rsidRPr="003758EE">
              <w:rPr>
                <w:rFonts w:eastAsia="Times New Roman" w:cs="Arial"/>
                <w:b/>
                <w:bCs/>
                <w:lang w:eastAsia="en-GB"/>
              </w:rPr>
              <w:t>Rifampicin</w:t>
            </w:r>
            <w:r w:rsidRPr="003758EE">
              <w:rPr>
                <w:rFonts w:eastAsia="Times New Roman" w:cs="Arial"/>
                <w:lang w:eastAsia="en-GB"/>
              </w:rPr>
              <w:t>: decreased plasma concentration of mycophenolate </w:t>
            </w:r>
          </w:p>
          <w:p w14:paraId="11735DD8" w14:textId="3D129762" w:rsidR="001A51F3" w:rsidRPr="003758EE" w:rsidRDefault="003758EE" w:rsidP="007D1085">
            <w:pPr>
              <w:numPr>
                <w:ilvl w:val="0"/>
                <w:numId w:val="13"/>
              </w:numPr>
              <w:ind w:left="357" w:hanging="357"/>
              <w:textAlignment w:val="baseline"/>
              <w:rPr>
                <w:rFonts w:cs="Arial"/>
              </w:rPr>
            </w:pPr>
            <w:r w:rsidRPr="003758EE">
              <w:rPr>
                <w:rFonts w:eastAsia="Calibri" w:cs="Arial"/>
                <w:b/>
                <w:bCs/>
              </w:rPr>
              <w:t>Sevelamer</w:t>
            </w:r>
            <w:r w:rsidRPr="003758EE">
              <w:rPr>
                <w:rFonts w:eastAsia="Calibri" w:cs="Arial"/>
              </w:rPr>
              <w:t>: reduced mycophenolate exposure; separate administration by 1-3 hours </w:t>
            </w:r>
          </w:p>
        </w:tc>
      </w:tr>
    </w:tbl>
    <w:p w14:paraId="135E63C5" w14:textId="77777777" w:rsidR="0051526F" w:rsidRDefault="0051526F"/>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41070243" w14:textId="207A961A"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5"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769B6C3F" w:rsidR="0051526F" w:rsidRDefault="0051526F" w:rsidP="0051526F">
      <w:pPr>
        <w:rPr>
          <w:rStyle w:val="Hyperlink"/>
          <w:rFonts w:eastAsia="Calibri"/>
          <w:bCs/>
          <w:noProof/>
          <w:color w:val="000000"/>
          <w:u w:val="none"/>
          <w:lang w:eastAsia="en-GB"/>
        </w:rPr>
      </w:pPr>
      <w:r w:rsidRPr="0041687B">
        <w:rPr>
          <w:rStyle w:val="Hyperlink"/>
          <w:rFonts w:eastAsia="Calibri" w:cs="Arial"/>
          <w:bCs/>
          <w:noProof/>
          <w:color w:val="000000"/>
          <w:u w:val="none"/>
          <w:lang w:eastAsia="en-GB"/>
        </w:rPr>
        <w:t xml:space="preserve">For information on incidence of ADRs see relevant </w:t>
      </w:r>
      <w:r w:rsidRPr="007A56FB">
        <w:rPr>
          <w:rStyle w:val="Hyperlink"/>
          <w:rFonts w:eastAsia="Calibri" w:cs="Arial"/>
          <w:bCs/>
          <w:noProof/>
          <w:color w:val="000000"/>
          <w:u w:val="none"/>
          <w:lang w:eastAsia="en-GB"/>
        </w:rPr>
        <w:t>S</w:t>
      </w:r>
      <w:r w:rsidRPr="007A56FB">
        <w:rPr>
          <w:rStyle w:val="Hyperlink"/>
          <w:rFonts w:eastAsia="Calibri"/>
          <w:bCs/>
          <w:noProof/>
          <w:color w:val="000000"/>
          <w:u w:val="none"/>
          <w:lang w:eastAsia="en-GB"/>
        </w:rPr>
        <w:t>PCs</w:t>
      </w:r>
      <w:r w:rsidRPr="00D13A1C">
        <w:rPr>
          <w:rStyle w:val="Hyperlink"/>
          <w:rFonts w:eastAsia="Calibri"/>
          <w:bCs/>
          <w:noProof/>
          <w:color w:val="000000"/>
          <w:u w:val="none"/>
          <w:lang w:eastAsia="en-GB"/>
        </w:rPr>
        <w:t>.</w:t>
      </w:r>
    </w:p>
    <w:p w14:paraId="0BF86A10" w14:textId="78E17C0C" w:rsidR="003758EE" w:rsidRPr="003758EE" w:rsidRDefault="003758EE" w:rsidP="0051526F">
      <w:pPr>
        <w:rPr>
          <w:b/>
          <w:bCs/>
        </w:rPr>
      </w:pPr>
      <w:r w:rsidRPr="003758EE">
        <w:rPr>
          <w:b/>
          <w:bCs/>
        </w:rPr>
        <w:t>As well as responding to absolute values in laboratory tests, a rapid change or a consistent trend in any value should prompt caution and extra vigilance.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3758EE" w14:paraId="7F454127" w14:textId="77777777" w:rsidTr="0051526F">
        <w:trPr>
          <w:cantSplit/>
          <w:tblHeader/>
        </w:trPr>
        <w:tc>
          <w:tcPr>
            <w:tcW w:w="5245" w:type="dxa"/>
            <w:shd w:val="clear" w:color="auto" w:fill="F2F2F2" w:themeFill="background1" w:themeFillShade="F2"/>
          </w:tcPr>
          <w:p w14:paraId="67AF18F0" w14:textId="01ED708F" w:rsidR="0051526F" w:rsidRPr="003758EE" w:rsidRDefault="0051526F" w:rsidP="003758EE">
            <w:pPr>
              <w:rPr>
                <w:rFonts w:cs="Arial"/>
                <w:b/>
                <w:bCs/>
                <w:u w:val="single"/>
              </w:rPr>
            </w:pPr>
            <w:r w:rsidRPr="003758EE">
              <w:rPr>
                <w:rFonts w:cs="Arial"/>
                <w:b/>
                <w:bCs/>
                <w:u w:val="single"/>
              </w:rPr>
              <w:t>Adverse effect</w:t>
            </w:r>
          </w:p>
        </w:tc>
        <w:tc>
          <w:tcPr>
            <w:tcW w:w="5245" w:type="dxa"/>
            <w:shd w:val="clear" w:color="auto" w:fill="F2F2F2" w:themeFill="background1" w:themeFillShade="F2"/>
          </w:tcPr>
          <w:p w14:paraId="7FD73CD2" w14:textId="63413BED" w:rsidR="0051526F" w:rsidRPr="003758EE" w:rsidRDefault="0051526F" w:rsidP="003758EE">
            <w:pPr>
              <w:rPr>
                <w:rFonts w:cs="Arial"/>
                <w:b/>
                <w:bCs/>
                <w:u w:val="single"/>
              </w:rPr>
            </w:pPr>
            <w:r w:rsidRPr="003758EE">
              <w:rPr>
                <w:rFonts w:cs="Arial"/>
                <w:b/>
                <w:bCs/>
                <w:u w:val="single"/>
              </w:rPr>
              <w:t>Management</w:t>
            </w:r>
          </w:p>
        </w:tc>
      </w:tr>
      <w:tr w:rsidR="003758EE" w:rsidRPr="003758EE" w14:paraId="01268D2D" w14:textId="77777777" w:rsidTr="0051526F">
        <w:trPr>
          <w:cantSplit/>
          <w:trHeight w:val="48"/>
        </w:trPr>
        <w:tc>
          <w:tcPr>
            <w:tcW w:w="5245" w:type="dxa"/>
          </w:tcPr>
          <w:p w14:paraId="223DFE21" w14:textId="77777777" w:rsidR="003758EE" w:rsidRPr="003758EE" w:rsidRDefault="003758EE" w:rsidP="001B5AFA">
            <w:pPr>
              <w:pStyle w:val="paragraph"/>
              <w:numPr>
                <w:ilvl w:val="0"/>
                <w:numId w:val="14"/>
              </w:numPr>
              <w:spacing w:before="60" w:beforeAutospacing="0" w:after="60" w:afterAutospacing="0"/>
              <w:textAlignment w:val="baseline"/>
              <w:rPr>
                <w:rFonts w:ascii="Arial" w:hAnsi="Arial" w:cs="Arial"/>
                <w:sz w:val="22"/>
                <w:szCs w:val="22"/>
                <w:lang w:eastAsia="en-US"/>
              </w:rPr>
            </w:pPr>
            <w:r w:rsidRPr="003758EE">
              <w:rPr>
                <w:rStyle w:val="normaltextrun"/>
                <w:rFonts w:ascii="Arial" w:hAnsi="Arial" w:cs="Arial"/>
                <w:sz w:val="22"/>
                <w:szCs w:val="22"/>
                <w:lang w:eastAsia="en-US"/>
              </w:rPr>
              <w:t>White blood cells less than 3.5x10</w:t>
            </w:r>
            <w:r w:rsidRPr="003758EE">
              <w:rPr>
                <w:rStyle w:val="normaltextrun"/>
                <w:rFonts w:ascii="Arial" w:hAnsi="Arial" w:cs="Arial"/>
                <w:sz w:val="22"/>
                <w:szCs w:val="22"/>
                <w:vertAlign w:val="superscript"/>
                <w:lang w:eastAsia="en-US"/>
              </w:rPr>
              <w:t>9</w:t>
            </w:r>
            <w:r w:rsidRPr="003758EE">
              <w:rPr>
                <w:rStyle w:val="normaltextrun"/>
                <w:rFonts w:ascii="Arial" w:hAnsi="Arial" w:cs="Arial"/>
                <w:sz w:val="22"/>
                <w:szCs w:val="22"/>
                <w:lang w:eastAsia="en-US"/>
              </w:rPr>
              <w:t>/L</w:t>
            </w:r>
            <w:r w:rsidRPr="003758EE">
              <w:rPr>
                <w:rStyle w:val="eop"/>
                <w:rFonts w:ascii="Arial" w:hAnsi="Arial" w:cs="Arial"/>
                <w:sz w:val="22"/>
                <w:szCs w:val="22"/>
                <w:lang w:eastAsia="en-US"/>
              </w:rPr>
              <w:t> </w:t>
            </w:r>
          </w:p>
          <w:p w14:paraId="3F4B03AB" w14:textId="77777777" w:rsidR="003758EE" w:rsidRPr="003758EE" w:rsidRDefault="003758EE" w:rsidP="001B5AFA">
            <w:pPr>
              <w:pStyle w:val="paragraph"/>
              <w:numPr>
                <w:ilvl w:val="0"/>
                <w:numId w:val="14"/>
              </w:numPr>
              <w:spacing w:before="60" w:beforeAutospacing="0" w:after="60" w:afterAutospacing="0"/>
              <w:textAlignment w:val="baseline"/>
              <w:rPr>
                <w:rFonts w:ascii="Arial" w:hAnsi="Arial" w:cs="Arial"/>
                <w:sz w:val="22"/>
                <w:szCs w:val="22"/>
                <w:lang w:eastAsia="en-US"/>
              </w:rPr>
            </w:pPr>
            <w:r w:rsidRPr="003758EE">
              <w:rPr>
                <w:rStyle w:val="normaltextrun"/>
                <w:rFonts w:ascii="Arial" w:hAnsi="Arial" w:cs="Arial"/>
                <w:sz w:val="22"/>
                <w:szCs w:val="22"/>
                <w:lang w:eastAsia="en-US"/>
              </w:rPr>
              <w:t>Lymphocytes less than 0.5x10</w:t>
            </w:r>
            <w:r w:rsidRPr="003758EE">
              <w:rPr>
                <w:rStyle w:val="normaltextrun"/>
                <w:rFonts w:ascii="Arial" w:hAnsi="Arial" w:cs="Arial"/>
                <w:sz w:val="22"/>
                <w:szCs w:val="22"/>
                <w:vertAlign w:val="superscript"/>
                <w:lang w:eastAsia="en-US"/>
              </w:rPr>
              <w:t>9</w:t>
            </w:r>
            <w:r w:rsidRPr="003758EE">
              <w:rPr>
                <w:rStyle w:val="normaltextrun"/>
                <w:rFonts w:ascii="Arial" w:hAnsi="Arial" w:cs="Arial"/>
                <w:sz w:val="22"/>
                <w:szCs w:val="22"/>
                <w:lang w:eastAsia="en-US"/>
              </w:rPr>
              <w:t>/L</w:t>
            </w:r>
            <w:r w:rsidRPr="003758EE">
              <w:rPr>
                <w:rStyle w:val="eop"/>
                <w:rFonts w:ascii="Arial" w:hAnsi="Arial" w:cs="Arial"/>
                <w:sz w:val="22"/>
                <w:szCs w:val="22"/>
                <w:lang w:eastAsia="en-US"/>
              </w:rPr>
              <w:t> </w:t>
            </w:r>
          </w:p>
          <w:p w14:paraId="3BD87C21" w14:textId="77777777" w:rsidR="003758EE" w:rsidRPr="003758EE" w:rsidRDefault="003758EE" w:rsidP="001B5AFA">
            <w:pPr>
              <w:pStyle w:val="paragraph"/>
              <w:numPr>
                <w:ilvl w:val="0"/>
                <w:numId w:val="14"/>
              </w:numPr>
              <w:spacing w:before="60" w:beforeAutospacing="0" w:after="60" w:afterAutospacing="0"/>
              <w:textAlignment w:val="baseline"/>
              <w:rPr>
                <w:rFonts w:ascii="Arial" w:hAnsi="Arial" w:cs="Arial"/>
                <w:sz w:val="22"/>
                <w:szCs w:val="22"/>
                <w:lang w:eastAsia="en-US"/>
              </w:rPr>
            </w:pPr>
            <w:r w:rsidRPr="003758EE">
              <w:rPr>
                <w:rStyle w:val="normaltextrun"/>
                <w:rFonts w:ascii="Arial" w:hAnsi="Arial" w:cs="Arial"/>
                <w:sz w:val="22"/>
                <w:szCs w:val="22"/>
                <w:lang w:eastAsia="en-US"/>
              </w:rPr>
              <w:t>Neutrophils less than 1.6x10</w:t>
            </w:r>
            <w:r w:rsidRPr="003758EE">
              <w:rPr>
                <w:rStyle w:val="normaltextrun"/>
                <w:rFonts w:ascii="Arial" w:hAnsi="Arial" w:cs="Arial"/>
                <w:sz w:val="22"/>
                <w:szCs w:val="22"/>
                <w:vertAlign w:val="superscript"/>
                <w:lang w:eastAsia="en-US"/>
              </w:rPr>
              <w:t>9</w:t>
            </w:r>
            <w:r w:rsidRPr="003758EE">
              <w:rPr>
                <w:rStyle w:val="normaltextrun"/>
                <w:rFonts w:ascii="Arial" w:hAnsi="Arial" w:cs="Arial"/>
                <w:sz w:val="22"/>
                <w:szCs w:val="22"/>
                <w:lang w:eastAsia="en-US"/>
              </w:rPr>
              <w:t>/L</w:t>
            </w:r>
            <w:r w:rsidRPr="003758EE">
              <w:rPr>
                <w:rStyle w:val="eop"/>
                <w:rFonts w:ascii="Arial" w:hAnsi="Arial" w:cs="Arial"/>
                <w:sz w:val="22"/>
                <w:szCs w:val="22"/>
                <w:lang w:eastAsia="en-US"/>
              </w:rPr>
              <w:t> </w:t>
            </w:r>
          </w:p>
          <w:p w14:paraId="7B1EE2FD" w14:textId="77777777" w:rsidR="003758EE" w:rsidRPr="003758EE" w:rsidRDefault="003758EE" w:rsidP="001B5AFA">
            <w:pPr>
              <w:pStyle w:val="paragraph"/>
              <w:numPr>
                <w:ilvl w:val="0"/>
                <w:numId w:val="14"/>
              </w:numPr>
              <w:spacing w:before="60" w:beforeAutospacing="0" w:after="60" w:afterAutospacing="0"/>
              <w:textAlignment w:val="baseline"/>
              <w:rPr>
                <w:rFonts w:ascii="Arial" w:hAnsi="Arial" w:cs="Arial"/>
                <w:sz w:val="22"/>
                <w:szCs w:val="22"/>
                <w:lang w:eastAsia="en-US"/>
              </w:rPr>
            </w:pPr>
            <w:r w:rsidRPr="003758EE">
              <w:rPr>
                <w:rStyle w:val="normaltextrun"/>
                <w:rFonts w:ascii="Arial" w:hAnsi="Arial" w:cs="Arial"/>
                <w:sz w:val="22"/>
                <w:szCs w:val="22"/>
                <w:lang w:eastAsia="en-US"/>
              </w:rPr>
              <w:t>Platelets less than 140x10</w:t>
            </w:r>
            <w:r w:rsidRPr="003758EE">
              <w:rPr>
                <w:rStyle w:val="normaltextrun"/>
                <w:rFonts w:ascii="Arial" w:hAnsi="Arial" w:cs="Arial"/>
                <w:sz w:val="22"/>
                <w:szCs w:val="22"/>
                <w:vertAlign w:val="superscript"/>
                <w:lang w:eastAsia="en-US"/>
              </w:rPr>
              <w:t>9</w:t>
            </w:r>
            <w:r w:rsidRPr="003758EE">
              <w:rPr>
                <w:rStyle w:val="normaltextrun"/>
                <w:rFonts w:ascii="Arial" w:hAnsi="Arial" w:cs="Arial"/>
                <w:sz w:val="22"/>
                <w:szCs w:val="22"/>
                <w:lang w:eastAsia="en-US"/>
              </w:rPr>
              <w:t>/L</w:t>
            </w:r>
            <w:r w:rsidRPr="003758EE">
              <w:rPr>
                <w:rStyle w:val="eop"/>
                <w:rFonts w:ascii="Arial" w:hAnsi="Arial" w:cs="Arial"/>
                <w:sz w:val="22"/>
                <w:szCs w:val="22"/>
                <w:lang w:eastAsia="en-US"/>
              </w:rPr>
              <w:t> </w:t>
            </w:r>
          </w:p>
          <w:p w14:paraId="6A99262A" w14:textId="54C8F7A2" w:rsidR="003758EE" w:rsidRPr="003758EE" w:rsidRDefault="00DB450D" w:rsidP="001B5AFA">
            <w:pPr>
              <w:pStyle w:val="paragraph"/>
              <w:numPr>
                <w:ilvl w:val="0"/>
                <w:numId w:val="14"/>
              </w:numPr>
              <w:spacing w:before="60" w:beforeAutospacing="0" w:after="60" w:afterAutospacing="0"/>
              <w:textAlignment w:val="baseline"/>
              <w:rPr>
                <w:rFonts w:ascii="Arial" w:hAnsi="Arial" w:cs="Arial"/>
                <w:sz w:val="22"/>
                <w:szCs w:val="22"/>
              </w:rPr>
            </w:pPr>
            <w:r>
              <w:rPr>
                <w:rStyle w:val="normaltextrun"/>
                <w:rFonts w:ascii="Arial" w:hAnsi="Arial" w:cs="Arial"/>
                <w:sz w:val="22"/>
                <w:szCs w:val="22"/>
                <w:lang w:eastAsia="en-US"/>
              </w:rPr>
              <w:t>U</w:t>
            </w:r>
            <w:r>
              <w:rPr>
                <w:rStyle w:val="normaltextrun"/>
                <w:rFonts w:ascii="Arial" w:hAnsi="Arial"/>
              </w:rPr>
              <w:t xml:space="preserve">nexplained </w:t>
            </w:r>
            <w:r w:rsidR="003758EE" w:rsidRPr="003758EE">
              <w:rPr>
                <w:rStyle w:val="normaltextrun"/>
                <w:rFonts w:ascii="Arial" w:hAnsi="Arial" w:cs="Arial"/>
                <w:sz w:val="22"/>
                <w:szCs w:val="22"/>
                <w:lang w:eastAsia="en-US"/>
              </w:rPr>
              <w:t>Eosinophilia greater than 0.5x10</w:t>
            </w:r>
            <w:r w:rsidR="003758EE" w:rsidRPr="003758EE">
              <w:rPr>
                <w:rStyle w:val="normaltextrun"/>
                <w:rFonts w:ascii="Arial" w:hAnsi="Arial" w:cs="Arial"/>
                <w:sz w:val="22"/>
                <w:szCs w:val="22"/>
                <w:vertAlign w:val="superscript"/>
                <w:lang w:eastAsia="en-US"/>
              </w:rPr>
              <w:t>9</w:t>
            </w:r>
            <w:r w:rsidR="003758EE" w:rsidRPr="003758EE">
              <w:rPr>
                <w:rStyle w:val="normaltextrun"/>
                <w:rFonts w:ascii="Arial" w:hAnsi="Arial" w:cs="Arial"/>
                <w:sz w:val="22"/>
                <w:szCs w:val="22"/>
                <w:lang w:eastAsia="en-US"/>
              </w:rPr>
              <w:t>/L</w:t>
            </w:r>
            <w:r w:rsidR="003758EE" w:rsidRPr="003758EE">
              <w:rPr>
                <w:rStyle w:val="eop"/>
                <w:rFonts w:ascii="Arial" w:hAnsi="Arial" w:cs="Arial"/>
                <w:sz w:val="22"/>
                <w:szCs w:val="22"/>
                <w:lang w:eastAsia="en-US"/>
              </w:rPr>
              <w:t> </w:t>
            </w:r>
          </w:p>
        </w:tc>
        <w:tc>
          <w:tcPr>
            <w:tcW w:w="5245" w:type="dxa"/>
          </w:tcPr>
          <w:p w14:paraId="208B281D" w14:textId="289E36B3" w:rsidR="003758EE" w:rsidRPr="003758EE" w:rsidRDefault="003758EE" w:rsidP="003758EE">
            <w:pPr>
              <w:textAlignment w:val="baseline"/>
              <w:rPr>
                <w:rFonts w:eastAsia="Times New Roman" w:cs="Arial"/>
                <w:b/>
                <w:bCs/>
                <w:lang w:eastAsia="en-GB"/>
              </w:rPr>
            </w:pPr>
            <w:r w:rsidRPr="003758EE">
              <w:rPr>
                <w:rFonts w:eastAsia="Times New Roman" w:cs="Arial"/>
                <w:color w:val="000000"/>
                <w:lang w:eastAsia="en-GB"/>
              </w:rPr>
              <w:t xml:space="preserve">Discuss urgently with specialist </w:t>
            </w:r>
            <w:proofErr w:type="gramStart"/>
            <w:r w:rsidRPr="003758EE">
              <w:rPr>
                <w:rFonts w:eastAsia="Times New Roman" w:cs="Arial"/>
                <w:color w:val="000000"/>
                <w:lang w:eastAsia="en-GB"/>
              </w:rPr>
              <w:t>team, and</w:t>
            </w:r>
            <w:proofErr w:type="gramEnd"/>
            <w:r w:rsidRPr="003758EE">
              <w:rPr>
                <w:rFonts w:eastAsia="Times New Roman" w:cs="Arial"/>
                <w:color w:val="000000"/>
                <w:lang w:eastAsia="en-GB"/>
              </w:rPr>
              <w:t xml:space="preserve"> consider </w:t>
            </w:r>
            <w:r w:rsidR="00653517">
              <w:rPr>
                <w:rFonts w:eastAsia="Times New Roman" w:cs="Arial"/>
                <w:color w:val="000000"/>
                <w:lang w:eastAsia="en-GB"/>
              </w:rPr>
              <w:t>withholding treatment.</w:t>
            </w:r>
            <w:r w:rsidR="00653517" w:rsidRPr="003758EE">
              <w:rPr>
                <w:rFonts w:eastAsia="Times New Roman" w:cs="Arial"/>
                <w:b/>
                <w:bCs/>
                <w:color w:val="000000"/>
                <w:lang w:eastAsia="en-GB"/>
              </w:rPr>
              <w:t> </w:t>
            </w:r>
          </w:p>
          <w:p w14:paraId="45A5B53C" w14:textId="2EB7A685" w:rsidR="003758EE" w:rsidRPr="003758EE" w:rsidRDefault="003758EE" w:rsidP="003758EE">
            <w:pPr>
              <w:rPr>
                <w:rFonts w:cs="Arial"/>
              </w:rPr>
            </w:pPr>
          </w:p>
        </w:tc>
      </w:tr>
      <w:tr w:rsidR="003758EE" w:rsidRPr="003758EE" w14:paraId="7CEAAB39" w14:textId="77777777" w:rsidTr="0051526F">
        <w:trPr>
          <w:cantSplit/>
          <w:trHeight w:val="48"/>
        </w:trPr>
        <w:tc>
          <w:tcPr>
            <w:tcW w:w="5245" w:type="dxa"/>
          </w:tcPr>
          <w:p w14:paraId="2386555E" w14:textId="681D3EB7" w:rsidR="003758EE" w:rsidRPr="003758EE" w:rsidRDefault="003758EE" w:rsidP="003758EE">
            <w:pPr>
              <w:rPr>
                <w:rFonts w:eastAsia="Times New Roman" w:cs="Arial"/>
                <w:lang w:eastAsia="en-GB"/>
              </w:rPr>
            </w:pPr>
            <w:r w:rsidRPr="003758EE">
              <w:rPr>
                <w:rFonts w:eastAsia="Times New Roman" w:cs="Arial"/>
                <w:color w:val="000000"/>
                <w:lang w:eastAsia="en-GB"/>
              </w:rPr>
              <w:t>Mean cell volume </w:t>
            </w:r>
            <w:r>
              <w:rPr>
                <w:rFonts w:eastAsia="Times New Roman" w:cs="Arial"/>
                <w:color w:val="000000"/>
                <w:lang w:eastAsia="en-GB"/>
              </w:rPr>
              <w:t xml:space="preserve">greater than </w:t>
            </w:r>
            <w:r w:rsidRPr="003758EE">
              <w:rPr>
                <w:rFonts w:eastAsia="Times New Roman" w:cs="Arial"/>
                <w:color w:val="000000"/>
                <w:lang w:eastAsia="en-GB"/>
              </w:rPr>
              <w:t xml:space="preserve">105 </w:t>
            </w:r>
            <w:proofErr w:type="spellStart"/>
            <w:r w:rsidRPr="003758EE">
              <w:rPr>
                <w:rFonts w:eastAsia="Times New Roman" w:cs="Arial"/>
                <w:color w:val="000000"/>
                <w:lang w:eastAsia="en-GB"/>
              </w:rPr>
              <w:t>fL</w:t>
            </w:r>
            <w:proofErr w:type="spellEnd"/>
            <w:r w:rsidRPr="003758EE">
              <w:rPr>
                <w:rFonts w:eastAsia="Times New Roman" w:cs="Arial"/>
                <w:color w:val="000000"/>
                <w:lang w:eastAsia="en-GB"/>
              </w:rPr>
              <w:t> </w:t>
            </w:r>
          </w:p>
        </w:tc>
        <w:tc>
          <w:tcPr>
            <w:tcW w:w="5245" w:type="dxa"/>
          </w:tcPr>
          <w:p w14:paraId="645A7295" w14:textId="6A1CB3B0"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 xml:space="preserve">Check serum folate, B12, alcohol history and TSH and treat any underlying abnormality. If results of these additional investigations are </w:t>
            </w:r>
            <w:r w:rsidR="00127F83">
              <w:rPr>
                <w:rFonts w:eastAsia="Times New Roman" w:cs="Arial"/>
                <w:color w:val="000000"/>
                <w:lang w:eastAsia="en-GB"/>
              </w:rPr>
              <w:t xml:space="preserve">abnormal, treat, if </w:t>
            </w:r>
            <w:r w:rsidRPr="003758EE">
              <w:rPr>
                <w:rFonts w:eastAsia="Times New Roman" w:cs="Arial"/>
                <w:color w:val="000000"/>
                <w:lang w:eastAsia="en-GB"/>
              </w:rPr>
              <w:t>normal discuss with specialist team.  </w:t>
            </w:r>
          </w:p>
        </w:tc>
      </w:tr>
      <w:tr w:rsidR="003758EE" w:rsidRPr="003758EE" w14:paraId="3E83576D" w14:textId="77777777" w:rsidTr="0051526F">
        <w:trPr>
          <w:cantSplit/>
          <w:trHeight w:val="48"/>
        </w:trPr>
        <w:tc>
          <w:tcPr>
            <w:tcW w:w="5245" w:type="dxa"/>
          </w:tcPr>
          <w:p w14:paraId="08C53FEC" w14:textId="45A4E660"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Signs or symptoms of bone marrow suppression, e.g. unexplained bleeding or bruising with or without sore throat, mouth ulcers </w:t>
            </w:r>
          </w:p>
        </w:tc>
        <w:tc>
          <w:tcPr>
            <w:tcW w:w="5245" w:type="dxa"/>
          </w:tcPr>
          <w:p w14:paraId="0AF04492" w14:textId="46BB532F"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Check FBC immediately and discuss with the specialist team. See haematological monitoring above.  </w:t>
            </w:r>
          </w:p>
        </w:tc>
      </w:tr>
      <w:tr w:rsidR="003758EE" w:rsidRPr="003758EE" w14:paraId="24831E88" w14:textId="77777777" w:rsidTr="0051526F">
        <w:trPr>
          <w:cantSplit/>
          <w:trHeight w:val="48"/>
        </w:trPr>
        <w:tc>
          <w:tcPr>
            <w:tcW w:w="5245" w:type="dxa"/>
          </w:tcPr>
          <w:p w14:paraId="08CC23C5" w14:textId="77777777" w:rsidR="003758EE" w:rsidRPr="003758EE" w:rsidRDefault="003758EE" w:rsidP="003758EE">
            <w:pPr>
              <w:textAlignment w:val="baseline"/>
              <w:rPr>
                <w:rFonts w:eastAsia="Times New Roman" w:cs="Arial"/>
                <w:lang w:eastAsia="en-GB"/>
              </w:rPr>
            </w:pPr>
            <w:r w:rsidRPr="003758EE">
              <w:rPr>
                <w:rFonts w:eastAsia="Times New Roman" w:cs="Arial"/>
                <w:b/>
                <w:bCs/>
                <w:color w:val="000000"/>
                <w:lang w:eastAsia="en-GB"/>
              </w:rPr>
              <w:t>Infections</w:t>
            </w:r>
            <w:r w:rsidRPr="003758EE">
              <w:rPr>
                <w:rFonts w:eastAsia="Times New Roman" w:cs="Arial"/>
                <w:color w:val="000000"/>
                <w:lang w:eastAsia="en-GB"/>
              </w:rPr>
              <w:t>:  </w:t>
            </w:r>
          </w:p>
          <w:p w14:paraId="1A84E6FA" w14:textId="23EA7806"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Infection requiring antibiotics</w:t>
            </w:r>
            <w:r>
              <w:rPr>
                <w:rFonts w:eastAsia="Times New Roman" w:cs="Arial"/>
                <w:color w:val="000000"/>
                <w:lang w:eastAsia="en-GB"/>
              </w:rPr>
              <w:t>.</w:t>
            </w:r>
          </w:p>
          <w:p w14:paraId="1928A53C" w14:textId="4A718DAA" w:rsidR="003758EE" w:rsidRPr="003758EE" w:rsidRDefault="003758EE" w:rsidP="003758EE">
            <w:pPr>
              <w:textAlignment w:val="baseline"/>
              <w:rPr>
                <w:rFonts w:eastAsia="Times New Roman" w:cs="Arial"/>
                <w:color w:val="000000"/>
                <w:lang w:eastAsia="en-GB"/>
              </w:rPr>
            </w:pPr>
            <w:r w:rsidRPr="003758EE">
              <w:rPr>
                <w:rFonts w:eastAsia="Times New Roman" w:cs="Arial"/>
                <w:color w:val="000000"/>
                <w:lang w:eastAsia="en-GB"/>
              </w:rPr>
              <w:t>Recurrent or opportunistic infections</w:t>
            </w:r>
            <w:r>
              <w:rPr>
                <w:rFonts w:eastAsia="Times New Roman" w:cs="Arial"/>
                <w:color w:val="000000"/>
                <w:lang w:eastAsia="en-GB"/>
              </w:rPr>
              <w:t>.</w:t>
            </w:r>
          </w:p>
        </w:tc>
        <w:tc>
          <w:tcPr>
            <w:tcW w:w="5245" w:type="dxa"/>
          </w:tcPr>
          <w:p w14:paraId="7D5A17BD" w14:textId="77777777"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Temporarily withhold mycophenolate until the patient has recovered. </w:t>
            </w:r>
          </w:p>
          <w:p w14:paraId="3EAA40C2" w14:textId="044D9B49" w:rsidR="003758EE" w:rsidRPr="003758EE" w:rsidRDefault="003758EE" w:rsidP="003758EE">
            <w:pPr>
              <w:rPr>
                <w:rFonts w:cs="Arial"/>
              </w:rPr>
            </w:pPr>
            <w:r w:rsidRPr="003758EE">
              <w:rPr>
                <w:rFonts w:eastAsia="Times New Roman" w:cs="Arial"/>
                <w:color w:val="000000"/>
                <w:lang w:eastAsia="en-GB"/>
              </w:rPr>
              <w:t>Review for reversible causes. Withhold and discuss with specialist team. </w:t>
            </w:r>
          </w:p>
        </w:tc>
      </w:tr>
      <w:tr w:rsidR="003758EE" w:rsidRPr="003758EE" w14:paraId="7B45BBDF" w14:textId="77777777" w:rsidTr="0051526F">
        <w:trPr>
          <w:cantSplit/>
          <w:trHeight w:val="48"/>
        </w:trPr>
        <w:tc>
          <w:tcPr>
            <w:tcW w:w="5245" w:type="dxa"/>
          </w:tcPr>
          <w:p w14:paraId="304AE91B" w14:textId="77777777"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Exposure to chickenpox or shingles </w:t>
            </w:r>
          </w:p>
          <w:p w14:paraId="742A5874" w14:textId="34FC4830" w:rsidR="003758EE" w:rsidRPr="003758EE" w:rsidRDefault="003758EE" w:rsidP="003758EE">
            <w:pPr>
              <w:rPr>
                <w:rFonts w:cs="Arial"/>
              </w:rPr>
            </w:pPr>
          </w:p>
        </w:tc>
        <w:tc>
          <w:tcPr>
            <w:tcW w:w="5245" w:type="dxa"/>
          </w:tcPr>
          <w:p w14:paraId="3B5D0997" w14:textId="73646FAC" w:rsidR="003758EE" w:rsidRPr="003758EE" w:rsidRDefault="003758EE" w:rsidP="003758EE">
            <w:pPr>
              <w:textAlignment w:val="baseline"/>
              <w:rPr>
                <w:rFonts w:eastAsia="Times New Roman" w:cs="Arial"/>
                <w:lang w:eastAsia="en-GB"/>
              </w:rPr>
            </w:pPr>
            <w:r w:rsidRPr="003758EE">
              <w:rPr>
                <w:rFonts w:eastAsia="Times New Roman" w:cs="Arial"/>
                <w:lang w:eastAsia="en-GB"/>
              </w:rPr>
              <w:t xml:space="preserve">Contact specialist team for advice. See the </w:t>
            </w:r>
            <w:hyperlink r:id="rId26" w:tgtFrame="_blank" w:history="1">
              <w:r w:rsidRPr="003758EE">
                <w:rPr>
                  <w:rStyle w:val="Hyperlink"/>
                  <w:rFonts w:eastAsia="Times New Roman" w:cs="Arial"/>
                  <w:color w:val="0000FF"/>
                  <w:lang w:eastAsia="en-GB"/>
                </w:rPr>
                <w:t>Green Book (chapter 34)</w:t>
              </w:r>
            </w:hyperlink>
            <w:r w:rsidRPr="003758EE">
              <w:rPr>
                <w:rFonts w:eastAsia="Times New Roman" w:cs="Arial"/>
                <w:lang w:eastAsia="en-GB"/>
              </w:rPr>
              <w:t xml:space="preserve"> and </w:t>
            </w:r>
            <w:hyperlink r:id="rId27" w:history="1">
              <w:r w:rsidRPr="008352C0">
                <w:rPr>
                  <w:rStyle w:val="Hyperlink"/>
                  <w:rFonts w:eastAsia="Times New Roman" w:cs="Arial"/>
                  <w:lang w:eastAsia="en-GB"/>
                </w:rPr>
                <w:t>PHE guidance</w:t>
              </w:r>
            </w:hyperlink>
            <w:r w:rsidRPr="003758EE">
              <w:rPr>
                <w:rFonts w:eastAsia="Times New Roman" w:cs="Arial"/>
                <w:lang w:eastAsia="en-GB"/>
              </w:rPr>
              <w:t xml:space="preserve"> for detailed advice on risk assessment and post exposure prophylaxis. </w:t>
            </w:r>
          </w:p>
        </w:tc>
      </w:tr>
      <w:tr w:rsidR="003758EE" w:rsidRPr="003758EE" w14:paraId="6BD1EF9B" w14:textId="77777777" w:rsidTr="0051526F">
        <w:trPr>
          <w:cantSplit/>
          <w:trHeight w:val="48"/>
        </w:trPr>
        <w:tc>
          <w:tcPr>
            <w:tcW w:w="5245" w:type="dxa"/>
          </w:tcPr>
          <w:p w14:paraId="01060086" w14:textId="77777777" w:rsidR="003758EE" w:rsidRPr="003758EE" w:rsidRDefault="003758EE" w:rsidP="003758EE">
            <w:pPr>
              <w:textAlignment w:val="baseline"/>
              <w:rPr>
                <w:rFonts w:eastAsia="Times New Roman" w:cs="Arial"/>
                <w:lang w:eastAsia="en-GB"/>
              </w:rPr>
            </w:pPr>
            <w:r w:rsidRPr="003758EE">
              <w:rPr>
                <w:rFonts w:eastAsia="Times New Roman" w:cs="Arial"/>
                <w:b/>
                <w:bCs/>
                <w:color w:val="000000"/>
                <w:lang w:eastAsia="en-GB"/>
              </w:rPr>
              <w:t>Liver function tests</w:t>
            </w:r>
            <w:r w:rsidRPr="003758EE">
              <w:rPr>
                <w:rFonts w:eastAsia="Times New Roman" w:cs="Arial"/>
                <w:color w:val="000000"/>
                <w:lang w:eastAsia="en-GB"/>
              </w:rPr>
              <w:t>: </w:t>
            </w:r>
          </w:p>
          <w:p w14:paraId="5E311FBE" w14:textId="18FD77DA"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 xml:space="preserve">ALT or AST </w:t>
            </w:r>
            <w:r>
              <w:rPr>
                <w:rFonts w:eastAsia="Times New Roman" w:cs="Arial"/>
                <w:color w:val="000000"/>
                <w:lang w:eastAsia="en-GB"/>
              </w:rPr>
              <w:t>greater than</w:t>
            </w:r>
            <w:r w:rsidRPr="003758EE">
              <w:rPr>
                <w:rFonts w:eastAsia="Times New Roman" w:cs="Arial"/>
                <w:color w:val="000000"/>
                <w:lang w:eastAsia="en-GB"/>
              </w:rPr>
              <w:t xml:space="preserve"> 3 x upper limit of normal (ULN), or any sudden increases (e.g. double of baseline), OR Unexplained fall in serum albumin </w:t>
            </w:r>
            <w:r>
              <w:rPr>
                <w:rFonts w:eastAsia="Times New Roman" w:cs="Arial"/>
                <w:color w:val="000000"/>
                <w:lang w:eastAsia="en-GB"/>
              </w:rPr>
              <w:t xml:space="preserve">less than </w:t>
            </w:r>
            <w:r w:rsidRPr="003758EE">
              <w:rPr>
                <w:rFonts w:eastAsia="Times New Roman" w:cs="Arial"/>
                <w:color w:val="000000"/>
                <w:lang w:eastAsia="en-GB"/>
              </w:rPr>
              <w:t>30g/L </w:t>
            </w:r>
          </w:p>
        </w:tc>
        <w:tc>
          <w:tcPr>
            <w:tcW w:w="5245" w:type="dxa"/>
          </w:tcPr>
          <w:p w14:paraId="11BA3D2E" w14:textId="77777777"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Withhold and discuss with specialist team. </w:t>
            </w:r>
          </w:p>
          <w:p w14:paraId="25E56149" w14:textId="30C9BAE5" w:rsidR="003758EE" w:rsidRPr="003758EE" w:rsidRDefault="003758EE" w:rsidP="003758EE">
            <w:pPr>
              <w:rPr>
                <w:rFonts w:cs="Arial"/>
              </w:rPr>
            </w:pPr>
            <w:r w:rsidRPr="003758EE">
              <w:rPr>
                <w:rFonts w:eastAsia="Times New Roman" w:cs="Arial"/>
                <w:color w:val="000000"/>
                <w:lang w:eastAsia="en-GB"/>
              </w:rPr>
              <w:t>Check any other reason for risk of hepatic dysfunction such as alcohol history and drug interactions, including OTC or complementary medication.</w:t>
            </w:r>
          </w:p>
        </w:tc>
      </w:tr>
      <w:tr w:rsidR="003758EE" w:rsidRPr="003758EE" w14:paraId="525ED011" w14:textId="77777777" w:rsidTr="0051526F">
        <w:trPr>
          <w:cantSplit/>
          <w:trHeight w:val="48"/>
        </w:trPr>
        <w:tc>
          <w:tcPr>
            <w:tcW w:w="5245" w:type="dxa"/>
          </w:tcPr>
          <w:p w14:paraId="4613AAF9" w14:textId="77777777" w:rsidR="003758EE" w:rsidRPr="003758EE" w:rsidRDefault="003758EE" w:rsidP="003758EE">
            <w:pPr>
              <w:textAlignment w:val="baseline"/>
              <w:rPr>
                <w:rFonts w:eastAsia="Times New Roman" w:cs="Arial"/>
                <w:lang w:eastAsia="en-GB"/>
              </w:rPr>
            </w:pPr>
            <w:r w:rsidRPr="003758EE">
              <w:rPr>
                <w:rFonts w:eastAsia="Times New Roman" w:cs="Arial"/>
                <w:b/>
                <w:bCs/>
                <w:color w:val="000000"/>
                <w:lang w:eastAsia="en-GB"/>
              </w:rPr>
              <w:t>Renal function</w:t>
            </w:r>
            <w:r w:rsidRPr="003758EE">
              <w:rPr>
                <w:rFonts w:eastAsia="Times New Roman" w:cs="Arial"/>
                <w:color w:val="000000"/>
                <w:lang w:eastAsia="en-GB"/>
              </w:rPr>
              <w:t>:  </w:t>
            </w:r>
          </w:p>
          <w:p w14:paraId="7B92ECBE" w14:textId="4D4DCBB0"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Creatinine rise</w:t>
            </w:r>
            <w:r>
              <w:rPr>
                <w:rFonts w:eastAsia="Times New Roman" w:cs="Arial"/>
                <w:color w:val="000000"/>
                <w:lang w:eastAsia="en-GB"/>
              </w:rPr>
              <w:t xml:space="preserve"> of</w:t>
            </w:r>
            <w:r w:rsidRPr="003758EE">
              <w:rPr>
                <w:rFonts w:eastAsia="Times New Roman" w:cs="Arial"/>
                <w:color w:val="000000"/>
                <w:lang w:eastAsia="en-GB"/>
              </w:rPr>
              <w:t xml:space="preserve"> </w:t>
            </w:r>
            <w:r>
              <w:rPr>
                <w:rFonts w:eastAsia="Times New Roman" w:cs="Arial"/>
                <w:color w:val="000000"/>
                <w:lang w:eastAsia="en-GB"/>
              </w:rPr>
              <w:t xml:space="preserve">more than </w:t>
            </w:r>
            <w:r w:rsidRPr="003758EE">
              <w:rPr>
                <w:rFonts w:eastAsia="Times New Roman" w:cs="Arial"/>
                <w:color w:val="000000"/>
                <w:lang w:eastAsia="en-GB"/>
              </w:rPr>
              <w:t xml:space="preserve">30% over 12 months, or </w:t>
            </w:r>
            <w:r w:rsidR="005F3D11">
              <w:rPr>
                <w:rFonts w:eastAsia="Times New Roman" w:cs="Arial"/>
                <w:color w:val="000000"/>
                <w:lang w:eastAsia="en-GB"/>
              </w:rPr>
              <w:t>e</w:t>
            </w:r>
            <w:r w:rsidRPr="003758EE">
              <w:rPr>
                <w:rFonts w:eastAsia="Times New Roman" w:cs="Arial"/>
                <w:color w:val="000000"/>
                <w:lang w:eastAsia="en-GB"/>
              </w:rPr>
              <w:t xml:space="preserve">GFR reduces to </w:t>
            </w:r>
            <w:r>
              <w:rPr>
                <w:rFonts w:eastAsia="Times New Roman" w:cs="Arial"/>
                <w:color w:val="000000"/>
                <w:lang w:eastAsia="en-GB"/>
              </w:rPr>
              <w:t xml:space="preserve">less than </w:t>
            </w:r>
            <w:r w:rsidRPr="003758EE">
              <w:rPr>
                <w:rFonts w:eastAsia="Times New Roman" w:cs="Arial"/>
                <w:color w:val="000000"/>
                <w:lang w:eastAsia="en-GB"/>
              </w:rPr>
              <w:t>60ml/min </w:t>
            </w:r>
          </w:p>
          <w:p w14:paraId="056AACBC" w14:textId="685FB4BD" w:rsidR="003758EE" w:rsidRPr="003758EE" w:rsidRDefault="003758EE" w:rsidP="003758EE">
            <w:pPr>
              <w:rPr>
                <w:rFonts w:cs="Arial"/>
              </w:rPr>
            </w:pPr>
          </w:p>
        </w:tc>
        <w:tc>
          <w:tcPr>
            <w:tcW w:w="5245" w:type="dxa"/>
          </w:tcPr>
          <w:p w14:paraId="4E913081" w14:textId="6727DB03" w:rsidR="003758EE" w:rsidRPr="003758EE" w:rsidRDefault="00340517" w:rsidP="003758EE">
            <w:pPr>
              <w:textAlignment w:val="baseline"/>
              <w:rPr>
                <w:rFonts w:eastAsia="Times New Roman" w:cs="Arial"/>
                <w:lang w:eastAsia="en-GB"/>
              </w:rPr>
            </w:pPr>
            <w:r>
              <w:rPr>
                <w:rFonts w:eastAsia="Times New Roman" w:cs="Arial"/>
                <w:color w:val="000000"/>
                <w:lang w:eastAsia="en-GB"/>
              </w:rPr>
              <w:t>D</w:t>
            </w:r>
            <w:r w:rsidR="003758EE" w:rsidRPr="003758EE">
              <w:rPr>
                <w:rFonts w:eastAsia="Times New Roman" w:cs="Arial"/>
                <w:color w:val="000000"/>
                <w:lang w:eastAsia="en-GB"/>
              </w:rPr>
              <w:t xml:space="preserve">iscuss </w:t>
            </w:r>
            <w:r>
              <w:rPr>
                <w:rFonts w:eastAsia="Times New Roman" w:cs="Arial"/>
                <w:color w:val="000000"/>
                <w:lang w:eastAsia="en-GB"/>
              </w:rPr>
              <w:t xml:space="preserve">urgently </w:t>
            </w:r>
            <w:r w:rsidR="003758EE" w:rsidRPr="003758EE">
              <w:rPr>
                <w:rFonts w:eastAsia="Times New Roman" w:cs="Arial"/>
                <w:color w:val="000000"/>
                <w:lang w:eastAsia="en-GB"/>
              </w:rPr>
              <w:t>with specialist team</w:t>
            </w:r>
            <w:r w:rsidR="003758EE">
              <w:rPr>
                <w:rFonts w:eastAsia="Times New Roman" w:cs="Arial"/>
                <w:color w:val="000000"/>
                <w:lang w:eastAsia="en-GB"/>
              </w:rPr>
              <w:t>.</w:t>
            </w:r>
          </w:p>
          <w:p w14:paraId="499E20D8" w14:textId="4CF4DA18" w:rsidR="003758EE" w:rsidRPr="003758EE" w:rsidRDefault="003758EE" w:rsidP="003758EE">
            <w:pPr>
              <w:rPr>
                <w:rFonts w:cs="Arial"/>
              </w:rPr>
            </w:pPr>
          </w:p>
        </w:tc>
      </w:tr>
      <w:tr w:rsidR="003758EE" w:rsidRPr="003758EE" w14:paraId="1D57B6D7" w14:textId="77777777" w:rsidTr="009F3449">
        <w:trPr>
          <w:cantSplit/>
          <w:trHeight w:val="48"/>
        </w:trPr>
        <w:tc>
          <w:tcPr>
            <w:tcW w:w="5245" w:type="dxa"/>
          </w:tcPr>
          <w:p w14:paraId="32FEABE4" w14:textId="77777777" w:rsidR="003758EE" w:rsidRPr="003758EE" w:rsidRDefault="003758EE" w:rsidP="003758EE">
            <w:pPr>
              <w:textAlignment w:val="baseline"/>
              <w:rPr>
                <w:rFonts w:eastAsia="Times New Roman" w:cs="Arial"/>
                <w:lang w:eastAsia="en-GB"/>
              </w:rPr>
            </w:pPr>
            <w:r w:rsidRPr="003758EE">
              <w:rPr>
                <w:rFonts w:eastAsia="Times New Roman" w:cs="Arial"/>
                <w:b/>
                <w:bCs/>
                <w:color w:val="000000"/>
                <w:lang w:eastAsia="en-GB"/>
              </w:rPr>
              <w:lastRenderedPageBreak/>
              <w:t>Gastrointestinal disorders</w:t>
            </w:r>
            <w:r w:rsidRPr="003758EE">
              <w:rPr>
                <w:rFonts w:eastAsia="Times New Roman" w:cs="Arial"/>
                <w:color w:val="000000"/>
                <w:lang w:eastAsia="en-GB"/>
              </w:rPr>
              <w:t>: </w:t>
            </w:r>
          </w:p>
          <w:p w14:paraId="0749D0BF" w14:textId="6F151A4C" w:rsidR="003758EE" w:rsidRPr="003758EE" w:rsidRDefault="003758EE" w:rsidP="003758EE">
            <w:pPr>
              <w:rPr>
                <w:rFonts w:cs="Arial"/>
              </w:rPr>
            </w:pPr>
            <w:r w:rsidRPr="003758EE">
              <w:rPr>
                <w:rFonts w:eastAsia="Times New Roman" w:cs="Arial"/>
                <w:color w:val="000000"/>
                <w:lang w:eastAsia="en-GB"/>
              </w:rPr>
              <w:t>Very common adverse effects include nausea and vomiting, abdominal cramps, diarrhoea and dyspepsia. </w:t>
            </w:r>
          </w:p>
        </w:tc>
        <w:tc>
          <w:tcPr>
            <w:tcW w:w="5245" w:type="dxa"/>
          </w:tcPr>
          <w:p w14:paraId="179ED8F6" w14:textId="77777777"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 xml:space="preserve">Review for reversible causes. Advise patient to take with food. If no improvement </w:t>
            </w:r>
            <w:proofErr w:type="gramStart"/>
            <w:r w:rsidRPr="003758EE">
              <w:rPr>
                <w:rFonts w:eastAsia="Times New Roman" w:cs="Arial"/>
                <w:color w:val="000000"/>
                <w:lang w:eastAsia="en-GB"/>
              </w:rPr>
              <w:t>contact</w:t>
            </w:r>
            <w:proofErr w:type="gramEnd"/>
            <w:r w:rsidRPr="003758EE">
              <w:rPr>
                <w:rFonts w:eastAsia="Times New Roman" w:cs="Arial"/>
                <w:color w:val="000000"/>
                <w:lang w:eastAsia="en-GB"/>
              </w:rPr>
              <w:t xml:space="preserve"> specialist team. </w:t>
            </w:r>
          </w:p>
          <w:p w14:paraId="13AE35EE" w14:textId="3AA5B7B0" w:rsidR="003758EE" w:rsidRPr="003758EE" w:rsidRDefault="003758EE" w:rsidP="003758EE">
            <w:pPr>
              <w:rPr>
                <w:rFonts w:cs="Arial"/>
              </w:rPr>
            </w:pPr>
          </w:p>
        </w:tc>
      </w:tr>
      <w:tr w:rsidR="003758EE" w:rsidRPr="003758EE" w14:paraId="38F6C6F9" w14:textId="77777777" w:rsidTr="0051526F">
        <w:trPr>
          <w:cantSplit/>
          <w:trHeight w:val="48"/>
        </w:trPr>
        <w:tc>
          <w:tcPr>
            <w:tcW w:w="5245" w:type="dxa"/>
          </w:tcPr>
          <w:p w14:paraId="43F618E1" w14:textId="77777777"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GI ulceration, bleeding and perforation  </w:t>
            </w:r>
          </w:p>
          <w:p w14:paraId="254FB770" w14:textId="2AB4E827" w:rsidR="003758EE" w:rsidRPr="003758EE" w:rsidRDefault="003758EE" w:rsidP="003758EE">
            <w:pPr>
              <w:rPr>
                <w:rFonts w:cs="Arial"/>
              </w:rPr>
            </w:pPr>
          </w:p>
        </w:tc>
        <w:tc>
          <w:tcPr>
            <w:tcW w:w="5245" w:type="dxa"/>
          </w:tcPr>
          <w:p w14:paraId="3EC57A6F" w14:textId="53253C77" w:rsidR="003758EE" w:rsidRPr="003758EE" w:rsidRDefault="003758EE" w:rsidP="003758EE">
            <w:pPr>
              <w:rPr>
                <w:rFonts w:cs="Arial"/>
              </w:rPr>
            </w:pPr>
            <w:r w:rsidRPr="003758EE">
              <w:rPr>
                <w:rFonts w:eastAsia="Times New Roman" w:cs="Arial"/>
                <w:color w:val="000000"/>
                <w:lang w:eastAsia="en-GB"/>
              </w:rPr>
              <w:t>Review for reversible causes. Withhold and discuss urgently with specialist team. </w:t>
            </w:r>
          </w:p>
        </w:tc>
      </w:tr>
      <w:tr w:rsidR="003758EE" w:rsidRPr="003758EE" w14:paraId="6C0FFF07" w14:textId="77777777" w:rsidTr="0051526F">
        <w:trPr>
          <w:cantSplit/>
          <w:trHeight w:val="48"/>
        </w:trPr>
        <w:tc>
          <w:tcPr>
            <w:tcW w:w="5245" w:type="dxa"/>
          </w:tcPr>
          <w:p w14:paraId="3A14071F" w14:textId="568D7B12" w:rsidR="003758EE" w:rsidRPr="003758EE" w:rsidRDefault="003758EE" w:rsidP="003758EE">
            <w:pPr>
              <w:rPr>
                <w:rFonts w:cs="Arial"/>
              </w:rPr>
            </w:pPr>
            <w:r w:rsidRPr="003758EE">
              <w:rPr>
                <w:rFonts w:eastAsia="Times New Roman" w:cs="Arial"/>
                <w:color w:val="000000"/>
                <w:lang w:eastAsia="en-GB"/>
              </w:rPr>
              <w:t>Suspected pancreatitis </w:t>
            </w:r>
          </w:p>
        </w:tc>
        <w:tc>
          <w:tcPr>
            <w:tcW w:w="5245" w:type="dxa"/>
          </w:tcPr>
          <w:p w14:paraId="0EBFB85A" w14:textId="55D80682" w:rsidR="003758EE" w:rsidRPr="003758EE" w:rsidRDefault="003758EE" w:rsidP="003758EE">
            <w:pPr>
              <w:textAlignment w:val="baseline"/>
              <w:rPr>
                <w:rFonts w:eastAsia="Times New Roman" w:cs="Arial"/>
                <w:color w:val="000000"/>
                <w:lang w:eastAsia="en-GB"/>
              </w:rPr>
            </w:pPr>
            <w:r w:rsidRPr="003758EE">
              <w:rPr>
                <w:rFonts w:eastAsia="Times New Roman" w:cs="Arial"/>
                <w:color w:val="000000"/>
                <w:lang w:eastAsia="en-GB"/>
              </w:rPr>
              <w:t>Withhold and discuss with specialist team </w:t>
            </w:r>
          </w:p>
        </w:tc>
      </w:tr>
      <w:tr w:rsidR="003758EE" w:rsidRPr="003758EE" w14:paraId="32C58BB9" w14:textId="77777777" w:rsidTr="0051526F">
        <w:trPr>
          <w:cantSplit/>
          <w:trHeight w:val="48"/>
        </w:trPr>
        <w:tc>
          <w:tcPr>
            <w:tcW w:w="5245" w:type="dxa"/>
          </w:tcPr>
          <w:p w14:paraId="6B347801" w14:textId="77777777" w:rsidR="003758EE" w:rsidRPr="003758EE" w:rsidRDefault="003758EE" w:rsidP="003758EE">
            <w:pPr>
              <w:textAlignment w:val="baseline"/>
              <w:rPr>
                <w:rFonts w:eastAsia="Times New Roman" w:cs="Arial"/>
                <w:lang w:eastAsia="en-GB"/>
              </w:rPr>
            </w:pPr>
            <w:r w:rsidRPr="003758EE">
              <w:rPr>
                <w:rFonts w:eastAsia="Times New Roman" w:cs="Arial"/>
                <w:b/>
                <w:bCs/>
                <w:color w:val="000000"/>
                <w:lang w:eastAsia="en-GB"/>
              </w:rPr>
              <w:t>Skin disorders</w:t>
            </w:r>
            <w:r w:rsidRPr="003758EE">
              <w:rPr>
                <w:rFonts w:eastAsia="Times New Roman" w:cs="Arial"/>
                <w:color w:val="000000"/>
                <w:lang w:eastAsia="en-GB"/>
              </w:rPr>
              <w:t>: </w:t>
            </w:r>
          </w:p>
          <w:p w14:paraId="4B6DB15E" w14:textId="5B7E9F9D"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Skin hypertrophy, acne, alopecia </w:t>
            </w:r>
          </w:p>
        </w:tc>
        <w:tc>
          <w:tcPr>
            <w:tcW w:w="5245" w:type="dxa"/>
          </w:tcPr>
          <w:p w14:paraId="6BB8FCC2" w14:textId="519A0664" w:rsidR="003758EE" w:rsidRPr="003758EE" w:rsidRDefault="003758EE" w:rsidP="003758EE">
            <w:pPr>
              <w:rPr>
                <w:rFonts w:cs="Arial"/>
              </w:rPr>
            </w:pPr>
            <w:r w:rsidRPr="003758EE">
              <w:rPr>
                <w:rFonts w:eastAsia="Times New Roman" w:cs="Arial"/>
                <w:color w:val="000000"/>
                <w:lang w:eastAsia="en-GB"/>
              </w:rPr>
              <w:t>Review for reversible causes. Discuss with specialist team if symptoms become troublesome. </w:t>
            </w:r>
          </w:p>
        </w:tc>
      </w:tr>
      <w:tr w:rsidR="003758EE" w:rsidRPr="003758EE" w14:paraId="438CD57B" w14:textId="77777777" w:rsidTr="0051526F">
        <w:trPr>
          <w:cantSplit/>
          <w:trHeight w:val="48"/>
        </w:trPr>
        <w:tc>
          <w:tcPr>
            <w:tcW w:w="5245" w:type="dxa"/>
          </w:tcPr>
          <w:p w14:paraId="1CF41CAC" w14:textId="77777777"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Rash </w:t>
            </w:r>
          </w:p>
          <w:p w14:paraId="17B4C112" w14:textId="77777777" w:rsidR="003758EE" w:rsidRPr="003758EE" w:rsidRDefault="003758EE" w:rsidP="003758EE">
            <w:pPr>
              <w:rPr>
                <w:rFonts w:cs="Arial"/>
              </w:rPr>
            </w:pPr>
          </w:p>
        </w:tc>
        <w:tc>
          <w:tcPr>
            <w:tcW w:w="5245" w:type="dxa"/>
          </w:tcPr>
          <w:p w14:paraId="6765B2E4" w14:textId="23BE2394"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Review for possible causes. If cause of rash thought to be mycophenolate or immune-mediated, withhold and discuss with specialist team. </w:t>
            </w:r>
          </w:p>
        </w:tc>
      </w:tr>
      <w:tr w:rsidR="003758EE" w:rsidRPr="003758EE" w14:paraId="37BD85F9" w14:textId="77777777" w:rsidTr="0051526F">
        <w:trPr>
          <w:cantSplit/>
          <w:trHeight w:val="48"/>
        </w:trPr>
        <w:tc>
          <w:tcPr>
            <w:tcW w:w="5245" w:type="dxa"/>
          </w:tcPr>
          <w:p w14:paraId="0785D3E3" w14:textId="77777777" w:rsidR="003758EE" w:rsidRPr="003758EE" w:rsidRDefault="003758EE" w:rsidP="003758EE">
            <w:pPr>
              <w:textAlignment w:val="baseline"/>
              <w:rPr>
                <w:rFonts w:eastAsia="Times New Roman" w:cs="Arial"/>
                <w:lang w:eastAsia="en-GB"/>
              </w:rPr>
            </w:pPr>
            <w:r w:rsidRPr="003758EE">
              <w:rPr>
                <w:rFonts w:eastAsia="Times New Roman" w:cs="Arial"/>
                <w:b/>
                <w:bCs/>
                <w:color w:val="000000"/>
                <w:lang w:eastAsia="en-GB"/>
              </w:rPr>
              <w:t>Other:</w:t>
            </w:r>
            <w:r w:rsidRPr="003758EE">
              <w:rPr>
                <w:rFonts w:eastAsia="Times New Roman" w:cs="Arial"/>
                <w:color w:val="000000"/>
                <w:lang w:eastAsia="en-GB"/>
              </w:rPr>
              <w:t> </w:t>
            </w:r>
          </w:p>
          <w:p w14:paraId="65F1D0DE" w14:textId="50679A90"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Neurological symptoms, psychiatric disorders, sudden onset or worsening of shortness of breath, cough or dyspnoea </w:t>
            </w:r>
          </w:p>
        </w:tc>
        <w:tc>
          <w:tcPr>
            <w:tcW w:w="5245" w:type="dxa"/>
          </w:tcPr>
          <w:p w14:paraId="0B8C1C78" w14:textId="77777777"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Review for reversible causes. Withhold and discuss with specialist team. </w:t>
            </w:r>
          </w:p>
          <w:p w14:paraId="074D3381" w14:textId="48EEDC18" w:rsidR="003758EE" w:rsidRPr="003758EE" w:rsidRDefault="003758EE" w:rsidP="003758EE">
            <w:pPr>
              <w:rPr>
                <w:rFonts w:cs="Arial"/>
              </w:rPr>
            </w:pPr>
          </w:p>
        </w:tc>
      </w:tr>
      <w:tr w:rsidR="003758EE" w:rsidRPr="003758EE" w14:paraId="214ED6F5" w14:textId="77777777" w:rsidTr="0051526F">
        <w:trPr>
          <w:cantSplit/>
          <w:trHeight w:val="48"/>
        </w:trPr>
        <w:tc>
          <w:tcPr>
            <w:tcW w:w="5245" w:type="dxa"/>
          </w:tcPr>
          <w:p w14:paraId="192CDB39" w14:textId="77777777" w:rsidR="003758EE" w:rsidRPr="003758EE" w:rsidRDefault="003758EE" w:rsidP="003758EE">
            <w:pPr>
              <w:textAlignment w:val="baseline"/>
              <w:rPr>
                <w:rFonts w:eastAsia="Times New Roman" w:cs="Arial"/>
                <w:lang w:eastAsia="en-GB"/>
              </w:rPr>
            </w:pPr>
            <w:r w:rsidRPr="003758EE">
              <w:rPr>
                <w:rFonts w:eastAsia="Times New Roman" w:cs="Arial"/>
                <w:color w:val="000000"/>
                <w:lang w:eastAsia="en-GB"/>
              </w:rPr>
              <w:t>Suspicion of malignancy </w:t>
            </w:r>
          </w:p>
          <w:p w14:paraId="7E88643E" w14:textId="37586C26" w:rsidR="003758EE" w:rsidRPr="003758EE" w:rsidRDefault="003758EE" w:rsidP="003758EE">
            <w:pPr>
              <w:rPr>
                <w:rFonts w:cs="Arial"/>
              </w:rPr>
            </w:pPr>
          </w:p>
        </w:tc>
        <w:tc>
          <w:tcPr>
            <w:tcW w:w="5245" w:type="dxa"/>
          </w:tcPr>
          <w:p w14:paraId="59049ED9" w14:textId="68E2D2F3" w:rsidR="003758EE" w:rsidRPr="003758EE" w:rsidRDefault="003758EE" w:rsidP="003758EE">
            <w:pPr>
              <w:rPr>
                <w:rFonts w:cs="Arial"/>
              </w:rPr>
            </w:pPr>
            <w:r w:rsidRPr="003758EE">
              <w:rPr>
                <w:rFonts w:eastAsia="Times New Roman" w:cs="Arial"/>
                <w:color w:val="000000"/>
                <w:lang w:eastAsia="en-GB"/>
              </w:rPr>
              <w:t>Discuss with specialist team. Refer for diagnosis and treatment of malignancy </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268"/>
        <w:gridCol w:w="8193"/>
      </w:tblGrid>
      <w:tr w:rsidR="00F132AA" w:rsidRPr="00F321FC" w14:paraId="399D38CB" w14:textId="77777777" w:rsidTr="00BF174A">
        <w:tc>
          <w:tcPr>
            <w:tcW w:w="2268" w:type="dxa"/>
          </w:tcPr>
          <w:p w14:paraId="139BFC3E" w14:textId="77777777" w:rsidR="00F132AA" w:rsidRDefault="001860C1" w:rsidP="001860C1">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5D79FA" w:rsidRDefault="005D79FA" w:rsidP="005D79FA"/>
          <w:p w14:paraId="7E51F76A" w14:textId="42531282" w:rsidR="005D79FA" w:rsidRPr="005D79FA" w:rsidRDefault="005D79FA" w:rsidP="005D79FA">
            <w:r w:rsidRPr="00F321FC">
              <w:rPr>
                <w:rFonts w:cs="Arial"/>
              </w:rPr>
              <w:t xml:space="preserve">The specialist will counsel the patient </w:t>
            </w:r>
            <w:proofErr w:type="gramStart"/>
            <w:r w:rsidRPr="00F321FC">
              <w:rPr>
                <w:rFonts w:cs="Arial"/>
              </w:rPr>
              <w:t>with regard to</w:t>
            </w:r>
            <w:proofErr w:type="gramEnd"/>
            <w:r w:rsidRPr="00F321FC">
              <w:rPr>
                <w:rFonts w:cs="Arial"/>
              </w:rPr>
              <w:t xml:space="preserve"> the benefits and risks of treatment and will provide the patient with any relevant information and advice, including patient information leaflets on individual drugs.</w:t>
            </w:r>
          </w:p>
        </w:tc>
        <w:tc>
          <w:tcPr>
            <w:tcW w:w="8193" w:type="dxa"/>
          </w:tcPr>
          <w:p w14:paraId="7C720F90" w14:textId="77777777" w:rsidR="003432C1" w:rsidRPr="003432C1" w:rsidRDefault="003432C1" w:rsidP="003432C1">
            <w:pPr>
              <w:rPr>
                <w:rFonts w:cs="Arial"/>
              </w:rPr>
            </w:pPr>
            <w:r w:rsidRPr="003432C1">
              <w:rPr>
                <w:rFonts w:cs="Arial"/>
                <w:b/>
                <w:bCs/>
              </w:rPr>
              <w:t>The patient should be advised to report any of the following signs or symptoms to their primary care prescriber without delay:          </w:t>
            </w:r>
            <w:r w:rsidRPr="003432C1">
              <w:rPr>
                <w:rFonts w:cs="Arial"/>
              </w:rPr>
              <w:t> </w:t>
            </w:r>
          </w:p>
          <w:p w14:paraId="3ECBFFF3" w14:textId="77777777" w:rsidR="003432C1" w:rsidRPr="003432C1" w:rsidRDefault="003432C1" w:rsidP="007D1085">
            <w:pPr>
              <w:numPr>
                <w:ilvl w:val="0"/>
                <w:numId w:val="15"/>
              </w:numPr>
              <w:rPr>
                <w:rFonts w:cs="Arial"/>
              </w:rPr>
            </w:pPr>
            <w:r w:rsidRPr="003432C1">
              <w:rPr>
                <w:rFonts w:cs="Arial"/>
              </w:rPr>
              <w:t>Rash </w:t>
            </w:r>
          </w:p>
          <w:p w14:paraId="3326D1D6" w14:textId="77777777" w:rsidR="003432C1" w:rsidRPr="003432C1" w:rsidRDefault="003432C1" w:rsidP="007D1085">
            <w:pPr>
              <w:numPr>
                <w:ilvl w:val="0"/>
                <w:numId w:val="15"/>
              </w:numPr>
              <w:rPr>
                <w:rFonts w:cs="Arial"/>
              </w:rPr>
            </w:pPr>
            <w:r w:rsidRPr="003432C1">
              <w:rPr>
                <w:rFonts w:cs="Arial"/>
              </w:rPr>
              <w:t>Abdominal pain or jaundice (skin or whites of the eyes appear yellow) </w:t>
            </w:r>
          </w:p>
          <w:p w14:paraId="734CE04C" w14:textId="77777777" w:rsidR="003432C1" w:rsidRPr="003432C1" w:rsidRDefault="003432C1" w:rsidP="007D1085">
            <w:pPr>
              <w:numPr>
                <w:ilvl w:val="0"/>
                <w:numId w:val="15"/>
              </w:numPr>
              <w:rPr>
                <w:rFonts w:cs="Arial"/>
              </w:rPr>
            </w:pPr>
            <w:r w:rsidRPr="003432C1">
              <w:rPr>
                <w:rFonts w:cs="Arial"/>
              </w:rPr>
              <w:t>Signs and symptoms suggestive of bone marrow suppression e.g. sore throat, oral ulceration, abnormal bruising or bleeding, or signs of infection.  </w:t>
            </w:r>
          </w:p>
          <w:p w14:paraId="6745B07A" w14:textId="77777777" w:rsidR="003432C1" w:rsidRPr="003432C1" w:rsidRDefault="003432C1" w:rsidP="007D1085">
            <w:pPr>
              <w:numPr>
                <w:ilvl w:val="0"/>
                <w:numId w:val="15"/>
              </w:numPr>
              <w:rPr>
                <w:rFonts w:cs="Arial"/>
              </w:rPr>
            </w:pPr>
            <w:r w:rsidRPr="003432C1">
              <w:rPr>
                <w:rFonts w:cs="Arial"/>
              </w:rPr>
              <w:t>Exposure to chickenpox or shingles or if the patient develops chicken pox or shingles. </w:t>
            </w:r>
          </w:p>
          <w:p w14:paraId="779035AC" w14:textId="252DC60E" w:rsidR="003432C1" w:rsidRDefault="003432C1" w:rsidP="007D1085">
            <w:pPr>
              <w:numPr>
                <w:ilvl w:val="0"/>
                <w:numId w:val="15"/>
              </w:numPr>
              <w:rPr>
                <w:rFonts w:cs="Arial"/>
              </w:rPr>
            </w:pPr>
            <w:r w:rsidRPr="003432C1">
              <w:rPr>
                <w:rFonts w:cs="Arial"/>
              </w:rPr>
              <w:t xml:space="preserve">Pregnancy or </w:t>
            </w:r>
            <w:r w:rsidR="007D1085">
              <w:rPr>
                <w:rFonts w:cs="Arial"/>
              </w:rPr>
              <w:t xml:space="preserve">they or their partner are </w:t>
            </w:r>
            <w:r w:rsidRPr="003432C1">
              <w:rPr>
                <w:rFonts w:cs="Arial"/>
              </w:rPr>
              <w:t>planning to become pregnant</w:t>
            </w:r>
            <w:r>
              <w:rPr>
                <w:rFonts w:cs="Arial"/>
              </w:rPr>
              <w:t>.</w:t>
            </w:r>
          </w:p>
          <w:p w14:paraId="351C0B20" w14:textId="77777777" w:rsidR="003432C1" w:rsidRPr="003432C1" w:rsidRDefault="003432C1" w:rsidP="003432C1">
            <w:pPr>
              <w:rPr>
                <w:rFonts w:cs="Arial"/>
              </w:rPr>
            </w:pPr>
          </w:p>
          <w:p w14:paraId="72680343" w14:textId="129BAE9F" w:rsidR="003432C1" w:rsidRPr="003432C1" w:rsidRDefault="003432C1" w:rsidP="003432C1">
            <w:pPr>
              <w:rPr>
                <w:rFonts w:cs="Arial"/>
              </w:rPr>
            </w:pPr>
            <w:r w:rsidRPr="003432C1">
              <w:rPr>
                <w:rFonts w:cs="Arial"/>
                <w:b/>
                <w:bCs/>
              </w:rPr>
              <w:t>The patient should be advised:</w:t>
            </w:r>
            <w:r w:rsidRPr="003432C1">
              <w:rPr>
                <w:rFonts w:cs="Arial"/>
              </w:rPr>
              <w:t> </w:t>
            </w:r>
          </w:p>
          <w:p w14:paraId="1B52243E" w14:textId="77777777" w:rsidR="003432C1" w:rsidRPr="003432C1" w:rsidRDefault="003432C1" w:rsidP="007D1085">
            <w:pPr>
              <w:numPr>
                <w:ilvl w:val="0"/>
                <w:numId w:val="15"/>
              </w:numPr>
              <w:rPr>
                <w:rFonts w:cs="Arial"/>
              </w:rPr>
            </w:pPr>
            <w:r w:rsidRPr="003432C1">
              <w:rPr>
                <w:rFonts w:cs="Arial"/>
              </w:rPr>
              <w:t>During a serious infection (requiring antibiotics) mycophenolate mofetil should be temporarily discontinued until the patient has recovered from the infection. </w:t>
            </w:r>
          </w:p>
          <w:p w14:paraId="39451E96" w14:textId="36E3F73D" w:rsidR="003432C1" w:rsidRPr="003432C1" w:rsidRDefault="003432C1" w:rsidP="007D1085">
            <w:pPr>
              <w:numPr>
                <w:ilvl w:val="0"/>
                <w:numId w:val="15"/>
              </w:numPr>
              <w:rPr>
                <w:rFonts w:cs="Arial"/>
              </w:rPr>
            </w:pPr>
            <w:r w:rsidRPr="003432C1">
              <w:rPr>
                <w:rFonts w:cs="Arial"/>
              </w:rPr>
              <w:t>If exposed to chickenpox or shingles patient must alert their primary care prescriber or specialist team and seek advice.  </w:t>
            </w:r>
          </w:p>
          <w:p w14:paraId="2BB345F2" w14:textId="77777777" w:rsidR="003432C1" w:rsidRPr="003432C1" w:rsidRDefault="003432C1" w:rsidP="007D1085">
            <w:pPr>
              <w:numPr>
                <w:ilvl w:val="0"/>
                <w:numId w:val="15"/>
              </w:numPr>
              <w:rPr>
                <w:rFonts w:cs="Arial"/>
              </w:rPr>
            </w:pPr>
            <w:r w:rsidRPr="003432C1">
              <w:rPr>
                <w:rFonts w:cs="Arial"/>
              </w:rPr>
              <w:t>That vaccination in line with current national advice (e.g. for COVID-19, influenza) is safe and recommended. </w:t>
            </w:r>
          </w:p>
          <w:p w14:paraId="178F2C82" w14:textId="77777777" w:rsidR="003432C1" w:rsidRPr="003432C1" w:rsidRDefault="003432C1" w:rsidP="007D1085">
            <w:pPr>
              <w:numPr>
                <w:ilvl w:val="0"/>
                <w:numId w:val="15"/>
              </w:numPr>
              <w:rPr>
                <w:rFonts w:cs="Arial"/>
              </w:rPr>
            </w:pPr>
            <w:r w:rsidRPr="003432C1">
              <w:rPr>
                <w:rFonts w:cs="Arial"/>
              </w:rPr>
              <w:t>Tell anyone who prescribes them a medicine that they are taking mycophenolate. Always ask a pharmacist before purchasing any medicines over the counter, including herbal remedies, and ask if they are safe. </w:t>
            </w:r>
          </w:p>
          <w:p w14:paraId="6AAB37AA" w14:textId="61A80F14" w:rsidR="003432C1" w:rsidRPr="003432C1" w:rsidRDefault="003432C1" w:rsidP="007D1085">
            <w:pPr>
              <w:numPr>
                <w:ilvl w:val="0"/>
                <w:numId w:val="15"/>
              </w:numPr>
              <w:rPr>
                <w:rFonts w:cs="Arial"/>
              </w:rPr>
            </w:pPr>
            <w:r w:rsidRPr="003432C1">
              <w:rPr>
                <w:rFonts w:cs="Arial"/>
              </w:rPr>
              <w:t xml:space="preserve">Patients have a small increased risk of skin cancers so should be advised to wear high factor sunscreen and to wear a hat and protective clothing when in </w:t>
            </w:r>
            <w:r w:rsidRPr="003432C1">
              <w:rPr>
                <w:rFonts w:cs="Arial"/>
              </w:rPr>
              <w:lastRenderedPageBreak/>
              <w:t>strong sunshine. Sun beds should be avoided. Patients should be advised to carry out regular self-examination of the skin and report if there are any new lesions and/or changes to skin. </w:t>
            </w:r>
          </w:p>
          <w:p w14:paraId="458356B0" w14:textId="77777777" w:rsidR="003432C1" w:rsidRPr="003432C1" w:rsidRDefault="003432C1" w:rsidP="007D1085">
            <w:pPr>
              <w:numPr>
                <w:ilvl w:val="0"/>
                <w:numId w:val="15"/>
              </w:numPr>
              <w:rPr>
                <w:rFonts w:cs="Arial"/>
              </w:rPr>
            </w:pPr>
            <w:r w:rsidRPr="003432C1">
              <w:rPr>
                <w:rFonts w:cs="Arial"/>
              </w:rPr>
              <w:t>Mycophenolate mofetil may cause somnolence, confusion, dizziness, tremor or hypotension, and therefore patients are advised to use caution when driving or using machines. </w:t>
            </w:r>
          </w:p>
          <w:p w14:paraId="5AA18749" w14:textId="3DDBC951" w:rsidR="003432C1" w:rsidRPr="003432C1" w:rsidRDefault="003432C1" w:rsidP="007D1085">
            <w:pPr>
              <w:numPr>
                <w:ilvl w:val="0"/>
                <w:numId w:val="15"/>
              </w:numPr>
              <w:rPr>
                <w:rFonts w:cs="Arial"/>
              </w:rPr>
            </w:pPr>
            <w:r w:rsidRPr="003432C1">
              <w:rPr>
                <w:rFonts w:cs="Arial"/>
              </w:rPr>
              <w:t>To use</w:t>
            </w:r>
            <w:r w:rsidR="008921F4">
              <w:rPr>
                <w:rFonts w:cs="Arial"/>
              </w:rPr>
              <w:t xml:space="preserve"> highly</w:t>
            </w:r>
            <w:r w:rsidRPr="003432C1">
              <w:rPr>
                <w:rFonts w:cs="Arial"/>
              </w:rPr>
              <w:t xml:space="preserve"> effective contraception</w:t>
            </w:r>
            <w:r w:rsidR="008921F4">
              <w:rPr>
                <w:rFonts w:cs="Arial"/>
              </w:rPr>
              <w:t xml:space="preserve"> (see section 12)</w:t>
            </w:r>
            <w:r w:rsidRPr="003432C1">
              <w:rPr>
                <w:rFonts w:cs="Arial"/>
              </w:rPr>
              <w:t>, and to take a pregnancy test if they think they could be pregnant. Patients should inform the specialist or GP immediately if they or their partner become pregnant or are planning a pregnancy. </w:t>
            </w:r>
          </w:p>
          <w:p w14:paraId="01CFE433" w14:textId="77777777" w:rsidR="003432C1" w:rsidRPr="003432C1" w:rsidRDefault="003432C1" w:rsidP="007D1085">
            <w:pPr>
              <w:numPr>
                <w:ilvl w:val="0"/>
                <w:numId w:val="15"/>
              </w:numPr>
              <w:rPr>
                <w:rFonts w:cs="Arial"/>
              </w:rPr>
            </w:pPr>
            <w:r w:rsidRPr="003432C1">
              <w:rPr>
                <w:rFonts w:cs="Arial"/>
              </w:rPr>
              <w:t>Not to donate blood during treatment or for 6 weeks after stopping, and not to donate semen during treatment or for 90 days after stopping. </w:t>
            </w:r>
          </w:p>
          <w:p w14:paraId="1F72227D" w14:textId="77777777" w:rsidR="003432C1" w:rsidRPr="003432C1" w:rsidRDefault="003432C1" w:rsidP="007D1085">
            <w:pPr>
              <w:numPr>
                <w:ilvl w:val="0"/>
                <w:numId w:val="15"/>
              </w:numPr>
              <w:rPr>
                <w:rFonts w:cs="Arial"/>
              </w:rPr>
            </w:pPr>
            <w:r w:rsidRPr="003432C1">
              <w:rPr>
                <w:rFonts w:cs="Arial"/>
              </w:rPr>
              <w:t>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 </w:t>
            </w:r>
          </w:p>
          <w:p w14:paraId="78A1E475" w14:textId="77777777" w:rsidR="003432C1" w:rsidRPr="003432C1" w:rsidRDefault="003432C1" w:rsidP="007D1085">
            <w:pPr>
              <w:numPr>
                <w:ilvl w:val="1"/>
                <w:numId w:val="15"/>
              </w:numPr>
              <w:rPr>
                <w:rFonts w:cs="Arial"/>
              </w:rPr>
            </w:pPr>
            <w:r w:rsidRPr="003432C1">
              <w:rPr>
                <w:rFonts w:cs="Arial"/>
              </w:rPr>
              <w:t xml:space="preserve">the </w:t>
            </w:r>
            <w:hyperlink r:id="rId28" w:tgtFrame="_blank" w:history="1">
              <w:r w:rsidRPr="003432C1">
                <w:rPr>
                  <w:rStyle w:val="Hyperlink"/>
                  <w:rFonts w:cs="Arial"/>
                </w:rPr>
                <w:t>Green Book (Chapter 34)</w:t>
              </w:r>
            </w:hyperlink>
            <w:r w:rsidRPr="003432C1">
              <w:rPr>
                <w:rFonts w:cs="Arial"/>
              </w:rPr>
              <w:t>  </w:t>
            </w:r>
          </w:p>
          <w:p w14:paraId="75C6658B" w14:textId="371899B9" w:rsidR="003432C1" w:rsidRDefault="003432C1" w:rsidP="007D1085">
            <w:pPr>
              <w:numPr>
                <w:ilvl w:val="1"/>
                <w:numId w:val="15"/>
              </w:numPr>
              <w:rPr>
                <w:rFonts w:cs="Arial"/>
              </w:rPr>
            </w:pPr>
            <w:r w:rsidRPr="003432C1">
              <w:rPr>
                <w:rFonts w:cs="Arial"/>
              </w:rPr>
              <w:t xml:space="preserve">UKHSA guidance: </w:t>
            </w:r>
            <w:hyperlink r:id="rId29" w:history="1">
              <w:r w:rsidRPr="00594008">
                <w:rPr>
                  <w:rStyle w:val="Hyperlink"/>
                  <w:rFonts w:cs="Arial"/>
                </w:rPr>
                <w:t>Guidelines on post exposure prophylaxis (PEP) for varicella/shingles</w:t>
              </w:r>
            </w:hyperlink>
            <w:r w:rsidRPr="003432C1">
              <w:rPr>
                <w:rFonts w:cs="Arial"/>
              </w:rPr>
              <w:t>.  </w:t>
            </w:r>
          </w:p>
          <w:p w14:paraId="69DFD878" w14:textId="77777777" w:rsidR="003432C1" w:rsidRPr="003432C1" w:rsidRDefault="003432C1" w:rsidP="003432C1">
            <w:pPr>
              <w:rPr>
                <w:rFonts w:cs="Arial"/>
              </w:rPr>
            </w:pPr>
          </w:p>
          <w:p w14:paraId="57328E3D" w14:textId="77777777" w:rsidR="003432C1" w:rsidRPr="003432C1" w:rsidRDefault="003432C1" w:rsidP="003432C1">
            <w:pPr>
              <w:rPr>
                <w:rFonts w:cs="Arial"/>
              </w:rPr>
            </w:pPr>
            <w:r w:rsidRPr="003432C1">
              <w:rPr>
                <w:rFonts w:cs="Arial"/>
                <w:u w:val="single"/>
              </w:rPr>
              <w:t>Patient information leaflets</w:t>
            </w:r>
            <w:r w:rsidRPr="003432C1">
              <w:rPr>
                <w:rFonts w:cs="Arial"/>
              </w:rPr>
              <w:t>: </w:t>
            </w:r>
          </w:p>
          <w:p w14:paraId="4987A708" w14:textId="2FEF7F03" w:rsidR="003432C1" w:rsidRPr="003432C1" w:rsidRDefault="003432C1" w:rsidP="003432C1">
            <w:pPr>
              <w:rPr>
                <w:rFonts w:cs="Arial"/>
              </w:rPr>
            </w:pPr>
            <w:r w:rsidRPr="003432C1">
              <w:rPr>
                <w:rFonts w:cs="Arial"/>
              </w:rPr>
              <w:t xml:space="preserve">General information: </w:t>
            </w:r>
            <w:hyperlink r:id="rId30" w:tgtFrame="_blank" w:history="1">
              <w:r>
                <w:rPr>
                  <w:rStyle w:val="Hyperlink"/>
                  <w:rFonts w:cs="Arial"/>
                </w:rPr>
                <w:t>Patient.info</w:t>
              </w:r>
            </w:hyperlink>
            <w:r w:rsidRPr="003432C1">
              <w:rPr>
                <w:rFonts w:cs="Arial"/>
              </w:rPr>
              <w:t>  </w:t>
            </w:r>
          </w:p>
          <w:p w14:paraId="741FB4D2" w14:textId="673F8AD4" w:rsidR="003432C1" w:rsidRPr="003432C1" w:rsidRDefault="003432C1" w:rsidP="003432C1">
            <w:pPr>
              <w:rPr>
                <w:rFonts w:cs="Arial"/>
              </w:rPr>
            </w:pPr>
            <w:r w:rsidRPr="003432C1">
              <w:rPr>
                <w:rFonts w:cs="Arial"/>
              </w:rPr>
              <w:t xml:space="preserve">Rheumatology: </w:t>
            </w:r>
            <w:hyperlink r:id="rId31" w:tgtFrame="_blank" w:history="1">
              <w:r>
                <w:rPr>
                  <w:rStyle w:val="Hyperlink"/>
                  <w:rFonts w:cs="Arial"/>
                </w:rPr>
                <w:t>Versus Arthritis</w:t>
              </w:r>
            </w:hyperlink>
            <w:r w:rsidRPr="003432C1">
              <w:rPr>
                <w:rFonts w:cs="Arial"/>
              </w:rPr>
              <w:t>  </w:t>
            </w:r>
          </w:p>
          <w:p w14:paraId="7F68D119" w14:textId="7986C5A0" w:rsidR="003432C1" w:rsidRPr="003432C1" w:rsidRDefault="003432C1" w:rsidP="003432C1">
            <w:pPr>
              <w:rPr>
                <w:rFonts w:cs="Arial"/>
              </w:rPr>
            </w:pPr>
            <w:r w:rsidRPr="003432C1">
              <w:rPr>
                <w:rFonts w:cs="Arial"/>
              </w:rPr>
              <w:t xml:space="preserve">Dermatology: </w:t>
            </w:r>
            <w:hyperlink r:id="rId32" w:tgtFrame="_blank" w:history="1">
              <w:r>
                <w:rPr>
                  <w:rStyle w:val="Hyperlink"/>
                  <w:rFonts w:cs="Arial"/>
                </w:rPr>
                <w:t>British Association of Dermatologists</w:t>
              </w:r>
            </w:hyperlink>
            <w:r w:rsidRPr="003432C1">
              <w:rPr>
                <w:rFonts w:cs="Arial"/>
              </w:rPr>
              <w:t>  </w:t>
            </w:r>
          </w:p>
          <w:p w14:paraId="298DA26F" w14:textId="57130BA7" w:rsidR="00F132AA" w:rsidRPr="007A56FB" w:rsidRDefault="003432C1" w:rsidP="007A56FB">
            <w:pPr>
              <w:rPr>
                <w:rFonts w:cs="Arial"/>
              </w:rPr>
            </w:pPr>
            <w:r w:rsidRPr="003432C1">
              <w:rPr>
                <w:rFonts w:cs="Arial"/>
              </w:rPr>
              <w:t xml:space="preserve">Patient information leaflets are also available from </w:t>
            </w:r>
            <w:hyperlink r:id="rId33" w:tgtFrame="_blank" w:history="1">
              <w:r>
                <w:rPr>
                  <w:rStyle w:val="Hyperlink"/>
                  <w:rFonts w:cs="Arial"/>
                </w:rPr>
                <w:t>e</w:t>
              </w:r>
              <w:r w:rsidR="00B53534">
                <w:rPr>
                  <w:rStyle w:val="Hyperlink"/>
                  <w:rFonts w:cs="Arial"/>
                </w:rPr>
                <w:t>l</w:t>
              </w:r>
              <w:r w:rsidR="00B53534">
                <w:rPr>
                  <w:rStyle w:val="Hyperlink"/>
                </w:rPr>
                <w:t>ectronic medicines compendium</w:t>
              </w:r>
            </w:hyperlink>
          </w:p>
        </w:tc>
      </w:tr>
      <w:tr w:rsidR="001860C1" w:rsidRPr="00F321FC" w14:paraId="317161E6" w14:textId="77777777" w:rsidTr="00BF174A">
        <w:tc>
          <w:tcPr>
            <w:tcW w:w="2268" w:type="dxa"/>
          </w:tcPr>
          <w:p w14:paraId="7BADD8F8" w14:textId="77777777" w:rsidR="001860C1" w:rsidRDefault="009F106E" w:rsidP="009F106E">
            <w:pPr>
              <w:pStyle w:val="Heading2"/>
              <w:rPr>
                <w:rFonts w:cs="Arial"/>
              </w:rPr>
            </w:pPr>
            <w:bookmarkStart w:id="20" w:name="twelve_pregnancy"/>
            <w:bookmarkStart w:id="21" w:name="_Toc149231796"/>
            <w:r w:rsidRPr="00F321FC">
              <w:rPr>
                <w:rFonts w:cs="Arial"/>
              </w:rPr>
              <w:t>Pregnancy</w:t>
            </w:r>
            <w:r w:rsidR="00FB404F">
              <w:rPr>
                <w:rFonts w:cs="Arial"/>
              </w:rPr>
              <w:t>, paternal exposure</w:t>
            </w:r>
            <w:r w:rsidRPr="00F321FC">
              <w:rPr>
                <w:rFonts w:cs="Arial"/>
              </w:rPr>
              <w:t xml:space="preserve"> and breastfeeding</w:t>
            </w:r>
            <w:bookmarkEnd w:id="20"/>
            <w:bookmarkEnd w:id="21"/>
          </w:p>
          <w:p w14:paraId="0AE00B39" w14:textId="77777777" w:rsidR="005D79FA" w:rsidRDefault="005D79FA" w:rsidP="005D79FA"/>
          <w:p w14:paraId="4C3ACC97" w14:textId="3495C602" w:rsidR="005D79FA" w:rsidRPr="005D79FA" w:rsidRDefault="005D79FA" w:rsidP="0051526F"/>
        </w:tc>
        <w:tc>
          <w:tcPr>
            <w:tcW w:w="8193" w:type="dxa"/>
          </w:tcPr>
          <w:p w14:paraId="588B71AB" w14:textId="77777777" w:rsidR="0051526F" w:rsidRDefault="0051526F" w:rsidP="0051526F">
            <w:pPr>
              <w:rPr>
                <w:rFonts w:cs="Arial"/>
              </w:rPr>
            </w:pPr>
            <w:r w:rsidRPr="00FB404F">
              <w:rPr>
                <w:rFonts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7F5D565C" w14:textId="77777777" w:rsidR="0051526F" w:rsidRDefault="0051526F" w:rsidP="0051526F">
            <w:pPr>
              <w:rPr>
                <w:rFonts w:cs="Arial"/>
              </w:rPr>
            </w:pPr>
          </w:p>
          <w:p w14:paraId="4A3684A3" w14:textId="77777777" w:rsidR="003432C1" w:rsidRPr="003432C1" w:rsidRDefault="003432C1" w:rsidP="003432C1">
            <w:pPr>
              <w:rPr>
                <w:rFonts w:cs="Arial"/>
              </w:rPr>
            </w:pPr>
            <w:r w:rsidRPr="003432C1">
              <w:rPr>
                <w:rFonts w:cs="Arial"/>
                <w:b/>
                <w:bCs/>
              </w:rPr>
              <w:t>All patients should be informed of the risks and benefits of taking this medicine during pregnancy and breastfeeding. The specialist team should be contacted if a patient becomes pregnant or is planning to become pregnant or breastfeed.</w:t>
            </w:r>
            <w:r w:rsidRPr="003432C1">
              <w:rPr>
                <w:rFonts w:cs="Arial"/>
              </w:rPr>
              <w:t> </w:t>
            </w:r>
          </w:p>
          <w:p w14:paraId="288B4E2A" w14:textId="77777777" w:rsidR="003432C1" w:rsidRPr="003432C1" w:rsidRDefault="003432C1" w:rsidP="003432C1">
            <w:pPr>
              <w:rPr>
                <w:rFonts w:cs="Arial"/>
              </w:rPr>
            </w:pPr>
            <w:r w:rsidRPr="003432C1">
              <w:rPr>
                <w:rFonts w:cs="Arial"/>
              </w:rPr>
              <w:t> </w:t>
            </w:r>
          </w:p>
          <w:p w14:paraId="034258C9" w14:textId="77777777" w:rsidR="003432C1" w:rsidRPr="003432C1" w:rsidRDefault="003432C1" w:rsidP="003432C1">
            <w:pPr>
              <w:rPr>
                <w:rFonts w:cs="Arial"/>
              </w:rPr>
            </w:pPr>
            <w:r w:rsidRPr="003432C1">
              <w:rPr>
                <w:rFonts w:cs="Arial"/>
                <w:b/>
                <w:bCs/>
                <w:u w:val="single"/>
              </w:rPr>
              <w:t>Pregnancy</w:t>
            </w:r>
            <w:r w:rsidRPr="003432C1">
              <w:rPr>
                <w:rFonts w:cs="Arial"/>
                <w:b/>
                <w:bCs/>
              </w:rPr>
              <w:t>:</w:t>
            </w:r>
            <w:r w:rsidRPr="003432C1">
              <w:rPr>
                <w:rFonts w:cs="Arial"/>
              </w:rPr>
              <w:t> </w:t>
            </w:r>
          </w:p>
          <w:p w14:paraId="1F9CA2B3" w14:textId="77777777" w:rsidR="007D1085" w:rsidRDefault="003432C1" w:rsidP="003432C1">
            <w:pPr>
              <w:rPr>
                <w:rFonts w:cs="Arial"/>
              </w:rPr>
            </w:pPr>
            <w:r w:rsidRPr="003432C1">
              <w:rPr>
                <w:rFonts w:cs="Arial"/>
                <w:b/>
                <w:bCs/>
              </w:rPr>
              <w:t>Mycophenolate is contraindicated during pregnancy or breastfeeding. Contraception should be used for 6 weeks after stopping the drug.</w:t>
            </w:r>
            <w:r w:rsidRPr="003432C1">
              <w:rPr>
                <w:rFonts w:cs="Arial"/>
              </w:rPr>
              <w:t> </w:t>
            </w:r>
          </w:p>
          <w:p w14:paraId="2354BAFD" w14:textId="13F4563A" w:rsidR="003432C1" w:rsidRPr="003432C1" w:rsidRDefault="007D1085" w:rsidP="003432C1">
            <w:pPr>
              <w:rPr>
                <w:rFonts w:cs="Arial"/>
              </w:rPr>
            </w:pPr>
            <w:r w:rsidRPr="007D1085">
              <w:rPr>
                <w:rFonts w:cs="Arial"/>
              </w:rPr>
              <w:t>Treatment should not be initiated without providing a negative pregnancy tes</w:t>
            </w:r>
            <w:r>
              <w:rPr>
                <w:rFonts w:cs="Arial"/>
              </w:rPr>
              <w:t xml:space="preserve">t. </w:t>
            </w:r>
            <w:r w:rsidR="003432C1" w:rsidRPr="003432C1">
              <w:rPr>
                <w:rFonts w:cs="Arial"/>
              </w:rPr>
              <w:t> </w:t>
            </w:r>
          </w:p>
          <w:p w14:paraId="04963696" w14:textId="77777777" w:rsidR="003432C1" w:rsidRPr="003432C1" w:rsidRDefault="003432C1" w:rsidP="003432C1">
            <w:pPr>
              <w:rPr>
                <w:rFonts w:cs="Arial"/>
              </w:rPr>
            </w:pPr>
            <w:r w:rsidRPr="003432C1">
              <w:rPr>
                <w:rFonts w:cs="Arial"/>
              </w:rPr>
              <w:t xml:space="preserve">Because of the genotoxic and teratogenic potential of mycophenolate mofetil, people of childbearing potential must use at least one highly effective form of contraception before and during treatment and for six weeks after stopping mycophenolate unless abstinence is the chosen method of contraception.  Two forms of contraception used simultaneously are preferred. See </w:t>
            </w:r>
            <w:hyperlink r:id="rId34" w:tgtFrame="_blank" w:history="1">
              <w:r w:rsidRPr="003432C1">
                <w:rPr>
                  <w:rStyle w:val="Hyperlink"/>
                  <w:rFonts w:cs="Arial"/>
                </w:rPr>
                <w:t>MHRA Drug safety update</w:t>
              </w:r>
            </w:hyperlink>
            <w:r w:rsidRPr="003432C1">
              <w:rPr>
                <w:rFonts w:cs="Arial"/>
              </w:rPr>
              <w:t xml:space="preserve"> and </w:t>
            </w:r>
            <w:hyperlink r:id="rId35" w:tgtFrame="_blank" w:history="1">
              <w:r w:rsidRPr="003432C1">
                <w:rPr>
                  <w:rStyle w:val="Hyperlink"/>
                  <w:rFonts w:cs="Arial"/>
                </w:rPr>
                <w:t>letter sent to healthcare professionals</w:t>
              </w:r>
            </w:hyperlink>
            <w:r w:rsidRPr="003432C1">
              <w:rPr>
                <w:rFonts w:cs="Arial"/>
              </w:rPr>
              <w:t>. See also more recent advice: </w:t>
            </w:r>
          </w:p>
          <w:p w14:paraId="11B8C53A" w14:textId="77777777" w:rsidR="003432C1" w:rsidRPr="003432C1" w:rsidRDefault="003432C1" w:rsidP="001B5AFA">
            <w:pPr>
              <w:numPr>
                <w:ilvl w:val="0"/>
                <w:numId w:val="17"/>
              </w:numPr>
              <w:rPr>
                <w:rFonts w:cs="Arial"/>
              </w:rPr>
            </w:pPr>
            <w:hyperlink r:id="rId36" w:anchor="need-for-pregnancy-testing" w:tgtFrame="_blank" w:history="1">
              <w:r w:rsidRPr="003432C1">
                <w:rPr>
                  <w:rStyle w:val="Hyperlink"/>
                  <w:rFonts w:cs="Arial"/>
                </w:rPr>
                <w:t>MHRA Drug Safety Update: Medicines with teratogenic potential: what is effective contraception and how often is pregnancy testing needed?</w:t>
              </w:r>
            </w:hyperlink>
            <w:r w:rsidRPr="003432C1">
              <w:rPr>
                <w:rFonts w:cs="Arial"/>
              </w:rPr>
              <w:t> </w:t>
            </w:r>
          </w:p>
          <w:p w14:paraId="78730667" w14:textId="77777777" w:rsidR="003432C1" w:rsidRPr="003432C1" w:rsidRDefault="003432C1" w:rsidP="001B5AFA">
            <w:pPr>
              <w:numPr>
                <w:ilvl w:val="0"/>
                <w:numId w:val="17"/>
              </w:numPr>
              <w:rPr>
                <w:rFonts w:cs="Arial"/>
              </w:rPr>
            </w:pPr>
            <w:hyperlink r:id="rId37" w:tgtFrame="_blank" w:history="1">
              <w:r w:rsidRPr="003432C1">
                <w:rPr>
                  <w:rStyle w:val="Hyperlink"/>
                  <w:rFonts w:cs="Arial"/>
                </w:rPr>
                <w:t>Faculty of Sexual and Reproductive Healthcare statement on contraception for women using known teratogenic drugs or drugs with potential teratogenic effects</w:t>
              </w:r>
            </w:hyperlink>
            <w:r w:rsidRPr="003432C1">
              <w:rPr>
                <w:rFonts w:cs="Arial"/>
              </w:rPr>
              <w:t>. </w:t>
            </w:r>
          </w:p>
          <w:p w14:paraId="6FC9906E" w14:textId="77777777" w:rsidR="003432C1" w:rsidRPr="003432C1" w:rsidRDefault="003432C1" w:rsidP="003432C1">
            <w:pPr>
              <w:rPr>
                <w:rFonts w:cs="Arial"/>
              </w:rPr>
            </w:pPr>
          </w:p>
          <w:p w14:paraId="22B6C546" w14:textId="77777777" w:rsidR="003432C1" w:rsidRPr="003432C1" w:rsidRDefault="003432C1" w:rsidP="003432C1">
            <w:pPr>
              <w:rPr>
                <w:rFonts w:cs="Arial"/>
              </w:rPr>
            </w:pPr>
            <w:r w:rsidRPr="003432C1">
              <w:rPr>
                <w:rFonts w:cs="Arial"/>
              </w:rPr>
              <w:t>Methods of contraception which are considered ‘highly effective’ in this context include the long-acting reversible contraceptives (LARC) copper intrauterine device (Cu-IUD), levonorgestrel intrauterine system (LNG-IUS) and progestogen-only implant (IMP) and male and female sterilisation, all of which have a failure rate of less than 1% with typical use. (Note that patients using IMP must not take any interacting drugs that could reduce contraceptive effectiveness). </w:t>
            </w:r>
          </w:p>
          <w:p w14:paraId="58BAC4E7" w14:textId="42589059" w:rsidR="003432C1" w:rsidRPr="003432C1" w:rsidRDefault="003432C1" w:rsidP="001B5AFA">
            <w:pPr>
              <w:pStyle w:val="ListParagraph"/>
              <w:numPr>
                <w:ilvl w:val="0"/>
                <w:numId w:val="18"/>
              </w:numPr>
              <w:rPr>
                <w:rFonts w:cs="Arial"/>
              </w:rPr>
            </w:pPr>
            <w:r w:rsidRPr="003432C1">
              <w:rPr>
                <w:rFonts w:cs="Arial"/>
              </w:rPr>
              <w:t xml:space="preserve">Information for healthcare professionals: </w:t>
            </w:r>
            <w:hyperlink r:id="rId38" w:tgtFrame="_blank" w:history="1">
              <w:r w:rsidRPr="003432C1">
                <w:rPr>
                  <w:rStyle w:val="Hyperlink"/>
                  <w:rFonts w:cs="Arial"/>
                </w:rPr>
                <w:t>UK Teratology Information Services (UKTIS)</w:t>
              </w:r>
            </w:hyperlink>
            <w:r w:rsidRPr="003432C1">
              <w:rPr>
                <w:rFonts w:cs="Arial"/>
              </w:rPr>
              <w:t>  </w:t>
            </w:r>
          </w:p>
          <w:p w14:paraId="1020ADC9" w14:textId="159DCD89" w:rsidR="003432C1" w:rsidRPr="003432C1" w:rsidRDefault="003432C1" w:rsidP="001B5AFA">
            <w:pPr>
              <w:pStyle w:val="ListParagraph"/>
              <w:numPr>
                <w:ilvl w:val="0"/>
                <w:numId w:val="18"/>
              </w:numPr>
              <w:rPr>
                <w:rFonts w:cs="Arial"/>
              </w:rPr>
            </w:pPr>
            <w:r w:rsidRPr="003432C1">
              <w:rPr>
                <w:rFonts w:cs="Arial"/>
              </w:rPr>
              <w:t xml:space="preserve">Information for patients and carers: </w:t>
            </w:r>
            <w:hyperlink r:id="rId39" w:tgtFrame="_blank" w:history="1">
              <w:r w:rsidRPr="003432C1">
                <w:rPr>
                  <w:rStyle w:val="Hyperlink"/>
                  <w:rFonts w:cs="Arial"/>
                </w:rPr>
                <w:t xml:space="preserve">Best Use </w:t>
              </w:r>
              <w:r w:rsidR="00960D9E">
                <w:rPr>
                  <w:rStyle w:val="Hyperlink"/>
                  <w:rFonts w:cs="Arial"/>
                </w:rPr>
                <w:t>o</w:t>
              </w:r>
              <w:r w:rsidRPr="003432C1">
                <w:rPr>
                  <w:rStyle w:val="Hyperlink"/>
                  <w:rFonts w:cs="Arial"/>
                </w:rPr>
                <w:t>f Medicines in Pregnancy (BUMPs)</w:t>
              </w:r>
            </w:hyperlink>
            <w:r w:rsidRPr="003432C1">
              <w:rPr>
                <w:rFonts w:cs="Arial"/>
              </w:rPr>
              <w:t>  </w:t>
            </w:r>
          </w:p>
          <w:p w14:paraId="50B79FA8" w14:textId="77777777" w:rsidR="003432C1" w:rsidRPr="003432C1" w:rsidRDefault="003432C1" w:rsidP="003432C1">
            <w:pPr>
              <w:rPr>
                <w:rFonts w:cs="Arial"/>
              </w:rPr>
            </w:pPr>
            <w:r w:rsidRPr="003432C1">
              <w:rPr>
                <w:rFonts w:cs="Arial"/>
              </w:rPr>
              <w:t> </w:t>
            </w:r>
          </w:p>
          <w:p w14:paraId="2F74CD3E" w14:textId="77777777" w:rsidR="003432C1" w:rsidRPr="003432C1" w:rsidRDefault="003432C1" w:rsidP="003432C1">
            <w:pPr>
              <w:rPr>
                <w:rFonts w:cs="Arial"/>
              </w:rPr>
            </w:pPr>
            <w:r w:rsidRPr="003432C1">
              <w:rPr>
                <w:rFonts w:cs="Arial"/>
                <w:b/>
                <w:bCs/>
                <w:u w:val="single"/>
              </w:rPr>
              <w:t>Breastfeeding</w:t>
            </w:r>
            <w:r w:rsidRPr="003432C1">
              <w:rPr>
                <w:rFonts w:cs="Arial"/>
                <w:b/>
                <w:bCs/>
              </w:rPr>
              <w:t>:</w:t>
            </w:r>
            <w:r w:rsidRPr="003432C1">
              <w:rPr>
                <w:rFonts w:cs="Arial"/>
              </w:rPr>
              <w:t> </w:t>
            </w:r>
          </w:p>
          <w:p w14:paraId="2EF29BDE" w14:textId="5EC3569E" w:rsidR="003432C1" w:rsidRPr="003432C1" w:rsidRDefault="003432C1" w:rsidP="003432C1">
            <w:pPr>
              <w:rPr>
                <w:rFonts w:cs="Arial"/>
              </w:rPr>
            </w:pPr>
            <w:r w:rsidRPr="003432C1">
              <w:rPr>
                <w:rFonts w:cs="Arial"/>
              </w:rPr>
              <w:t>Mycophenolate should not be prescribed for people who are breastfeeding</w:t>
            </w:r>
            <w:r>
              <w:rPr>
                <w:rFonts w:cs="Arial"/>
              </w:rPr>
              <w:t>.</w:t>
            </w:r>
          </w:p>
          <w:p w14:paraId="2C524D0C" w14:textId="03F999FC" w:rsidR="003432C1" w:rsidRPr="003432C1" w:rsidRDefault="003432C1" w:rsidP="003432C1">
            <w:pPr>
              <w:rPr>
                <w:rFonts w:cs="Arial"/>
              </w:rPr>
            </w:pPr>
            <w:r w:rsidRPr="003432C1">
              <w:rPr>
                <w:rFonts w:cs="Arial"/>
              </w:rPr>
              <w:t xml:space="preserve">Information for healthcare professionals: </w:t>
            </w:r>
            <w:hyperlink r:id="rId40" w:tgtFrame="_blank" w:history="1">
              <w:r>
                <w:rPr>
                  <w:rStyle w:val="Hyperlink"/>
                  <w:rFonts w:cs="Arial"/>
                </w:rPr>
                <w:t>UK Drugs in Lactation Advisory Service (</w:t>
              </w:r>
              <w:proofErr w:type="spellStart"/>
              <w:r>
                <w:rPr>
                  <w:rStyle w:val="Hyperlink"/>
                  <w:rFonts w:cs="Arial"/>
                </w:rPr>
                <w:t>UKDiLAS</w:t>
              </w:r>
              <w:proofErr w:type="spellEnd"/>
              <w:r>
                <w:rPr>
                  <w:rStyle w:val="Hyperlink"/>
                  <w:rFonts w:cs="Arial"/>
                </w:rPr>
                <w:t>)</w:t>
              </w:r>
            </w:hyperlink>
            <w:r w:rsidRPr="003432C1">
              <w:rPr>
                <w:rFonts w:cs="Arial"/>
              </w:rPr>
              <w:t>  </w:t>
            </w:r>
          </w:p>
          <w:p w14:paraId="6C627E14" w14:textId="77777777" w:rsidR="003432C1" w:rsidRPr="003432C1" w:rsidRDefault="003432C1" w:rsidP="003432C1">
            <w:pPr>
              <w:rPr>
                <w:rFonts w:cs="Arial"/>
              </w:rPr>
            </w:pPr>
            <w:r w:rsidRPr="003432C1">
              <w:rPr>
                <w:rFonts w:cs="Arial"/>
              </w:rPr>
              <w:t> </w:t>
            </w:r>
          </w:p>
          <w:p w14:paraId="198BB25D" w14:textId="77777777" w:rsidR="003432C1" w:rsidRPr="003432C1" w:rsidRDefault="003432C1" w:rsidP="003432C1">
            <w:pPr>
              <w:rPr>
                <w:rFonts w:cs="Arial"/>
              </w:rPr>
            </w:pPr>
            <w:r w:rsidRPr="003432C1">
              <w:rPr>
                <w:rFonts w:cs="Arial"/>
                <w:b/>
                <w:bCs/>
                <w:u w:val="single"/>
              </w:rPr>
              <w:t>Paternal exposure</w:t>
            </w:r>
            <w:r w:rsidRPr="003432C1">
              <w:rPr>
                <w:rFonts w:cs="Arial"/>
              </w:rPr>
              <w:t>: </w:t>
            </w:r>
          </w:p>
          <w:p w14:paraId="2E1E85DB" w14:textId="77777777" w:rsidR="003432C1" w:rsidRDefault="003432C1" w:rsidP="007A56FB">
            <w:pPr>
              <w:rPr>
                <w:rFonts w:cs="Arial"/>
              </w:rPr>
            </w:pPr>
            <w:r w:rsidRPr="003432C1">
              <w:rPr>
                <w:rFonts w:cs="Arial"/>
              </w:rPr>
              <w:t xml:space="preserve">Limited evidence does not indicate an increased risk of malformations or miscarriages in pregnancies where the father is taking mycophenolate.  However, mycophenolate is </w:t>
            </w:r>
            <w:proofErr w:type="gramStart"/>
            <w:r w:rsidRPr="003432C1">
              <w:rPr>
                <w:rFonts w:cs="Arial"/>
              </w:rPr>
              <w:t>genotoxic</w:t>
            </w:r>
            <w:proofErr w:type="gramEnd"/>
            <w:r w:rsidRPr="003432C1">
              <w:rPr>
                <w:rFonts w:cs="Arial"/>
              </w:rPr>
              <w:t xml:space="preserve"> and the risk cannot be fully excluded.  It is therefore recommended that male patients or their female partners use reliable contraception during treatment, and for at least 90 days after stopping mycophenolate.</w:t>
            </w:r>
          </w:p>
          <w:p w14:paraId="06C7937A" w14:textId="6401ECE3" w:rsidR="007A56FB" w:rsidRPr="007A56FB" w:rsidRDefault="003432C1" w:rsidP="007A56FB">
            <w:pPr>
              <w:rPr>
                <w:rFonts w:cs="Arial"/>
              </w:rPr>
            </w:pPr>
            <w:r w:rsidRPr="003432C1">
              <w:rPr>
                <w:rFonts w:cs="Arial"/>
              </w:rPr>
              <w:t xml:space="preserve">See MHRA Drug Safety Update: </w:t>
            </w:r>
            <w:hyperlink r:id="rId41" w:tgtFrame="_blank" w:history="1">
              <w:r w:rsidRPr="003432C1">
                <w:rPr>
                  <w:rStyle w:val="Hyperlink"/>
                  <w:rFonts w:cs="Arial"/>
                </w:rPr>
                <w:t>Mycophenolate mofetil, mycophenolic acid, updated contraception advice for male patients (Feb 2018)</w:t>
              </w:r>
            </w:hyperlink>
            <w:r w:rsidRPr="003432C1">
              <w:rPr>
                <w:rFonts w:cs="Arial"/>
              </w:rPr>
              <w:t> </w:t>
            </w:r>
          </w:p>
        </w:tc>
      </w:tr>
      <w:tr w:rsidR="00767B99" w:rsidRPr="00F321FC" w14:paraId="6398E15E" w14:textId="77777777" w:rsidTr="00BF174A">
        <w:tc>
          <w:tcPr>
            <w:tcW w:w="2268" w:type="dxa"/>
          </w:tcPr>
          <w:p w14:paraId="6BB398C7" w14:textId="6C037366" w:rsidR="00767B99" w:rsidRPr="00F321FC" w:rsidRDefault="00767B99" w:rsidP="00767B99">
            <w:pPr>
              <w:pStyle w:val="Heading2"/>
              <w:rPr>
                <w:rFonts w:cs="Arial"/>
              </w:rPr>
            </w:pPr>
            <w:bookmarkStart w:id="22" w:name="thirteen_specialist_contact"/>
            <w:bookmarkStart w:id="23" w:name="_Toc149231797"/>
            <w:r w:rsidRPr="00F321FC">
              <w:rPr>
                <w:rFonts w:cs="Arial"/>
              </w:rPr>
              <w:t>Specialist contact information</w:t>
            </w:r>
            <w:r>
              <w:rPr>
                <w:rFonts w:cs="Arial"/>
              </w:rPr>
              <w:t xml:space="preserve"> and arrangements for referral</w:t>
            </w:r>
            <w:bookmarkEnd w:id="22"/>
            <w:bookmarkEnd w:id="23"/>
          </w:p>
        </w:tc>
        <w:tc>
          <w:tcPr>
            <w:tcW w:w="8193" w:type="dxa"/>
          </w:tcPr>
          <w:p w14:paraId="63F90746" w14:textId="50CF500D" w:rsidR="00767B99" w:rsidRPr="0035604E" w:rsidRDefault="00340517" w:rsidP="00FB404F">
            <w:pPr>
              <w:rPr>
                <w:rFonts w:cs="Arial"/>
              </w:rPr>
            </w:pPr>
            <w:r>
              <w:rPr>
                <w:rFonts w:cs="Arial"/>
              </w:rPr>
              <w:t>Details for contacting specialist must be included on the</w:t>
            </w:r>
            <w:r w:rsidR="0035604E" w:rsidRPr="0035604E">
              <w:rPr>
                <w:rFonts w:cs="Arial"/>
              </w:rPr>
              <w:t xml:space="preserve"> clinic letter</w:t>
            </w:r>
            <w:r>
              <w:rPr>
                <w:rFonts w:cs="Arial"/>
              </w:rPr>
              <w:t>.</w:t>
            </w:r>
          </w:p>
        </w:tc>
      </w:tr>
      <w:tr w:rsidR="00767B99" w:rsidRPr="00F321FC" w14:paraId="207E7612" w14:textId="77777777" w:rsidTr="00BF174A">
        <w:tc>
          <w:tcPr>
            <w:tcW w:w="2268" w:type="dxa"/>
          </w:tcPr>
          <w:p w14:paraId="1F87C246" w14:textId="316BF7A3" w:rsidR="00767B99" w:rsidRPr="00F321FC" w:rsidRDefault="00767B99" w:rsidP="00767B99">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193" w:type="dxa"/>
          </w:tcPr>
          <w:p w14:paraId="3634BE8A" w14:textId="5D969788" w:rsidR="00767B99" w:rsidRPr="00F321FC" w:rsidRDefault="005D79FA" w:rsidP="00FB404F">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767B99" w:rsidRPr="00F321FC" w14:paraId="6B6F9FF7" w14:textId="77777777" w:rsidTr="00BF174A">
        <w:tc>
          <w:tcPr>
            <w:tcW w:w="2268" w:type="dxa"/>
          </w:tcPr>
          <w:p w14:paraId="4580613D" w14:textId="3D2EB4DF" w:rsidR="00767B99" w:rsidRPr="00F321FC" w:rsidRDefault="00767B99" w:rsidP="00767B99">
            <w:pPr>
              <w:pStyle w:val="Heading2"/>
              <w:rPr>
                <w:rFonts w:cs="Arial"/>
              </w:rPr>
            </w:pPr>
            <w:bookmarkStart w:id="26" w:name="fifteen_references"/>
            <w:bookmarkStart w:id="27" w:name="_Toc149231799"/>
            <w:r w:rsidRPr="00F321FC">
              <w:rPr>
                <w:rFonts w:cs="Arial"/>
              </w:rPr>
              <w:t>References</w:t>
            </w:r>
            <w:bookmarkEnd w:id="26"/>
            <w:bookmarkEnd w:id="27"/>
          </w:p>
        </w:tc>
        <w:tc>
          <w:tcPr>
            <w:tcW w:w="8193" w:type="dxa"/>
          </w:tcPr>
          <w:p w14:paraId="16BFAA52" w14:textId="6F3FA767" w:rsidR="009F34F9" w:rsidRPr="00301F73" w:rsidRDefault="00960D9E"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British National Formulary. Accessed via https://bnf.nice.org.uk/ on 30/11/23</w:t>
            </w:r>
          </w:p>
          <w:p w14:paraId="6D7D16EE" w14:textId="5ED00515" w:rsidR="001B5AFA" w:rsidRPr="00301F73" w:rsidRDefault="001B5AFA"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color w:val="000000"/>
                <w:sz w:val="22"/>
                <w:szCs w:val="22"/>
              </w:rPr>
              <w:t>Mycophenolate mofetil 250 mg capsules (</w:t>
            </w:r>
            <w:proofErr w:type="spellStart"/>
            <w:r w:rsidRPr="00301F73">
              <w:rPr>
                <w:rStyle w:val="normaltextrun"/>
                <w:rFonts w:ascii="Arial" w:hAnsi="Arial" w:cs="Arial"/>
                <w:color w:val="000000"/>
                <w:sz w:val="22"/>
                <w:szCs w:val="22"/>
              </w:rPr>
              <w:t>CellCept</w:t>
            </w:r>
            <w:proofErr w:type="spellEnd"/>
            <w:r w:rsidRPr="00301F73">
              <w:rPr>
                <w:rStyle w:val="normaltextrun"/>
                <w:rFonts w:ascii="Arial" w:hAnsi="Arial" w:cs="Arial"/>
                <w:color w:val="000000"/>
                <w:sz w:val="22"/>
                <w:szCs w:val="22"/>
              </w:rPr>
              <w:t xml:space="preserve">®). Date of revision of the text </w:t>
            </w:r>
            <w:r w:rsidR="004B3ACB" w:rsidRPr="00301F73">
              <w:rPr>
                <w:rStyle w:val="normaltextrun"/>
                <w:rFonts w:ascii="Arial" w:hAnsi="Arial" w:cs="Arial"/>
                <w:color w:val="000000"/>
                <w:sz w:val="22"/>
                <w:szCs w:val="22"/>
              </w:rPr>
              <w:t>2</w:t>
            </w:r>
            <w:r w:rsidR="004B3ACB" w:rsidRPr="003D3A14">
              <w:rPr>
                <w:rStyle w:val="normaltextrun"/>
                <w:rFonts w:ascii="Arial" w:hAnsi="Arial" w:cs="Arial"/>
                <w:color w:val="000000"/>
                <w:sz w:val="22"/>
                <w:szCs w:val="22"/>
              </w:rPr>
              <w:t>2/07/22</w:t>
            </w:r>
            <w:r w:rsidRPr="00301F73">
              <w:rPr>
                <w:rStyle w:val="normaltextrun"/>
                <w:rFonts w:ascii="Arial" w:hAnsi="Arial" w:cs="Arial"/>
                <w:color w:val="000000"/>
                <w:sz w:val="22"/>
                <w:szCs w:val="22"/>
              </w:rPr>
              <w:t>. Accessed via</w:t>
            </w:r>
            <w:r w:rsidRPr="00301F73">
              <w:rPr>
                <w:rStyle w:val="normaltextrun"/>
                <w:rFonts w:ascii="Arial" w:hAnsi="Arial" w:cs="Arial"/>
                <w:color w:val="FF0000"/>
                <w:sz w:val="22"/>
                <w:szCs w:val="22"/>
              </w:rPr>
              <w:t xml:space="preserve"> </w:t>
            </w:r>
            <w:hyperlink r:id="rId42" w:tgtFrame="_blank" w:history="1">
              <w:r w:rsidRPr="00301F73">
                <w:rPr>
                  <w:rStyle w:val="normaltextrun"/>
                  <w:rFonts w:ascii="Arial" w:hAnsi="Arial" w:cs="Arial"/>
                  <w:color w:val="0000FF"/>
                  <w:sz w:val="22"/>
                  <w:szCs w:val="22"/>
                  <w:u w:val="single"/>
                </w:rPr>
                <w:t>https://www.medicines.org.uk/emc/product/1102</w:t>
              </w:r>
            </w:hyperlink>
            <w:r w:rsidRPr="00301F73">
              <w:rPr>
                <w:rStyle w:val="normaltextrun"/>
                <w:rFonts w:ascii="Arial" w:hAnsi="Arial" w:cs="Arial"/>
                <w:color w:val="000000"/>
                <w:sz w:val="22"/>
                <w:szCs w:val="22"/>
              </w:rPr>
              <w:t xml:space="preserve"> on </w:t>
            </w:r>
            <w:r w:rsidR="004B3ACB" w:rsidRPr="00301F73">
              <w:rPr>
                <w:rStyle w:val="normaltextrun"/>
                <w:rFonts w:ascii="Arial" w:hAnsi="Arial" w:cs="Arial"/>
                <w:color w:val="000000"/>
                <w:sz w:val="22"/>
                <w:szCs w:val="22"/>
              </w:rPr>
              <w:t>30</w:t>
            </w:r>
            <w:r w:rsidR="004B3ACB" w:rsidRPr="003D3A14">
              <w:rPr>
                <w:rStyle w:val="normaltextrun"/>
                <w:rFonts w:ascii="Arial" w:hAnsi="Arial" w:cs="Arial"/>
                <w:color w:val="000000"/>
                <w:sz w:val="22"/>
                <w:szCs w:val="22"/>
              </w:rPr>
              <w:t>/11/23.</w:t>
            </w:r>
            <w:r w:rsidRPr="00301F73">
              <w:rPr>
                <w:rStyle w:val="eop"/>
                <w:rFonts w:ascii="Arial" w:hAnsi="Arial" w:cs="Arial"/>
                <w:color w:val="000000"/>
                <w:sz w:val="22"/>
                <w:szCs w:val="22"/>
              </w:rPr>
              <w:t> </w:t>
            </w:r>
          </w:p>
          <w:p w14:paraId="59E32A67" w14:textId="1D1437A3" w:rsidR="009F34F9" w:rsidRPr="003D3A14" w:rsidRDefault="001B5AFA" w:rsidP="00960D9E">
            <w:pPr>
              <w:pStyle w:val="paragraph"/>
              <w:numPr>
                <w:ilvl w:val="0"/>
                <w:numId w:val="20"/>
              </w:numPr>
              <w:spacing w:before="60" w:beforeAutospacing="0" w:after="60" w:afterAutospacing="0"/>
              <w:textAlignment w:val="baseline"/>
              <w:rPr>
                <w:rStyle w:val="normaltextrun"/>
                <w:rFonts w:ascii="Arial" w:hAnsi="Arial" w:cs="Arial"/>
                <w:sz w:val="22"/>
                <w:szCs w:val="22"/>
              </w:rPr>
            </w:pPr>
            <w:r w:rsidRPr="00301F73">
              <w:rPr>
                <w:rStyle w:val="normaltextrun"/>
                <w:rFonts w:ascii="Arial" w:hAnsi="Arial" w:cs="Arial"/>
                <w:color w:val="000000"/>
                <w:sz w:val="22"/>
                <w:szCs w:val="22"/>
              </w:rPr>
              <w:t>Mycophenolate mofetil 500 mg film-coated tablets (</w:t>
            </w:r>
            <w:proofErr w:type="spellStart"/>
            <w:r w:rsidRPr="00301F73">
              <w:rPr>
                <w:rStyle w:val="normaltextrun"/>
                <w:rFonts w:ascii="Arial" w:hAnsi="Arial" w:cs="Arial"/>
                <w:color w:val="000000"/>
                <w:sz w:val="22"/>
                <w:szCs w:val="22"/>
              </w:rPr>
              <w:t>Cellcept</w:t>
            </w:r>
            <w:proofErr w:type="spellEnd"/>
            <w:r w:rsidRPr="00301F73">
              <w:rPr>
                <w:rStyle w:val="normaltextrun"/>
                <w:rFonts w:ascii="Arial" w:hAnsi="Arial" w:cs="Arial"/>
                <w:color w:val="000000"/>
                <w:sz w:val="22"/>
                <w:szCs w:val="22"/>
              </w:rPr>
              <w:t xml:space="preserve">®). Date of revision of the text </w:t>
            </w:r>
            <w:r w:rsidR="009F34F9" w:rsidRPr="00301F73">
              <w:rPr>
                <w:rStyle w:val="normaltextrun"/>
                <w:rFonts w:ascii="Arial" w:hAnsi="Arial" w:cs="Arial"/>
                <w:color w:val="000000"/>
                <w:sz w:val="22"/>
                <w:szCs w:val="22"/>
              </w:rPr>
              <w:t>2</w:t>
            </w:r>
            <w:r w:rsidR="009F34F9" w:rsidRPr="003D3A14">
              <w:rPr>
                <w:rStyle w:val="normaltextrun"/>
                <w:rFonts w:ascii="Arial" w:hAnsi="Arial" w:cs="Arial"/>
                <w:color w:val="000000"/>
                <w:sz w:val="22"/>
                <w:szCs w:val="22"/>
              </w:rPr>
              <w:t>2/07/22</w:t>
            </w:r>
            <w:r w:rsidRPr="00301F73">
              <w:rPr>
                <w:rStyle w:val="normaltextrun"/>
                <w:rFonts w:ascii="Arial" w:hAnsi="Arial" w:cs="Arial"/>
                <w:color w:val="000000"/>
                <w:sz w:val="22"/>
                <w:szCs w:val="22"/>
              </w:rPr>
              <w:t>. Accessed via</w:t>
            </w:r>
            <w:r w:rsidRPr="00301F73">
              <w:rPr>
                <w:rStyle w:val="normaltextrun"/>
                <w:rFonts w:ascii="Arial" w:hAnsi="Arial" w:cs="Arial"/>
                <w:color w:val="FF0000"/>
                <w:sz w:val="22"/>
                <w:szCs w:val="22"/>
              </w:rPr>
              <w:t xml:space="preserve"> </w:t>
            </w:r>
            <w:hyperlink r:id="rId43" w:history="1">
              <w:r w:rsidR="009F34F9" w:rsidRPr="003D3A14">
                <w:rPr>
                  <w:rStyle w:val="Hyperlink"/>
                  <w:rFonts w:ascii="Arial" w:hAnsi="Arial" w:cs="Arial"/>
                  <w:color w:val="0000FF"/>
                  <w:sz w:val="22"/>
                  <w:szCs w:val="22"/>
                </w:rPr>
                <w:t>https://www.medicines.org.uk/emc/product/1103</w:t>
              </w:r>
            </w:hyperlink>
            <w:r w:rsidR="009F34F9" w:rsidRPr="003D3A14">
              <w:rPr>
                <w:rStyle w:val="normaltextrun"/>
                <w:rFonts w:ascii="Arial" w:hAnsi="Arial" w:cs="Arial"/>
                <w:color w:val="000000"/>
                <w:sz w:val="22"/>
                <w:szCs w:val="22"/>
              </w:rPr>
              <w:t xml:space="preserve"> on 30/11/23</w:t>
            </w:r>
            <w:r w:rsidR="009F34F9" w:rsidRPr="00301F73">
              <w:rPr>
                <w:rStyle w:val="normaltextrun"/>
                <w:rFonts w:ascii="Arial" w:hAnsi="Arial" w:cs="Arial"/>
                <w:color w:val="000000"/>
                <w:sz w:val="22"/>
                <w:szCs w:val="22"/>
              </w:rPr>
              <w:t>.</w:t>
            </w:r>
          </w:p>
          <w:p w14:paraId="72E59F25" w14:textId="47A35A4A" w:rsidR="001B5AFA" w:rsidRPr="00301F73" w:rsidRDefault="009F34F9"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eop"/>
                <w:rFonts w:ascii="Arial" w:hAnsi="Arial" w:cs="Arial"/>
                <w:color w:val="000000"/>
                <w:sz w:val="22"/>
                <w:szCs w:val="22"/>
              </w:rPr>
              <w:t>P</w:t>
            </w:r>
            <w:r w:rsidRPr="003D3A14">
              <w:rPr>
                <w:rStyle w:val="eop"/>
                <w:rFonts w:ascii="Arial" w:hAnsi="Arial" w:cs="Arial"/>
                <w:sz w:val="22"/>
                <w:szCs w:val="22"/>
              </w:rPr>
              <w:t xml:space="preserve">ackage leaflet: Information for the patient. </w:t>
            </w:r>
            <w:proofErr w:type="spellStart"/>
            <w:r w:rsidRPr="003D3A14">
              <w:rPr>
                <w:rStyle w:val="eop"/>
                <w:rFonts w:ascii="Arial" w:hAnsi="Arial" w:cs="Arial"/>
                <w:sz w:val="22"/>
                <w:szCs w:val="22"/>
              </w:rPr>
              <w:t>CellCept</w:t>
            </w:r>
            <w:proofErr w:type="spellEnd"/>
            <w:r w:rsidRPr="003D3A14">
              <w:rPr>
                <w:rStyle w:val="eop"/>
                <w:rFonts w:ascii="Arial" w:hAnsi="Arial" w:cs="Arial"/>
                <w:sz w:val="22"/>
                <w:szCs w:val="22"/>
              </w:rPr>
              <w:t xml:space="preserve"> 500 mg film-coated tablets. May 2023. Accessed via </w:t>
            </w:r>
            <w:hyperlink r:id="rId44" w:history="1">
              <w:r w:rsidRPr="003D3A14">
                <w:rPr>
                  <w:rStyle w:val="Hyperlink"/>
                  <w:rFonts w:ascii="Arial" w:hAnsi="Arial" w:cs="Arial"/>
                  <w:color w:val="0000FF"/>
                  <w:sz w:val="22"/>
                  <w:szCs w:val="22"/>
                </w:rPr>
                <w:t>https://www.medicines.org.uk/emc/files/pil.1103.pdf</w:t>
              </w:r>
            </w:hyperlink>
            <w:r w:rsidRPr="003D3A14">
              <w:rPr>
                <w:rStyle w:val="eop"/>
                <w:rFonts w:ascii="Arial" w:hAnsi="Arial" w:cs="Arial"/>
                <w:sz w:val="22"/>
                <w:szCs w:val="22"/>
              </w:rPr>
              <w:t xml:space="preserve"> on 23/02/24</w:t>
            </w:r>
            <w:r w:rsidRPr="00301F73">
              <w:rPr>
                <w:rStyle w:val="eop"/>
                <w:rFonts w:ascii="Arial" w:hAnsi="Arial" w:cs="Arial"/>
                <w:color w:val="000000"/>
                <w:sz w:val="22"/>
                <w:szCs w:val="22"/>
              </w:rPr>
              <w:t>.</w:t>
            </w:r>
          </w:p>
          <w:p w14:paraId="6E1743DA" w14:textId="58A7ADB3" w:rsidR="001B5AFA" w:rsidRPr="00301F73" w:rsidRDefault="001B5AFA"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color w:val="000000"/>
                <w:sz w:val="22"/>
                <w:szCs w:val="22"/>
              </w:rPr>
              <w:lastRenderedPageBreak/>
              <w:t>Mycophenolate mofetil 1g/5 mL powder for oral suspension (</w:t>
            </w:r>
            <w:proofErr w:type="spellStart"/>
            <w:r w:rsidRPr="00301F73">
              <w:rPr>
                <w:rStyle w:val="normaltextrun"/>
                <w:rFonts w:ascii="Arial" w:hAnsi="Arial" w:cs="Arial"/>
                <w:color w:val="000000"/>
                <w:sz w:val="22"/>
                <w:szCs w:val="22"/>
              </w:rPr>
              <w:t>CellCept</w:t>
            </w:r>
            <w:proofErr w:type="spellEnd"/>
            <w:r w:rsidRPr="00301F73">
              <w:rPr>
                <w:rStyle w:val="normaltextrun"/>
                <w:rFonts w:ascii="Arial" w:hAnsi="Arial" w:cs="Arial"/>
                <w:color w:val="000000"/>
                <w:sz w:val="22"/>
                <w:szCs w:val="22"/>
              </w:rPr>
              <w:t xml:space="preserve">®). Date of revision of the text </w:t>
            </w:r>
            <w:r w:rsidR="009F34F9" w:rsidRPr="00301F73">
              <w:rPr>
                <w:rStyle w:val="normaltextrun"/>
                <w:rFonts w:ascii="Arial" w:hAnsi="Arial" w:cs="Arial"/>
                <w:color w:val="000000"/>
                <w:sz w:val="22"/>
                <w:szCs w:val="22"/>
              </w:rPr>
              <w:t>2</w:t>
            </w:r>
            <w:r w:rsidR="009F34F9" w:rsidRPr="003D3A14">
              <w:rPr>
                <w:rStyle w:val="normaltextrun"/>
                <w:rFonts w:ascii="Arial" w:hAnsi="Arial" w:cs="Arial"/>
                <w:color w:val="000000"/>
                <w:sz w:val="22"/>
                <w:szCs w:val="22"/>
              </w:rPr>
              <w:t>2/07/22</w:t>
            </w:r>
            <w:r w:rsidRPr="00301F73">
              <w:rPr>
                <w:rStyle w:val="normaltextrun"/>
                <w:rFonts w:ascii="Arial" w:hAnsi="Arial" w:cs="Arial"/>
                <w:color w:val="000000"/>
                <w:sz w:val="22"/>
                <w:szCs w:val="22"/>
              </w:rPr>
              <w:t>. Accessed via</w:t>
            </w:r>
            <w:r w:rsidRPr="00301F73">
              <w:rPr>
                <w:rStyle w:val="normaltextrun"/>
                <w:rFonts w:ascii="Arial" w:hAnsi="Arial" w:cs="Arial"/>
                <w:color w:val="FF0000"/>
                <w:sz w:val="22"/>
                <w:szCs w:val="22"/>
              </w:rPr>
              <w:t xml:space="preserve"> </w:t>
            </w:r>
            <w:hyperlink r:id="rId45" w:tgtFrame="_blank" w:history="1">
              <w:r w:rsidRPr="00301F73">
                <w:rPr>
                  <w:rStyle w:val="normaltextrun"/>
                  <w:rFonts w:ascii="Arial" w:hAnsi="Arial" w:cs="Arial"/>
                  <w:color w:val="0000FF"/>
                  <w:sz w:val="22"/>
                  <w:szCs w:val="22"/>
                  <w:u w:val="single"/>
                </w:rPr>
                <w:t>https://www.medicines.org.uk/emc/product/1569</w:t>
              </w:r>
            </w:hyperlink>
            <w:r w:rsidRPr="00301F73">
              <w:rPr>
                <w:rStyle w:val="normaltextrun"/>
                <w:rFonts w:ascii="Arial" w:hAnsi="Arial" w:cs="Arial"/>
                <w:color w:val="0000FF"/>
                <w:sz w:val="22"/>
                <w:szCs w:val="22"/>
                <w:u w:val="single"/>
              </w:rPr>
              <w:t xml:space="preserve"> </w:t>
            </w:r>
            <w:r w:rsidRPr="00301F73">
              <w:rPr>
                <w:rStyle w:val="normaltextrun"/>
                <w:rFonts w:ascii="Arial" w:hAnsi="Arial" w:cs="Arial"/>
                <w:color w:val="000000"/>
                <w:sz w:val="22"/>
                <w:szCs w:val="22"/>
              </w:rPr>
              <w:t xml:space="preserve">on </w:t>
            </w:r>
            <w:r w:rsidR="009F34F9" w:rsidRPr="00301F73">
              <w:rPr>
                <w:rStyle w:val="normaltextrun"/>
                <w:rFonts w:ascii="Arial" w:hAnsi="Arial" w:cs="Arial"/>
                <w:color w:val="000000"/>
                <w:sz w:val="22"/>
                <w:szCs w:val="22"/>
              </w:rPr>
              <w:t>30/11/23.</w:t>
            </w:r>
            <w:r w:rsidRPr="00301F73">
              <w:rPr>
                <w:rStyle w:val="eop"/>
                <w:rFonts w:ascii="Arial" w:hAnsi="Arial" w:cs="Arial"/>
                <w:color w:val="000000"/>
                <w:sz w:val="22"/>
                <w:szCs w:val="22"/>
              </w:rPr>
              <w:t> </w:t>
            </w:r>
          </w:p>
          <w:p w14:paraId="0D92F451" w14:textId="37BE428B" w:rsidR="001B5AFA" w:rsidRPr="00301F73" w:rsidRDefault="001B5AFA"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Mycophenolate mofetil 250 mg hard capsules (</w:t>
            </w:r>
            <w:proofErr w:type="spellStart"/>
            <w:r w:rsidRPr="00301F73">
              <w:rPr>
                <w:rStyle w:val="normaltextrun"/>
                <w:rFonts w:ascii="Arial" w:hAnsi="Arial" w:cs="Arial"/>
                <w:sz w:val="22"/>
                <w:szCs w:val="22"/>
              </w:rPr>
              <w:t>Myfenax</w:t>
            </w:r>
            <w:proofErr w:type="spellEnd"/>
            <w:r w:rsidRPr="00301F73">
              <w:rPr>
                <w:rStyle w:val="normaltextrun"/>
                <w:rFonts w:ascii="Arial" w:hAnsi="Arial" w:cs="Arial"/>
                <w:sz w:val="22"/>
                <w:szCs w:val="22"/>
              </w:rPr>
              <w:t xml:space="preserve">®). Date of revision of the text </w:t>
            </w:r>
            <w:r w:rsidR="008246C7" w:rsidRPr="00301F73">
              <w:rPr>
                <w:rStyle w:val="normaltextrun"/>
                <w:rFonts w:ascii="Arial" w:hAnsi="Arial" w:cs="Arial"/>
                <w:sz w:val="22"/>
                <w:szCs w:val="22"/>
              </w:rPr>
              <w:t>3</w:t>
            </w:r>
            <w:r w:rsidR="008246C7" w:rsidRPr="003D3A14">
              <w:rPr>
                <w:rStyle w:val="normaltextrun"/>
                <w:rFonts w:ascii="Arial" w:hAnsi="Arial" w:cs="Arial"/>
                <w:sz w:val="22"/>
                <w:szCs w:val="22"/>
              </w:rPr>
              <w:t>0/06/23</w:t>
            </w:r>
            <w:r w:rsidRPr="00301F73">
              <w:rPr>
                <w:rStyle w:val="normaltextrun"/>
                <w:rFonts w:ascii="Arial" w:hAnsi="Arial" w:cs="Arial"/>
                <w:sz w:val="22"/>
                <w:szCs w:val="22"/>
              </w:rPr>
              <w:t xml:space="preserve">. Accessed via </w:t>
            </w:r>
            <w:hyperlink r:id="rId46" w:tgtFrame="_blank" w:history="1">
              <w:r w:rsidRPr="00301F73">
                <w:rPr>
                  <w:rStyle w:val="normaltextrun"/>
                  <w:rFonts w:ascii="Arial" w:hAnsi="Arial" w:cs="Arial"/>
                  <w:color w:val="0000FF"/>
                  <w:sz w:val="22"/>
                  <w:szCs w:val="22"/>
                  <w:u w:val="single"/>
                </w:rPr>
                <w:t>https://www.medicines.org.uk/emc/product/9293</w:t>
              </w:r>
            </w:hyperlink>
            <w:r w:rsidRPr="00301F73">
              <w:rPr>
                <w:rStyle w:val="normaltextrun"/>
                <w:rFonts w:ascii="Arial" w:hAnsi="Arial" w:cs="Arial"/>
                <w:sz w:val="22"/>
                <w:szCs w:val="22"/>
              </w:rPr>
              <w:t xml:space="preserve"> on </w:t>
            </w:r>
            <w:r w:rsidR="008246C7" w:rsidRPr="00301F73">
              <w:rPr>
                <w:rStyle w:val="normaltextrun"/>
                <w:rFonts w:ascii="Arial" w:hAnsi="Arial" w:cs="Arial"/>
                <w:sz w:val="22"/>
                <w:szCs w:val="22"/>
              </w:rPr>
              <w:t>30/11/23.</w:t>
            </w:r>
            <w:r w:rsidRPr="00301F73">
              <w:rPr>
                <w:rStyle w:val="normaltextrun"/>
                <w:rFonts w:ascii="Arial" w:hAnsi="Arial" w:cs="Arial"/>
                <w:sz w:val="22"/>
                <w:szCs w:val="22"/>
              </w:rPr>
              <w:t> </w:t>
            </w:r>
            <w:r w:rsidRPr="00301F73">
              <w:rPr>
                <w:rStyle w:val="eop"/>
                <w:rFonts w:ascii="Arial" w:hAnsi="Arial" w:cs="Arial"/>
                <w:sz w:val="22"/>
                <w:szCs w:val="22"/>
              </w:rPr>
              <w:t> </w:t>
            </w:r>
          </w:p>
          <w:p w14:paraId="59B36D1D" w14:textId="77988F3D" w:rsidR="001B5AFA" w:rsidRPr="00301F73" w:rsidRDefault="001B5AFA" w:rsidP="00960D9E">
            <w:pPr>
              <w:pStyle w:val="paragraph"/>
              <w:numPr>
                <w:ilvl w:val="0"/>
                <w:numId w:val="20"/>
              </w:numPr>
              <w:spacing w:before="60" w:beforeAutospacing="0" w:after="60" w:afterAutospacing="0"/>
              <w:textAlignment w:val="baseline"/>
              <w:rPr>
                <w:rStyle w:val="eop"/>
                <w:rFonts w:ascii="Arial" w:hAnsi="Arial" w:cs="Arial"/>
                <w:sz w:val="22"/>
                <w:szCs w:val="22"/>
              </w:rPr>
            </w:pPr>
            <w:r w:rsidRPr="00301F73">
              <w:rPr>
                <w:rStyle w:val="normaltextrun"/>
                <w:rFonts w:ascii="Arial" w:hAnsi="Arial" w:cs="Arial"/>
                <w:sz w:val="22"/>
                <w:szCs w:val="22"/>
              </w:rPr>
              <w:t>Mycophenolate mofetil 500 mg tablets (</w:t>
            </w:r>
            <w:proofErr w:type="spellStart"/>
            <w:r w:rsidRPr="00301F73">
              <w:rPr>
                <w:rStyle w:val="normaltextrun"/>
                <w:rFonts w:ascii="Arial" w:hAnsi="Arial" w:cs="Arial"/>
                <w:sz w:val="22"/>
                <w:szCs w:val="22"/>
              </w:rPr>
              <w:t>Myfenax</w:t>
            </w:r>
            <w:proofErr w:type="spellEnd"/>
            <w:r w:rsidRPr="00301F73">
              <w:rPr>
                <w:rStyle w:val="normaltextrun"/>
                <w:rFonts w:ascii="Arial" w:hAnsi="Arial" w:cs="Arial"/>
                <w:sz w:val="22"/>
                <w:szCs w:val="22"/>
              </w:rPr>
              <w:t xml:space="preserve">®). Date of revision of the text </w:t>
            </w:r>
            <w:r w:rsidR="008246C7" w:rsidRPr="00301F73">
              <w:rPr>
                <w:rStyle w:val="normaltextrun"/>
                <w:rFonts w:ascii="Arial" w:hAnsi="Arial" w:cs="Arial"/>
                <w:sz w:val="22"/>
                <w:szCs w:val="22"/>
              </w:rPr>
              <w:t>30/06/23</w:t>
            </w:r>
            <w:r w:rsidRPr="00301F73">
              <w:rPr>
                <w:rStyle w:val="normaltextrun"/>
                <w:rFonts w:ascii="Arial" w:hAnsi="Arial" w:cs="Arial"/>
                <w:sz w:val="22"/>
                <w:szCs w:val="22"/>
              </w:rPr>
              <w:t xml:space="preserve">. Accessed via </w:t>
            </w:r>
            <w:hyperlink r:id="rId47" w:tgtFrame="_blank" w:history="1">
              <w:r w:rsidRPr="00301F73">
                <w:rPr>
                  <w:rStyle w:val="normaltextrun"/>
                  <w:rFonts w:ascii="Arial" w:hAnsi="Arial" w:cs="Arial"/>
                  <w:color w:val="0000FF"/>
                  <w:sz w:val="22"/>
                  <w:szCs w:val="22"/>
                  <w:u w:val="single"/>
                </w:rPr>
                <w:t>https://www.medicines.org.uk/emc/product/9294</w:t>
              </w:r>
            </w:hyperlink>
            <w:r w:rsidRPr="00301F73">
              <w:rPr>
                <w:rStyle w:val="normaltextrun"/>
                <w:rFonts w:ascii="Arial" w:hAnsi="Arial" w:cs="Arial"/>
                <w:sz w:val="22"/>
                <w:szCs w:val="22"/>
              </w:rPr>
              <w:t xml:space="preserve"> on </w:t>
            </w:r>
            <w:r w:rsidR="008246C7" w:rsidRPr="00301F73">
              <w:rPr>
                <w:rStyle w:val="normaltextrun"/>
                <w:rFonts w:ascii="Arial" w:hAnsi="Arial" w:cs="Arial"/>
                <w:sz w:val="22"/>
                <w:szCs w:val="22"/>
              </w:rPr>
              <w:t>30/11/23.</w:t>
            </w:r>
            <w:r w:rsidRPr="00301F73">
              <w:rPr>
                <w:rStyle w:val="eop"/>
                <w:rFonts w:ascii="Arial" w:hAnsi="Arial" w:cs="Arial"/>
                <w:sz w:val="22"/>
                <w:szCs w:val="22"/>
              </w:rPr>
              <w:t> </w:t>
            </w:r>
          </w:p>
          <w:p w14:paraId="39767DB6" w14:textId="4AD1C7B9" w:rsidR="00816AA0" w:rsidRPr="00301F73" w:rsidRDefault="008246C7" w:rsidP="00816AA0">
            <w:pPr>
              <w:pStyle w:val="paragraph"/>
              <w:numPr>
                <w:ilvl w:val="0"/>
                <w:numId w:val="20"/>
              </w:numPr>
              <w:spacing w:before="60" w:beforeAutospacing="0" w:after="60" w:afterAutospacing="0"/>
              <w:textAlignment w:val="baseline"/>
              <w:rPr>
                <w:rFonts w:ascii="Arial" w:hAnsi="Arial" w:cs="Arial"/>
                <w:sz w:val="22"/>
                <w:szCs w:val="22"/>
              </w:rPr>
            </w:pPr>
            <w:r w:rsidRPr="003D3A14">
              <w:rPr>
                <w:rStyle w:val="eop"/>
                <w:rFonts w:ascii="Arial" w:hAnsi="Arial" w:cs="Arial"/>
                <w:sz w:val="22"/>
                <w:szCs w:val="22"/>
              </w:rPr>
              <w:t xml:space="preserve">Mycophenolic acid </w:t>
            </w:r>
            <w:r w:rsidR="00816AA0" w:rsidRPr="003D3A14">
              <w:rPr>
                <w:rStyle w:val="eop"/>
                <w:rFonts w:ascii="Arial" w:hAnsi="Arial" w:cs="Arial"/>
                <w:sz w:val="22"/>
                <w:szCs w:val="22"/>
              </w:rPr>
              <w:t xml:space="preserve">360 mg </w:t>
            </w:r>
            <w:r w:rsidRPr="003D3A14">
              <w:rPr>
                <w:rStyle w:val="eop"/>
                <w:rFonts w:ascii="Arial" w:hAnsi="Arial" w:cs="Arial"/>
                <w:sz w:val="22"/>
                <w:szCs w:val="22"/>
              </w:rPr>
              <w:t>gastro-resistant tablets (</w:t>
            </w:r>
            <w:proofErr w:type="spellStart"/>
            <w:r w:rsidRPr="003D3A14">
              <w:rPr>
                <w:rStyle w:val="eop"/>
                <w:rFonts w:ascii="Arial" w:hAnsi="Arial" w:cs="Arial"/>
                <w:sz w:val="22"/>
                <w:szCs w:val="22"/>
              </w:rPr>
              <w:t>Ceptava</w:t>
            </w:r>
            <w:proofErr w:type="spellEnd"/>
            <w:r w:rsidRPr="003D3A14">
              <w:rPr>
                <w:rStyle w:val="eop"/>
                <w:rFonts w:ascii="Arial" w:hAnsi="Arial" w:cs="Arial"/>
                <w:sz w:val="22"/>
                <w:szCs w:val="22"/>
              </w:rPr>
              <w:t xml:space="preserve">®). Date of revision of the text 21/12/22. Accessed via </w:t>
            </w:r>
            <w:hyperlink r:id="rId48" w:history="1">
              <w:r w:rsidRPr="003D3A14">
                <w:rPr>
                  <w:rStyle w:val="Hyperlink"/>
                  <w:rFonts w:ascii="Arial" w:hAnsi="Arial" w:cs="Arial"/>
                  <w:color w:val="0000FF"/>
                  <w:sz w:val="22"/>
                  <w:szCs w:val="22"/>
                </w:rPr>
                <w:t>https://www.medicines.org.uk/emc/product/8508/smpc</w:t>
              </w:r>
            </w:hyperlink>
            <w:r w:rsidRPr="003D3A14">
              <w:rPr>
                <w:rStyle w:val="eop"/>
                <w:rFonts w:ascii="Arial" w:hAnsi="Arial" w:cs="Arial"/>
                <w:sz w:val="22"/>
                <w:szCs w:val="22"/>
              </w:rPr>
              <w:t xml:space="preserve"> on 23/02/24.</w:t>
            </w:r>
          </w:p>
          <w:p w14:paraId="257297B9" w14:textId="1C58010A" w:rsidR="00816AA0" w:rsidRPr="003D3A14" w:rsidRDefault="008246C7" w:rsidP="00960D9E">
            <w:pPr>
              <w:pStyle w:val="paragraph"/>
              <w:numPr>
                <w:ilvl w:val="0"/>
                <w:numId w:val="20"/>
              </w:numPr>
              <w:spacing w:before="60" w:beforeAutospacing="0" w:after="60" w:afterAutospacing="0"/>
              <w:textAlignment w:val="baseline"/>
              <w:rPr>
                <w:rStyle w:val="eop"/>
                <w:rFonts w:ascii="Arial" w:hAnsi="Arial" w:cs="Arial"/>
                <w:sz w:val="22"/>
                <w:szCs w:val="22"/>
              </w:rPr>
            </w:pPr>
            <w:r w:rsidRPr="003D3A14">
              <w:rPr>
                <w:rStyle w:val="eop"/>
                <w:rFonts w:ascii="Arial" w:hAnsi="Arial" w:cs="Arial"/>
                <w:sz w:val="22"/>
                <w:szCs w:val="22"/>
              </w:rPr>
              <w:t>Mycophenolic acid 360 mg gastro-resistant tablets (</w:t>
            </w:r>
            <w:proofErr w:type="spellStart"/>
            <w:r w:rsidR="00816AA0" w:rsidRPr="003D3A14">
              <w:rPr>
                <w:rStyle w:val="eop"/>
                <w:rFonts w:ascii="Arial" w:hAnsi="Arial" w:cs="Arial"/>
                <w:sz w:val="22"/>
                <w:szCs w:val="22"/>
              </w:rPr>
              <w:t>Myfortic</w:t>
            </w:r>
            <w:proofErr w:type="spellEnd"/>
            <w:r w:rsidRPr="003D3A14">
              <w:rPr>
                <w:rStyle w:val="eop"/>
                <w:rFonts w:ascii="Arial" w:hAnsi="Arial" w:cs="Arial"/>
                <w:sz w:val="22"/>
                <w:szCs w:val="22"/>
              </w:rPr>
              <w:t xml:space="preserve">®). Date of revision of the text 23/01/23. Accessed via </w:t>
            </w:r>
            <w:hyperlink r:id="rId49" w:history="1">
              <w:r w:rsidRPr="003D3A14">
                <w:rPr>
                  <w:rStyle w:val="Hyperlink"/>
                  <w:rFonts w:ascii="Arial" w:hAnsi="Arial" w:cs="Arial"/>
                  <w:color w:val="0000FF"/>
                  <w:sz w:val="22"/>
                  <w:szCs w:val="22"/>
                </w:rPr>
                <w:t>https://www.medicines.org.uk/emc/product/7793/smpc</w:t>
              </w:r>
            </w:hyperlink>
            <w:r w:rsidRPr="003D3A14">
              <w:rPr>
                <w:rStyle w:val="eop"/>
                <w:rFonts w:ascii="Arial" w:hAnsi="Arial" w:cs="Arial"/>
                <w:color w:val="0000FF"/>
                <w:sz w:val="22"/>
                <w:szCs w:val="22"/>
              </w:rPr>
              <w:t xml:space="preserve"> </w:t>
            </w:r>
            <w:r w:rsidRPr="003D3A14">
              <w:rPr>
                <w:rStyle w:val="eop"/>
                <w:rFonts w:ascii="Arial" w:hAnsi="Arial" w:cs="Arial"/>
                <w:sz w:val="22"/>
                <w:szCs w:val="22"/>
              </w:rPr>
              <w:t>on 23/02/24.</w:t>
            </w:r>
          </w:p>
          <w:p w14:paraId="536DD963" w14:textId="61DD4A70" w:rsidR="001B5AFA" w:rsidRPr="00301F73" w:rsidRDefault="001B5AFA"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 xml:space="preserve">British Society for Rheumatology and British Health Professionals in Rheumatology. BSR and BHPR guideline for the prescription and monitoring of non-biologic disease-modifying anti-rheumatic drugs. Rheumatology </w:t>
            </w:r>
            <w:proofErr w:type="gramStart"/>
            <w:r w:rsidRPr="00301F73">
              <w:rPr>
                <w:rStyle w:val="normaltextrun"/>
                <w:rFonts w:ascii="Arial" w:hAnsi="Arial" w:cs="Arial"/>
                <w:sz w:val="22"/>
                <w:szCs w:val="22"/>
              </w:rPr>
              <w:t>2017;56:865868</w:t>
            </w:r>
            <w:proofErr w:type="gramEnd"/>
            <w:r w:rsidRPr="00301F73">
              <w:rPr>
                <w:rStyle w:val="normaltextrun"/>
                <w:rFonts w:ascii="Arial" w:hAnsi="Arial" w:cs="Arial"/>
                <w:sz w:val="22"/>
                <w:szCs w:val="22"/>
              </w:rPr>
              <w:t xml:space="preserve">. doi:10.1093/rheumatology/kew479. Accessed via </w:t>
            </w:r>
            <w:hyperlink r:id="rId50" w:anchor="97289271" w:tgtFrame="_blank" w:history="1">
              <w:r w:rsidRPr="00301F73">
                <w:rPr>
                  <w:rStyle w:val="normaltextrun"/>
                  <w:rFonts w:ascii="Arial" w:hAnsi="Arial" w:cs="Arial"/>
                  <w:color w:val="0000FF"/>
                  <w:sz w:val="22"/>
                  <w:szCs w:val="22"/>
                  <w:u w:val="single"/>
                </w:rPr>
                <w:t>https://academic.oup.com/rheumatology/article/56/6/865/3053478#97289271</w:t>
              </w:r>
            </w:hyperlink>
            <w:r w:rsidR="00301F73">
              <w:rPr>
                <w:rStyle w:val="eop"/>
                <w:rFonts w:ascii="Arial" w:hAnsi="Arial" w:cs="Arial"/>
                <w:sz w:val="22"/>
                <w:szCs w:val="22"/>
              </w:rPr>
              <w:t>.</w:t>
            </w:r>
          </w:p>
          <w:p w14:paraId="38397B5D" w14:textId="52B502B9" w:rsidR="001B5AFA" w:rsidRPr="00301F73" w:rsidRDefault="00301F73"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 xml:space="preserve">British Society for Rheumatology 2023. Guideline on prescribing drugs in pregnancy and breastfeeding: immunomodulatory anti-rheumatic drugs and corticosteroids. Accessed via </w:t>
            </w:r>
            <w:hyperlink r:id="rId51" w:history="1">
              <w:r w:rsidRPr="003D3A14">
                <w:rPr>
                  <w:rStyle w:val="Hyperlink"/>
                  <w:rFonts w:ascii="Arial" w:hAnsi="Arial" w:cs="Arial"/>
                  <w:color w:val="0000FF"/>
                  <w:sz w:val="22"/>
                  <w:szCs w:val="22"/>
                </w:rPr>
                <w:t>https://academic.oup.com/rheumatology/article/62/4/e48/6783012</w:t>
              </w:r>
            </w:hyperlink>
            <w:r w:rsidR="001B5AFA" w:rsidRPr="00301F73">
              <w:rPr>
                <w:rStyle w:val="normaltextrun"/>
                <w:rFonts w:ascii="Arial" w:hAnsi="Arial" w:cs="Arial"/>
                <w:sz w:val="22"/>
                <w:szCs w:val="22"/>
              </w:rPr>
              <w:t>. </w:t>
            </w:r>
            <w:r w:rsidR="001B5AFA" w:rsidRPr="00301F73">
              <w:rPr>
                <w:rStyle w:val="eop"/>
                <w:rFonts w:ascii="Arial" w:hAnsi="Arial" w:cs="Arial"/>
                <w:sz w:val="22"/>
                <w:szCs w:val="22"/>
              </w:rPr>
              <w:t> </w:t>
            </w:r>
          </w:p>
          <w:p w14:paraId="103E74CE" w14:textId="5BA9BC66" w:rsidR="001B5AFA" w:rsidRPr="00301F73" w:rsidRDefault="001B5AFA"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 xml:space="preserve">Renal Drug Database. Mycophenolate. Reviewed 10/08/20. Accessed via </w:t>
            </w:r>
            <w:hyperlink r:id="rId52" w:tgtFrame="_blank" w:history="1">
              <w:r w:rsidRPr="00301F73">
                <w:rPr>
                  <w:rStyle w:val="normaltextrun"/>
                  <w:rFonts w:ascii="Arial" w:hAnsi="Arial" w:cs="Arial"/>
                  <w:color w:val="0000FF"/>
                  <w:sz w:val="22"/>
                  <w:szCs w:val="22"/>
                  <w:u w:val="single"/>
                </w:rPr>
                <w:t>https://renaldrugdatabase.com/</w:t>
              </w:r>
            </w:hyperlink>
            <w:r w:rsidRPr="00301F73">
              <w:rPr>
                <w:rStyle w:val="normaltextrun"/>
                <w:rFonts w:ascii="Arial" w:hAnsi="Arial" w:cs="Arial"/>
                <w:sz w:val="22"/>
                <w:szCs w:val="22"/>
              </w:rPr>
              <w:t xml:space="preserve"> on </w:t>
            </w:r>
            <w:r w:rsidR="003D3A14">
              <w:rPr>
                <w:rStyle w:val="normaltextrun"/>
                <w:rFonts w:ascii="Arial" w:hAnsi="Arial" w:cs="Arial"/>
                <w:sz w:val="22"/>
                <w:szCs w:val="22"/>
              </w:rPr>
              <w:t>3</w:t>
            </w:r>
            <w:r w:rsidR="003D3A14">
              <w:rPr>
                <w:rStyle w:val="normaltextrun"/>
                <w:rFonts w:ascii="Arial" w:hAnsi="Arial"/>
              </w:rPr>
              <w:t>0/11/23</w:t>
            </w:r>
            <w:r w:rsidRPr="00301F73">
              <w:rPr>
                <w:rStyle w:val="normaltextrun"/>
                <w:rFonts w:ascii="Arial" w:hAnsi="Arial" w:cs="Arial"/>
                <w:sz w:val="22"/>
                <w:szCs w:val="22"/>
              </w:rPr>
              <w:t>. </w:t>
            </w:r>
            <w:r w:rsidRPr="00301F73">
              <w:rPr>
                <w:rStyle w:val="eop"/>
                <w:rFonts w:ascii="Arial" w:hAnsi="Arial" w:cs="Arial"/>
                <w:sz w:val="22"/>
                <w:szCs w:val="22"/>
              </w:rPr>
              <w:t> </w:t>
            </w:r>
          </w:p>
          <w:p w14:paraId="4713CA64" w14:textId="77777777" w:rsidR="001B5AFA" w:rsidRPr="00301F73" w:rsidRDefault="001B5AFA"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 xml:space="preserve">Public Health England. The Green Book: Immunisation against infectious disease. Last updated 27 November 2020. Accessed via </w:t>
            </w:r>
            <w:hyperlink r:id="rId53" w:tgtFrame="_blank" w:history="1">
              <w:r w:rsidRPr="00301F73">
                <w:rPr>
                  <w:rStyle w:val="normaltextrun"/>
                  <w:rFonts w:ascii="Arial" w:hAnsi="Arial" w:cs="Arial"/>
                  <w:color w:val="0000FF"/>
                  <w:sz w:val="22"/>
                  <w:szCs w:val="22"/>
                  <w:u w:val="single"/>
                </w:rPr>
                <w:t>https://www.gov.uk/government/collections/immunisation-against-infectious-disease-the-green-book</w:t>
              </w:r>
            </w:hyperlink>
            <w:r w:rsidRPr="00301F73">
              <w:rPr>
                <w:rStyle w:val="normaltextrun"/>
                <w:rFonts w:ascii="Arial" w:hAnsi="Arial" w:cs="Arial"/>
                <w:sz w:val="22"/>
                <w:szCs w:val="22"/>
              </w:rPr>
              <w:t> </w:t>
            </w:r>
            <w:r w:rsidRPr="00301F73">
              <w:rPr>
                <w:rStyle w:val="eop"/>
                <w:rFonts w:ascii="Arial" w:hAnsi="Arial" w:cs="Arial"/>
                <w:sz w:val="22"/>
                <w:szCs w:val="22"/>
              </w:rPr>
              <w:t> </w:t>
            </w:r>
          </w:p>
          <w:p w14:paraId="5D484A13" w14:textId="77777777" w:rsidR="001B5AFA" w:rsidRPr="00301F73" w:rsidRDefault="001B5AFA"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 xml:space="preserve">MHRA Drug Safety Update. Mycophenolate mofetil, mycophenolic acid: new pregnancy-prevention advice for women and men. Last updated December 2015. Accessed via </w:t>
            </w:r>
            <w:hyperlink r:id="rId54" w:tgtFrame="_blank" w:history="1">
              <w:r w:rsidRPr="00301F73">
                <w:rPr>
                  <w:rStyle w:val="normaltextrun"/>
                  <w:rFonts w:ascii="Arial" w:hAnsi="Arial" w:cs="Arial"/>
                  <w:color w:val="0000FF"/>
                  <w:sz w:val="22"/>
                  <w:szCs w:val="22"/>
                  <w:u w:val="single"/>
                </w:rPr>
                <w:t>https://www.gov.uk/drug-safety-update/mycophenolate-mofetil-mycophenolic-acid-new-pregnancy-prevention-advice-for-women-and-men</w:t>
              </w:r>
            </w:hyperlink>
            <w:r w:rsidRPr="00301F73">
              <w:rPr>
                <w:rStyle w:val="eop"/>
                <w:rFonts w:ascii="Arial" w:hAnsi="Arial" w:cs="Arial"/>
                <w:sz w:val="22"/>
                <w:szCs w:val="22"/>
              </w:rPr>
              <w:t> </w:t>
            </w:r>
          </w:p>
          <w:p w14:paraId="394E9C63" w14:textId="77777777" w:rsidR="001B5AFA" w:rsidRPr="00301F73" w:rsidRDefault="001B5AFA"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 xml:space="preserve">MHRA Drug Safety Update. Mycophenolate mofetil, mycophenolic acid: updated contraception advice for male patients. February 2018. Accessed via </w:t>
            </w:r>
            <w:hyperlink r:id="rId55" w:tgtFrame="_blank" w:history="1">
              <w:r w:rsidRPr="00301F73">
                <w:rPr>
                  <w:rStyle w:val="normaltextrun"/>
                  <w:rFonts w:ascii="Arial" w:hAnsi="Arial" w:cs="Arial"/>
                  <w:color w:val="0000FF"/>
                  <w:sz w:val="22"/>
                  <w:szCs w:val="22"/>
                  <w:u w:val="single"/>
                </w:rPr>
                <w:t>https://www.gov.uk/drug-safety-update/mycophenolate-mofetil-mycophenolic-acid-updated-contraception-advice-for-male-patients</w:t>
              </w:r>
            </w:hyperlink>
            <w:r w:rsidRPr="00301F73">
              <w:rPr>
                <w:rStyle w:val="normaltextrun"/>
                <w:rFonts w:ascii="Arial" w:hAnsi="Arial" w:cs="Arial"/>
                <w:sz w:val="22"/>
                <w:szCs w:val="22"/>
              </w:rPr>
              <w:t>. </w:t>
            </w:r>
            <w:r w:rsidRPr="00301F73">
              <w:rPr>
                <w:rStyle w:val="eop"/>
                <w:rFonts w:ascii="Arial" w:hAnsi="Arial" w:cs="Arial"/>
                <w:sz w:val="22"/>
                <w:szCs w:val="22"/>
              </w:rPr>
              <w:t> </w:t>
            </w:r>
          </w:p>
          <w:p w14:paraId="0A9C3F49" w14:textId="77777777" w:rsidR="001B5AFA" w:rsidRPr="00301F73" w:rsidRDefault="001B5AFA" w:rsidP="00960D9E">
            <w:pPr>
              <w:pStyle w:val="paragraph"/>
              <w:numPr>
                <w:ilvl w:val="0"/>
                <w:numId w:val="20"/>
              </w:numPr>
              <w:spacing w:before="60" w:beforeAutospacing="0" w:after="60" w:afterAutospacing="0"/>
              <w:textAlignment w:val="baseline"/>
              <w:rPr>
                <w:rStyle w:val="normaltextrun"/>
                <w:rFonts w:ascii="Arial" w:hAnsi="Arial" w:cs="Arial"/>
                <w:sz w:val="22"/>
                <w:szCs w:val="22"/>
              </w:rPr>
            </w:pPr>
            <w:r w:rsidRPr="00301F73">
              <w:rPr>
                <w:rStyle w:val="normaltextrun"/>
                <w:rFonts w:ascii="Arial" w:hAnsi="Arial" w:cs="Arial"/>
                <w:sz w:val="22"/>
                <w:szCs w:val="22"/>
              </w:rPr>
              <w:t xml:space="preserve">MHRA Drug Safety Update. Mycophenolate mofetil: pure red cell aplasia. July 2009. Accessed via </w:t>
            </w:r>
            <w:hyperlink r:id="rId56" w:tgtFrame="_blank" w:history="1">
              <w:r w:rsidRPr="00301F73">
                <w:rPr>
                  <w:rStyle w:val="normaltextrun"/>
                  <w:rFonts w:ascii="Arial" w:hAnsi="Arial" w:cs="Arial"/>
                  <w:color w:val="0000FF"/>
                  <w:sz w:val="22"/>
                  <w:szCs w:val="22"/>
                  <w:u w:val="single"/>
                </w:rPr>
                <w:t>https://www.gov.uk/drug-safety-update/mycophenolate-mofetil-pure-red-cell-aplasia</w:t>
              </w:r>
            </w:hyperlink>
            <w:r w:rsidRPr="00301F73">
              <w:rPr>
                <w:rStyle w:val="normaltextrun"/>
                <w:rFonts w:ascii="Arial" w:hAnsi="Arial" w:cs="Arial"/>
                <w:sz w:val="22"/>
                <w:szCs w:val="22"/>
              </w:rPr>
              <w:t>. </w:t>
            </w:r>
          </w:p>
          <w:p w14:paraId="691F28DD" w14:textId="2340DE48" w:rsidR="0085244E" w:rsidRPr="00301F73" w:rsidRDefault="001B5AFA" w:rsidP="00960D9E">
            <w:pPr>
              <w:pStyle w:val="paragraph"/>
              <w:numPr>
                <w:ilvl w:val="0"/>
                <w:numId w:val="20"/>
              </w:numPr>
              <w:spacing w:before="60" w:beforeAutospacing="0" w:after="60" w:afterAutospacing="0"/>
              <w:textAlignment w:val="baseline"/>
              <w:rPr>
                <w:rFonts w:ascii="Arial" w:hAnsi="Arial" w:cs="Arial"/>
                <w:sz w:val="22"/>
                <w:szCs w:val="22"/>
              </w:rPr>
            </w:pPr>
            <w:r w:rsidRPr="00301F73">
              <w:rPr>
                <w:rStyle w:val="normaltextrun"/>
                <w:rFonts w:ascii="Arial" w:hAnsi="Arial" w:cs="Arial"/>
                <w:sz w:val="22"/>
                <w:szCs w:val="22"/>
              </w:rPr>
              <w:t>MHRA Drug Safety Update. Mycophenolate mofetil (</w:t>
            </w:r>
            <w:proofErr w:type="spellStart"/>
            <w:r w:rsidRPr="00301F73">
              <w:rPr>
                <w:rStyle w:val="normaltextrun"/>
                <w:rFonts w:ascii="Arial" w:hAnsi="Arial" w:cs="Arial"/>
                <w:sz w:val="22"/>
                <w:szCs w:val="22"/>
              </w:rPr>
              <w:t>CellCept</w:t>
            </w:r>
            <w:proofErr w:type="spellEnd"/>
            <w:r w:rsidRPr="00301F73">
              <w:rPr>
                <w:rStyle w:val="normaltextrun"/>
                <w:rFonts w:ascii="Arial" w:hAnsi="Arial" w:cs="Arial"/>
                <w:sz w:val="22"/>
                <w:szCs w:val="22"/>
              </w:rPr>
              <w:t xml:space="preserve">) and mycophenolic acid: risk of </w:t>
            </w:r>
            <w:proofErr w:type="spellStart"/>
            <w:r w:rsidRPr="00301F73">
              <w:rPr>
                <w:rStyle w:val="normaltextrun"/>
                <w:rFonts w:ascii="Arial" w:hAnsi="Arial" w:cs="Arial"/>
                <w:sz w:val="22"/>
                <w:szCs w:val="22"/>
              </w:rPr>
              <w:t>hypogammaglobulinaemia</w:t>
            </w:r>
            <w:proofErr w:type="spellEnd"/>
            <w:r w:rsidRPr="00301F73">
              <w:rPr>
                <w:rStyle w:val="normaltextrun"/>
                <w:rFonts w:ascii="Arial" w:hAnsi="Arial" w:cs="Arial"/>
                <w:sz w:val="22"/>
                <w:szCs w:val="22"/>
              </w:rPr>
              <w:t xml:space="preserve"> and risk of bronchiectasis. January 2015. Accessed via </w:t>
            </w:r>
            <w:hyperlink r:id="rId57" w:tgtFrame="_blank" w:history="1">
              <w:r w:rsidRPr="00301F73">
                <w:rPr>
                  <w:rStyle w:val="normaltextrun"/>
                  <w:rFonts w:ascii="Arial" w:hAnsi="Arial" w:cs="Arial"/>
                  <w:color w:val="0000FF"/>
                  <w:sz w:val="22"/>
                  <w:szCs w:val="22"/>
                  <w:u w:val="single"/>
                </w:rPr>
                <w:t>https://www.gov.uk/drug-safety-update/mycophenolate-mofetil-cellcept-and-mycophenolic-acid-risk-of-hypogammaglobulinaemia-and-risk-of-bronchiectasis</w:t>
              </w:r>
            </w:hyperlink>
            <w:r w:rsidRPr="00301F73">
              <w:rPr>
                <w:rStyle w:val="normaltextrun"/>
                <w:rFonts w:ascii="Arial" w:hAnsi="Arial" w:cs="Arial"/>
                <w:sz w:val="22"/>
                <w:szCs w:val="22"/>
              </w:rPr>
              <w:t>. </w:t>
            </w:r>
            <w:r w:rsidRPr="00301F73">
              <w:rPr>
                <w:rStyle w:val="eop"/>
                <w:rFonts w:ascii="Arial" w:hAnsi="Arial" w:cs="Arial"/>
                <w:sz w:val="22"/>
                <w:szCs w:val="22"/>
              </w:rPr>
              <w:t> </w:t>
            </w:r>
          </w:p>
        </w:tc>
      </w:tr>
      <w:tr w:rsidR="00767B99" w:rsidRPr="00F321FC" w14:paraId="5BFC9044" w14:textId="77777777" w:rsidTr="00BF174A">
        <w:tc>
          <w:tcPr>
            <w:tcW w:w="2268" w:type="dxa"/>
          </w:tcPr>
          <w:p w14:paraId="2578110D" w14:textId="586DDC3D" w:rsidR="00767B99" w:rsidRPr="00F321FC" w:rsidRDefault="00767B99" w:rsidP="00767B99">
            <w:pPr>
              <w:pStyle w:val="Heading2"/>
              <w:rPr>
                <w:rFonts w:cs="Arial"/>
              </w:rPr>
            </w:pPr>
            <w:bookmarkStart w:id="28" w:name="sixteen_read_with"/>
            <w:bookmarkStart w:id="29" w:name="_Toc149231800"/>
            <w:r w:rsidRPr="00F321FC">
              <w:rPr>
                <w:rFonts w:cs="Arial"/>
              </w:rPr>
              <w:t>To be read in conjunction with the following documents</w:t>
            </w:r>
            <w:bookmarkEnd w:id="28"/>
            <w:bookmarkEnd w:id="29"/>
          </w:p>
        </w:tc>
        <w:tc>
          <w:tcPr>
            <w:tcW w:w="8193" w:type="dxa"/>
          </w:tcPr>
          <w:p w14:paraId="1D359FBA" w14:textId="3313649E" w:rsidR="00FB404F" w:rsidRPr="00FB404F" w:rsidRDefault="00FB404F" w:rsidP="001B5AFA">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58" w:history="1">
              <w:r w:rsidR="007D27D4" w:rsidRPr="0099711D">
                <w:rPr>
                  <w:rStyle w:val="Hyperlink"/>
                </w:rPr>
                <w:t>https://www.medicinesresources.nhs.uk/shared-care-for-medicines-guidance-a-standard-approach-rmoc.html</w:t>
              </w:r>
            </w:hyperlink>
          </w:p>
          <w:p w14:paraId="2D3D56F2" w14:textId="77777777" w:rsidR="00FB404F" w:rsidRPr="00FB404F" w:rsidRDefault="00FB404F" w:rsidP="001B5AFA">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59" w:history="1">
              <w:r w:rsidRPr="003D3A14">
                <w:rPr>
                  <w:rStyle w:val="Hyperlink"/>
                  <w:rFonts w:cs="Arial"/>
                  <w:color w:val="0000FF"/>
                </w:rPr>
                <w:t>https://www.england.nhs.uk/publication/responsibility-for-prescribing-between-primary-and-secondary-tertiary-care/</w:t>
              </w:r>
            </w:hyperlink>
            <w:r w:rsidRPr="003D3A14">
              <w:rPr>
                <w:rFonts w:cs="Arial"/>
                <w:color w:val="0000FF"/>
              </w:rPr>
              <w:t xml:space="preserve"> </w:t>
            </w:r>
          </w:p>
          <w:p w14:paraId="253D5A7B" w14:textId="77777777" w:rsidR="00FB404F" w:rsidRPr="00FB404F" w:rsidRDefault="00FB404F" w:rsidP="001B5AFA">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60" w:history="1">
              <w:r w:rsidRPr="003D3A14">
                <w:rPr>
                  <w:rStyle w:val="Hyperlink"/>
                  <w:rFonts w:eastAsia="Times New Roman" w:cs="Arial"/>
                  <w:color w:val="0000FF"/>
                  <w:lang w:eastAsia="en-GB"/>
                </w:rPr>
                <w:t>https://www.gmc-uk.org/ethical-guidance/ethical-guidance-for-doctors/good-practice-in-prescribing-and-managing-medicines-and-devices/shared-care</w:t>
              </w:r>
            </w:hyperlink>
            <w:r w:rsidRPr="003D3A14">
              <w:rPr>
                <w:rFonts w:eastAsia="Times New Roman" w:cs="Arial"/>
                <w:color w:val="0000FF"/>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61" w:history="1">
              <w:r w:rsidRPr="003D3A14">
                <w:rPr>
                  <w:rStyle w:val="Hyperlink"/>
                  <w:rFonts w:eastAsia="Times New Roman" w:cs="Arial"/>
                  <w:color w:val="0000FF"/>
                  <w:lang w:eastAsia="en-GB"/>
                </w:rPr>
                <w:t>https://www.nice.org.uk/guidance/ng197/</w:t>
              </w:r>
            </w:hyperlink>
            <w:r w:rsidRPr="00FB404F">
              <w:rPr>
                <w:rFonts w:eastAsia="Times New Roman" w:cs="Arial"/>
                <w:lang w:eastAsia="en-GB"/>
              </w:rPr>
              <w:t>.</w:t>
            </w:r>
          </w:p>
        </w:tc>
      </w:tr>
    </w:tbl>
    <w:p w14:paraId="3B0B1FF8" w14:textId="39911C27" w:rsidR="003552BC" w:rsidRDefault="003552BC" w:rsidP="00F34C5E"/>
    <w:sectPr w:rsidR="003552BC" w:rsidSect="00BF1406">
      <w:footerReference w:type="default" r:id="rId62"/>
      <w:headerReference w:type="first" r:id="rId63"/>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F85EC" w14:textId="77777777" w:rsidR="00724E01" w:rsidRDefault="00724E01" w:rsidP="00E83C66">
      <w:pPr>
        <w:spacing w:after="0" w:line="240" w:lineRule="auto"/>
      </w:pPr>
      <w:r>
        <w:separator/>
      </w:r>
    </w:p>
  </w:endnote>
  <w:endnote w:type="continuationSeparator" w:id="0">
    <w:p w14:paraId="3BBA0C32" w14:textId="77777777" w:rsidR="00724E01" w:rsidRDefault="00724E01" w:rsidP="00E8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88E" w14:textId="0DB21EAE" w:rsidR="00CC4648" w:rsidRPr="00003E35" w:rsidRDefault="00CC4648" w:rsidP="00003E35">
    <w:pPr>
      <w:pStyle w:val="Footer"/>
    </w:pPr>
    <w:r w:rsidRPr="00003E35">
      <w:t xml:space="preserve">Shared care protocol: </w:t>
    </w:r>
    <w:r w:rsidR="00F9771E">
      <w:t>mycophenolate mofetil and mycophenolic acid</w:t>
    </w:r>
    <w:r w:rsidRPr="00003E35">
      <w:t xml:space="preserve"> in adults </w:t>
    </w:r>
    <w:r w:rsidR="00F9771E">
      <w:t>(non-transplant)</w:t>
    </w:r>
    <w:r w:rsidRPr="00003E35">
      <w:tab/>
    </w:r>
    <w:r w:rsidR="00BD185F">
      <w:t xml:space="preserve">HNY </w:t>
    </w:r>
    <w:r w:rsidR="00974B6C">
      <w:t>v1.</w:t>
    </w:r>
    <w:r w:rsidR="00BD185F">
      <w:t>0</w:t>
    </w:r>
  </w:p>
  <w:p w14:paraId="505A2D92" w14:textId="26728BC8" w:rsidR="00BF1406" w:rsidRDefault="00CC4648" w:rsidP="00003E35">
    <w:pPr>
      <w:pStyle w:val="Footer"/>
    </w:pPr>
    <w:r w:rsidRPr="00003E35">
      <w:t xml:space="preserve">Clinical content reviewed by RDTC: </w:t>
    </w:r>
    <w:r w:rsidR="00960D9E">
      <w:t>30th November 2023</w:t>
    </w:r>
    <w:r w:rsidRPr="00003E35">
      <w:tab/>
    </w:r>
    <w:r w:rsidR="00E87EB0">
      <w:t xml:space="preserve">                               </w:t>
    </w:r>
    <w:r w:rsidRPr="00003E35">
      <w:t xml:space="preserve">Approved by </w:t>
    </w:r>
    <w:r w:rsidR="00BD185F">
      <w:t>HNY</w:t>
    </w:r>
    <w:r w:rsidR="00BD185F" w:rsidRPr="00003E35">
      <w:t xml:space="preserve"> </w:t>
    </w:r>
    <w:r w:rsidRPr="00003E35">
      <w:t xml:space="preserve">ICB: </w:t>
    </w:r>
    <w:r w:rsidR="00E87EB0">
      <w:t>02/04/2025</w:t>
    </w:r>
  </w:p>
  <w:p w14:paraId="6053BF00" w14:textId="2E85CE45" w:rsidR="0092446D" w:rsidRPr="0092446D" w:rsidRDefault="0092446D" w:rsidP="0092446D">
    <w:pPr>
      <w:pStyle w:val="Footer"/>
      <w:jc w:val="right"/>
    </w:pPr>
    <w:r w:rsidRPr="0092446D">
      <w:t xml:space="preserve">Page </w:t>
    </w:r>
    <w:r w:rsidRPr="0092446D">
      <w:fldChar w:fldCharType="begin"/>
    </w:r>
    <w:r w:rsidRPr="0092446D">
      <w:instrText xml:space="preserve"> PAGE  \* Arabic  \* MERGEFORMAT </w:instrText>
    </w:r>
    <w:r w:rsidRPr="0092446D">
      <w:fldChar w:fldCharType="separate"/>
    </w:r>
    <w:r w:rsidR="00096F5D">
      <w:rPr>
        <w:noProof/>
      </w:rPr>
      <w:t>11</w:t>
    </w:r>
    <w:r w:rsidRPr="0092446D">
      <w:fldChar w:fldCharType="end"/>
    </w:r>
    <w:r w:rsidRPr="0092446D">
      <w:t xml:space="preserve"> of </w:t>
    </w:r>
    <w:fldSimple w:instr=" NUMPAGES  \* Arabic  \* MERGEFORMAT ">
      <w:r w:rsidR="00096F5D">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BBF1C" w14:textId="77777777" w:rsidR="00724E01" w:rsidRDefault="00724E01" w:rsidP="00E83C66">
      <w:pPr>
        <w:spacing w:after="0" w:line="240" w:lineRule="auto"/>
      </w:pPr>
      <w:r>
        <w:separator/>
      </w:r>
    </w:p>
  </w:footnote>
  <w:footnote w:type="continuationSeparator" w:id="0">
    <w:p w14:paraId="3A03E78A" w14:textId="77777777" w:rsidR="00724E01" w:rsidRDefault="00724E01" w:rsidP="00E8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9F40" w14:textId="3073A0F4" w:rsidR="00A54BFE" w:rsidRDefault="00BD185F" w:rsidP="003C21D1">
    <w:pPr>
      <w:pStyle w:val="Header"/>
      <w:spacing w:after="0"/>
      <w:rPr>
        <w:b/>
        <w:bCs/>
      </w:rPr>
    </w:pPr>
    <w:r w:rsidRPr="00EC13F4">
      <w:rPr>
        <w:noProof/>
        <w:lang w:eastAsia="en-GB"/>
      </w:rPr>
      <w:drawing>
        <wp:anchor distT="0" distB="0" distL="114300" distR="114300" simplePos="0" relativeHeight="251661312" behindDoc="1" locked="0" layoutInCell="1" allowOverlap="1" wp14:anchorId="48BC9927" wp14:editId="605A4B20">
          <wp:simplePos x="0" y="0"/>
          <wp:positionH relativeFrom="margin">
            <wp:align>right</wp:align>
          </wp:positionH>
          <wp:positionV relativeFrom="paragraph">
            <wp:posOffset>-362585</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A54BFE" w:rsidRPr="00EC13F4">
      <w:rPr>
        <w:noProof/>
        <w:lang w:eastAsia="en-GB"/>
      </w:rPr>
      <w:drawing>
        <wp:anchor distT="0" distB="0" distL="114300" distR="114300" simplePos="0" relativeHeight="251659264" behindDoc="1" locked="0" layoutInCell="1" allowOverlap="1" wp14:anchorId="7A7F0DE1" wp14:editId="1E165F23">
          <wp:simplePos x="0" y="0"/>
          <wp:positionH relativeFrom="margin">
            <wp:align>left</wp:align>
          </wp:positionH>
          <wp:positionV relativeFrom="paragraph">
            <wp:posOffset>-286385</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1D1">
      <w:rPr>
        <w:b/>
        <w:bCs/>
      </w:rPr>
      <w:tab/>
    </w:r>
  </w:p>
  <w:p w14:paraId="6B4A0FFB" w14:textId="77777777" w:rsidR="00A54BFE" w:rsidRDefault="00A54BFE" w:rsidP="003C21D1">
    <w:pPr>
      <w:pStyle w:val="Header"/>
      <w:spacing w:after="0"/>
      <w:rPr>
        <w:b/>
        <w:bCs/>
      </w:rPr>
    </w:pPr>
  </w:p>
  <w:p w14:paraId="034ABC3F" w14:textId="14F3E2A2" w:rsidR="00CB6622" w:rsidRPr="003C21D1" w:rsidRDefault="003C21D1" w:rsidP="006419CB">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3E9C"/>
    <w:multiLevelType w:val="hybridMultilevel"/>
    <w:tmpl w:val="2B863A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B0D28FD"/>
    <w:multiLevelType w:val="hybridMultilevel"/>
    <w:tmpl w:val="43BE1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926DB"/>
    <w:multiLevelType w:val="hybridMultilevel"/>
    <w:tmpl w:val="ADBC9E62"/>
    <w:lvl w:ilvl="0" w:tplc="BCBC232A">
      <w:start w:val="1"/>
      <w:numFmt w:val="bullet"/>
      <w:lvlText w:val=""/>
      <w:lvlJc w:val="left"/>
      <w:pPr>
        <w:ind w:left="720" w:hanging="360"/>
      </w:pPr>
      <w:rPr>
        <w:rFonts w:ascii="Symbol" w:hAnsi="Symbol"/>
      </w:rPr>
    </w:lvl>
    <w:lvl w:ilvl="1" w:tplc="7E3C4B98">
      <w:start w:val="1"/>
      <w:numFmt w:val="bullet"/>
      <w:lvlText w:val=""/>
      <w:lvlJc w:val="left"/>
      <w:pPr>
        <w:ind w:left="720" w:hanging="360"/>
      </w:pPr>
      <w:rPr>
        <w:rFonts w:ascii="Symbol" w:hAnsi="Symbol"/>
      </w:rPr>
    </w:lvl>
    <w:lvl w:ilvl="2" w:tplc="7D5EFB8E">
      <w:start w:val="1"/>
      <w:numFmt w:val="bullet"/>
      <w:lvlText w:val=""/>
      <w:lvlJc w:val="left"/>
      <w:pPr>
        <w:ind w:left="720" w:hanging="360"/>
      </w:pPr>
      <w:rPr>
        <w:rFonts w:ascii="Symbol" w:hAnsi="Symbol"/>
      </w:rPr>
    </w:lvl>
    <w:lvl w:ilvl="3" w:tplc="213C7E50">
      <w:start w:val="1"/>
      <w:numFmt w:val="bullet"/>
      <w:lvlText w:val=""/>
      <w:lvlJc w:val="left"/>
      <w:pPr>
        <w:ind w:left="720" w:hanging="360"/>
      </w:pPr>
      <w:rPr>
        <w:rFonts w:ascii="Symbol" w:hAnsi="Symbol"/>
      </w:rPr>
    </w:lvl>
    <w:lvl w:ilvl="4" w:tplc="6098FBE4">
      <w:start w:val="1"/>
      <w:numFmt w:val="bullet"/>
      <w:lvlText w:val=""/>
      <w:lvlJc w:val="left"/>
      <w:pPr>
        <w:ind w:left="720" w:hanging="360"/>
      </w:pPr>
      <w:rPr>
        <w:rFonts w:ascii="Symbol" w:hAnsi="Symbol"/>
      </w:rPr>
    </w:lvl>
    <w:lvl w:ilvl="5" w:tplc="E42AD3CC">
      <w:start w:val="1"/>
      <w:numFmt w:val="bullet"/>
      <w:lvlText w:val=""/>
      <w:lvlJc w:val="left"/>
      <w:pPr>
        <w:ind w:left="720" w:hanging="360"/>
      </w:pPr>
      <w:rPr>
        <w:rFonts w:ascii="Symbol" w:hAnsi="Symbol"/>
      </w:rPr>
    </w:lvl>
    <w:lvl w:ilvl="6" w:tplc="DF5EA23E">
      <w:start w:val="1"/>
      <w:numFmt w:val="bullet"/>
      <w:lvlText w:val=""/>
      <w:lvlJc w:val="left"/>
      <w:pPr>
        <w:ind w:left="720" w:hanging="360"/>
      </w:pPr>
      <w:rPr>
        <w:rFonts w:ascii="Symbol" w:hAnsi="Symbol"/>
      </w:rPr>
    </w:lvl>
    <w:lvl w:ilvl="7" w:tplc="C2BA0E20">
      <w:start w:val="1"/>
      <w:numFmt w:val="bullet"/>
      <w:lvlText w:val=""/>
      <w:lvlJc w:val="left"/>
      <w:pPr>
        <w:ind w:left="720" w:hanging="360"/>
      </w:pPr>
      <w:rPr>
        <w:rFonts w:ascii="Symbol" w:hAnsi="Symbol"/>
      </w:rPr>
    </w:lvl>
    <w:lvl w:ilvl="8" w:tplc="34ECCDD2">
      <w:start w:val="1"/>
      <w:numFmt w:val="bullet"/>
      <w:lvlText w:val=""/>
      <w:lvlJc w:val="left"/>
      <w:pPr>
        <w:ind w:left="720" w:hanging="360"/>
      </w:pPr>
      <w:rPr>
        <w:rFonts w:ascii="Symbol" w:hAnsi="Symbol"/>
      </w:rPr>
    </w:lvl>
  </w:abstractNum>
  <w:abstractNum w:abstractNumId="3" w15:restartNumberingAfterBreak="0">
    <w:nsid w:val="1B4023D6"/>
    <w:multiLevelType w:val="hybridMultilevel"/>
    <w:tmpl w:val="E594F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F512C1A"/>
    <w:multiLevelType w:val="hybridMultilevel"/>
    <w:tmpl w:val="92AEB5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0C836FF"/>
    <w:multiLevelType w:val="hybridMultilevel"/>
    <w:tmpl w:val="0ADA9B8E"/>
    <w:lvl w:ilvl="0" w:tplc="41EC57F8">
      <w:start w:val="1"/>
      <w:numFmt w:val="bullet"/>
      <w:lvlText w:val=""/>
      <w:lvlJc w:val="left"/>
      <w:pPr>
        <w:ind w:left="720" w:hanging="360"/>
      </w:pPr>
      <w:rPr>
        <w:rFonts w:ascii="Symbol" w:hAnsi="Symbol"/>
      </w:rPr>
    </w:lvl>
    <w:lvl w:ilvl="1" w:tplc="3A3CA0BE">
      <w:start w:val="1"/>
      <w:numFmt w:val="bullet"/>
      <w:lvlText w:val=""/>
      <w:lvlJc w:val="left"/>
      <w:pPr>
        <w:ind w:left="720" w:hanging="360"/>
      </w:pPr>
      <w:rPr>
        <w:rFonts w:ascii="Symbol" w:hAnsi="Symbol"/>
      </w:rPr>
    </w:lvl>
    <w:lvl w:ilvl="2" w:tplc="00122CC8">
      <w:start w:val="1"/>
      <w:numFmt w:val="bullet"/>
      <w:lvlText w:val=""/>
      <w:lvlJc w:val="left"/>
      <w:pPr>
        <w:ind w:left="720" w:hanging="360"/>
      </w:pPr>
      <w:rPr>
        <w:rFonts w:ascii="Symbol" w:hAnsi="Symbol"/>
      </w:rPr>
    </w:lvl>
    <w:lvl w:ilvl="3" w:tplc="585ACDC6">
      <w:start w:val="1"/>
      <w:numFmt w:val="bullet"/>
      <w:lvlText w:val=""/>
      <w:lvlJc w:val="left"/>
      <w:pPr>
        <w:ind w:left="720" w:hanging="360"/>
      </w:pPr>
      <w:rPr>
        <w:rFonts w:ascii="Symbol" w:hAnsi="Symbol"/>
      </w:rPr>
    </w:lvl>
    <w:lvl w:ilvl="4" w:tplc="D570C346">
      <w:start w:val="1"/>
      <w:numFmt w:val="bullet"/>
      <w:lvlText w:val=""/>
      <w:lvlJc w:val="left"/>
      <w:pPr>
        <w:ind w:left="720" w:hanging="360"/>
      </w:pPr>
      <w:rPr>
        <w:rFonts w:ascii="Symbol" w:hAnsi="Symbol"/>
      </w:rPr>
    </w:lvl>
    <w:lvl w:ilvl="5" w:tplc="E8E89232">
      <w:start w:val="1"/>
      <w:numFmt w:val="bullet"/>
      <w:lvlText w:val=""/>
      <w:lvlJc w:val="left"/>
      <w:pPr>
        <w:ind w:left="720" w:hanging="360"/>
      </w:pPr>
      <w:rPr>
        <w:rFonts w:ascii="Symbol" w:hAnsi="Symbol"/>
      </w:rPr>
    </w:lvl>
    <w:lvl w:ilvl="6" w:tplc="2188CD10">
      <w:start w:val="1"/>
      <w:numFmt w:val="bullet"/>
      <w:lvlText w:val=""/>
      <w:lvlJc w:val="left"/>
      <w:pPr>
        <w:ind w:left="720" w:hanging="360"/>
      </w:pPr>
      <w:rPr>
        <w:rFonts w:ascii="Symbol" w:hAnsi="Symbol"/>
      </w:rPr>
    </w:lvl>
    <w:lvl w:ilvl="7" w:tplc="55AAF4AC">
      <w:start w:val="1"/>
      <w:numFmt w:val="bullet"/>
      <w:lvlText w:val=""/>
      <w:lvlJc w:val="left"/>
      <w:pPr>
        <w:ind w:left="720" w:hanging="360"/>
      </w:pPr>
      <w:rPr>
        <w:rFonts w:ascii="Symbol" w:hAnsi="Symbol"/>
      </w:rPr>
    </w:lvl>
    <w:lvl w:ilvl="8" w:tplc="F2880DC2">
      <w:start w:val="1"/>
      <w:numFmt w:val="bullet"/>
      <w:lvlText w:val=""/>
      <w:lvlJc w:val="left"/>
      <w:pPr>
        <w:ind w:left="720" w:hanging="360"/>
      </w:pPr>
      <w:rPr>
        <w:rFonts w:ascii="Symbol" w:hAnsi="Symbol"/>
      </w:rPr>
    </w:lvl>
  </w:abstractNum>
  <w:abstractNum w:abstractNumId="7" w15:restartNumberingAfterBreak="0">
    <w:nsid w:val="36BB6F34"/>
    <w:multiLevelType w:val="hybridMultilevel"/>
    <w:tmpl w:val="72187168"/>
    <w:lvl w:ilvl="0" w:tplc="08090001">
      <w:start w:val="1"/>
      <w:numFmt w:val="bullet"/>
      <w:lvlText w:val=""/>
      <w:lvlJc w:val="left"/>
      <w:pPr>
        <w:ind w:left="-3564" w:hanging="360"/>
      </w:pPr>
      <w:rPr>
        <w:rFonts w:ascii="Symbol" w:hAnsi="Symbol" w:hint="default"/>
      </w:rPr>
    </w:lvl>
    <w:lvl w:ilvl="1" w:tplc="08090003">
      <w:start w:val="1"/>
      <w:numFmt w:val="bullet"/>
      <w:lvlText w:val="o"/>
      <w:lvlJc w:val="left"/>
      <w:pPr>
        <w:ind w:left="-2844" w:hanging="360"/>
      </w:pPr>
      <w:rPr>
        <w:rFonts w:ascii="Courier New" w:hAnsi="Courier New" w:cs="Courier New" w:hint="default"/>
      </w:rPr>
    </w:lvl>
    <w:lvl w:ilvl="2" w:tplc="08090005">
      <w:start w:val="1"/>
      <w:numFmt w:val="bullet"/>
      <w:lvlText w:val=""/>
      <w:lvlJc w:val="left"/>
      <w:pPr>
        <w:ind w:left="-2124" w:hanging="360"/>
      </w:pPr>
      <w:rPr>
        <w:rFonts w:ascii="Wingdings" w:hAnsi="Wingdings" w:hint="default"/>
      </w:rPr>
    </w:lvl>
    <w:lvl w:ilvl="3" w:tplc="08090001">
      <w:start w:val="1"/>
      <w:numFmt w:val="bullet"/>
      <w:lvlText w:val=""/>
      <w:lvlJc w:val="left"/>
      <w:pPr>
        <w:ind w:left="-1404" w:hanging="360"/>
      </w:pPr>
      <w:rPr>
        <w:rFonts w:ascii="Symbol" w:hAnsi="Symbol" w:hint="default"/>
      </w:rPr>
    </w:lvl>
    <w:lvl w:ilvl="4" w:tplc="08090003">
      <w:start w:val="1"/>
      <w:numFmt w:val="bullet"/>
      <w:lvlText w:val="o"/>
      <w:lvlJc w:val="left"/>
      <w:pPr>
        <w:ind w:left="-684" w:hanging="360"/>
      </w:pPr>
      <w:rPr>
        <w:rFonts w:ascii="Courier New" w:hAnsi="Courier New" w:cs="Courier New" w:hint="default"/>
      </w:rPr>
    </w:lvl>
    <w:lvl w:ilvl="5" w:tplc="08090005">
      <w:start w:val="1"/>
      <w:numFmt w:val="bullet"/>
      <w:lvlText w:val=""/>
      <w:lvlJc w:val="left"/>
      <w:pPr>
        <w:ind w:left="36" w:hanging="360"/>
      </w:pPr>
      <w:rPr>
        <w:rFonts w:ascii="Wingdings" w:hAnsi="Wingdings" w:hint="default"/>
      </w:rPr>
    </w:lvl>
    <w:lvl w:ilvl="6" w:tplc="08090001">
      <w:start w:val="1"/>
      <w:numFmt w:val="bullet"/>
      <w:lvlText w:val=""/>
      <w:lvlJc w:val="left"/>
      <w:pPr>
        <w:ind w:left="756" w:hanging="360"/>
      </w:pPr>
      <w:rPr>
        <w:rFonts w:ascii="Symbol" w:hAnsi="Symbol" w:hint="default"/>
      </w:rPr>
    </w:lvl>
    <w:lvl w:ilvl="7" w:tplc="08090003">
      <w:start w:val="1"/>
      <w:numFmt w:val="bullet"/>
      <w:lvlText w:val="o"/>
      <w:lvlJc w:val="left"/>
      <w:pPr>
        <w:ind w:left="1476" w:hanging="360"/>
      </w:pPr>
      <w:rPr>
        <w:rFonts w:ascii="Courier New" w:hAnsi="Courier New" w:cs="Courier New" w:hint="default"/>
      </w:rPr>
    </w:lvl>
    <w:lvl w:ilvl="8" w:tplc="08090005">
      <w:start w:val="1"/>
      <w:numFmt w:val="bullet"/>
      <w:lvlText w:val=""/>
      <w:lvlJc w:val="left"/>
      <w:pPr>
        <w:ind w:left="2196" w:hanging="360"/>
      </w:pPr>
      <w:rPr>
        <w:rFonts w:ascii="Wingdings" w:hAnsi="Wingdings" w:hint="default"/>
      </w:rPr>
    </w:lvl>
  </w:abstractNum>
  <w:abstractNum w:abstractNumId="8" w15:restartNumberingAfterBreak="0">
    <w:nsid w:val="373E7DFA"/>
    <w:multiLevelType w:val="hybridMultilevel"/>
    <w:tmpl w:val="7CDA5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8E5BC3"/>
    <w:multiLevelType w:val="hybridMultilevel"/>
    <w:tmpl w:val="2708C2CA"/>
    <w:lvl w:ilvl="0" w:tplc="4B7660DC">
      <w:start w:val="1"/>
      <w:numFmt w:val="bullet"/>
      <w:lvlText w:val=""/>
      <w:lvlJc w:val="left"/>
      <w:pPr>
        <w:ind w:left="720" w:hanging="360"/>
      </w:pPr>
      <w:rPr>
        <w:rFonts w:ascii="Symbol" w:hAnsi="Symbol"/>
      </w:rPr>
    </w:lvl>
    <w:lvl w:ilvl="1" w:tplc="675CCFD6">
      <w:start w:val="1"/>
      <w:numFmt w:val="bullet"/>
      <w:lvlText w:val=""/>
      <w:lvlJc w:val="left"/>
      <w:pPr>
        <w:ind w:left="720" w:hanging="360"/>
      </w:pPr>
      <w:rPr>
        <w:rFonts w:ascii="Symbol" w:hAnsi="Symbol"/>
      </w:rPr>
    </w:lvl>
    <w:lvl w:ilvl="2" w:tplc="BA4EE03A">
      <w:start w:val="1"/>
      <w:numFmt w:val="bullet"/>
      <w:lvlText w:val=""/>
      <w:lvlJc w:val="left"/>
      <w:pPr>
        <w:ind w:left="720" w:hanging="360"/>
      </w:pPr>
      <w:rPr>
        <w:rFonts w:ascii="Symbol" w:hAnsi="Symbol"/>
      </w:rPr>
    </w:lvl>
    <w:lvl w:ilvl="3" w:tplc="9546051A">
      <w:start w:val="1"/>
      <w:numFmt w:val="bullet"/>
      <w:lvlText w:val=""/>
      <w:lvlJc w:val="left"/>
      <w:pPr>
        <w:ind w:left="720" w:hanging="360"/>
      </w:pPr>
      <w:rPr>
        <w:rFonts w:ascii="Symbol" w:hAnsi="Symbol"/>
      </w:rPr>
    </w:lvl>
    <w:lvl w:ilvl="4" w:tplc="128CE0F0">
      <w:start w:val="1"/>
      <w:numFmt w:val="bullet"/>
      <w:lvlText w:val=""/>
      <w:lvlJc w:val="left"/>
      <w:pPr>
        <w:ind w:left="720" w:hanging="360"/>
      </w:pPr>
      <w:rPr>
        <w:rFonts w:ascii="Symbol" w:hAnsi="Symbol"/>
      </w:rPr>
    </w:lvl>
    <w:lvl w:ilvl="5" w:tplc="F81845B4">
      <w:start w:val="1"/>
      <w:numFmt w:val="bullet"/>
      <w:lvlText w:val=""/>
      <w:lvlJc w:val="left"/>
      <w:pPr>
        <w:ind w:left="720" w:hanging="360"/>
      </w:pPr>
      <w:rPr>
        <w:rFonts w:ascii="Symbol" w:hAnsi="Symbol"/>
      </w:rPr>
    </w:lvl>
    <w:lvl w:ilvl="6" w:tplc="5686E156">
      <w:start w:val="1"/>
      <w:numFmt w:val="bullet"/>
      <w:lvlText w:val=""/>
      <w:lvlJc w:val="left"/>
      <w:pPr>
        <w:ind w:left="720" w:hanging="360"/>
      </w:pPr>
      <w:rPr>
        <w:rFonts w:ascii="Symbol" w:hAnsi="Symbol"/>
      </w:rPr>
    </w:lvl>
    <w:lvl w:ilvl="7" w:tplc="27F68ACA">
      <w:start w:val="1"/>
      <w:numFmt w:val="bullet"/>
      <w:lvlText w:val=""/>
      <w:lvlJc w:val="left"/>
      <w:pPr>
        <w:ind w:left="720" w:hanging="360"/>
      </w:pPr>
      <w:rPr>
        <w:rFonts w:ascii="Symbol" w:hAnsi="Symbol"/>
      </w:rPr>
    </w:lvl>
    <w:lvl w:ilvl="8" w:tplc="E44CF59C">
      <w:start w:val="1"/>
      <w:numFmt w:val="bullet"/>
      <w:lvlText w:val=""/>
      <w:lvlJc w:val="left"/>
      <w:pPr>
        <w:ind w:left="720" w:hanging="360"/>
      </w:pPr>
      <w:rPr>
        <w:rFonts w:ascii="Symbol" w:hAnsi="Symbol"/>
      </w:rPr>
    </w:lvl>
  </w:abstractNum>
  <w:abstractNum w:abstractNumId="10" w15:restartNumberingAfterBreak="0">
    <w:nsid w:val="39AF2972"/>
    <w:multiLevelType w:val="hybridMultilevel"/>
    <w:tmpl w:val="8A706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F76965"/>
    <w:multiLevelType w:val="hybridMultilevel"/>
    <w:tmpl w:val="422C1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DC75FD"/>
    <w:multiLevelType w:val="hybridMultilevel"/>
    <w:tmpl w:val="59E87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1045EA"/>
    <w:multiLevelType w:val="hybridMultilevel"/>
    <w:tmpl w:val="417488E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7" w15:restartNumberingAfterBreak="0">
    <w:nsid w:val="655F40AD"/>
    <w:multiLevelType w:val="hybridMultilevel"/>
    <w:tmpl w:val="F5F6627A"/>
    <w:lvl w:ilvl="0" w:tplc="53485554">
      <w:start w:val="1"/>
      <w:numFmt w:val="bullet"/>
      <w:lvlText w:val=""/>
      <w:lvlJc w:val="left"/>
      <w:pPr>
        <w:ind w:left="720" w:hanging="360"/>
      </w:pPr>
      <w:rPr>
        <w:rFonts w:ascii="Symbol" w:hAnsi="Symbol"/>
      </w:rPr>
    </w:lvl>
    <w:lvl w:ilvl="1" w:tplc="CE6CC5D6">
      <w:start w:val="1"/>
      <w:numFmt w:val="bullet"/>
      <w:lvlText w:val=""/>
      <w:lvlJc w:val="left"/>
      <w:pPr>
        <w:ind w:left="720" w:hanging="360"/>
      </w:pPr>
      <w:rPr>
        <w:rFonts w:ascii="Symbol" w:hAnsi="Symbol"/>
      </w:rPr>
    </w:lvl>
    <w:lvl w:ilvl="2" w:tplc="3C06268E">
      <w:start w:val="1"/>
      <w:numFmt w:val="bullet"/>
      <w:lvlText w:val=""/>
      <w:lvlJc w:val="left"/>
      <w:pPr>
        <w:ind w:left="720" w:hanging="360"/>
      </w:pPr>
      <w:rPr>
        <w:rFonts w:ascii="Symbol" w:hAnsi="Symbol"/>
      </w:rPr>
    </w:lvl>
    <w:lvl w:ilvl="3" w:tplc="817E4AB4">
      <w:start w:val="1"/>
      <w:numFmt w:val="bullet"/>
      <w:lvlText w:val=""/>
      <w:lvlJc w:val="left"/>
      <w:pPr>
        <w:ind w:left="720" w:hanging="360"/>
      </w:pPr>
      <w:rPr>
        <w:rFonts w:ascii="Symbol" w:hAnsi="Symbol"/>
      </w:rPr>
    </w:lvl>
    <w:lvl w:ilvl="4" w:tplc="3808DACE">
      <w:start w:val="1"/>
      <w:numFmt w:val="bullet"/>
      <w:lvlText w:val=""/>
      <w:lvlJc w:val="left"/>
      <w:pPr>
        <w:ind w:left="720" w:hanging="360"/>
      </w:pPr>
      <w:rPr>
        <w:rFonts w:ascii="Symbol" w:hAnsi="Symbol"/>
      </w:rPr>
    </w:lvl>
    <w:lvl w:ilvl="5" w:tplc="A2CE5D00">
      <w:start w:val="1"/>
      <w:numFmt w:val="bullet"/>
      <w:lvlText w:val=""/>
      <w:lvlJc w:val="left"/>
      <w:pPr>
        <w:ind w:left="720" w:hanging="360"/>
      </w:pPr>
      <w:rPr>
        <w:rFonts w:ascii="Symbol" w:hAnsi="Symbol"/>
      </w:rPr>
    </w:lvl>
    <w:lvl w:ilvl="6" w:tplc="1E6C8B7C">
      <w:start w:val="1"/>
      <w:numFmt w:val="bullet"/>
      <w:lvlText w:val=""/>
      <w:lvlJc w:val="left"/>
      <w:pPr>
        <w:ind w:left="720" w:hanging="360"/>
      </w:pPr>
      <w:rPr>
        <w:rFonts w:ascii="Symbol" w:hAnsi="Symbol"/>
      </w:rPr>
    </w:lvl>
    <w:lvl w:ilvl="7" w:tplc="9920F1E8">
      <w:start w:val="1"/>
      <w:numFmt w:val="bullet"/>
      <w:lvlText w:val=""/>
      <w:lvlJc w:val="left"/>
      <w:pPr>
        <w:ind w:left="720" w:hanging="360"/>
      </w:pPr>
      <w:rPr>
        <w:rFonts w:ascii="Symbol" w:hAnsi="Symbol"/>
      </w:rPr>
    </w:lvl>
    <w:lvl w:ilvl="8" w:tplc="0222093C">
      <w:start w:val="1"/>
      <w:numFmt w:val="bullet"/>
      <w:lvlText w:val=""/>
      <w:lvlJc w:val="left"/>
      <w:pPr>
        <w:ind w:left="720" w:hanging="360"/>
      </w:pPr>
      <w:rPr>
        <w:rFonts w:ascii="Symbol" w:hAnsi="Symbol"/>
      </w:rPr>
    </w:lvl>
  </w:abstractNum>
  <w:abstractNum w:abstractNumId="1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9495E65"/>
    <w:multiLevelType w:val="hybridMultilevel"/>
    <w:tmpl w:val="2CCE45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A1C7514"/>
    <w:multiLevelType w:val="hybridMultilevel"/>
    <w:tmpl w:val="82E2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B9067B"/>
    <w:multiLevelType w:val="hybridMultilevel"/>
    <w:tmpl w:val="79D2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93DAB"/>
    <w:multiLevelType w:val="hybridMultilevel"/>
    <w:tmpl w:val="FF5E8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62F2E77"/>
    <w:multiLevelType w:val="hybridMultilevel"/>
    <w:tmpl w:val="983A4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5157D9"/>
    <w:multiLevelType w:val="hybridMultilevel"/>
    <w:tmpl w:val="EC04D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7AA0105"/>
    <w:multiLevelType w:val="hybridMultilevel"/>
    <w:tmpl w:val="783AC8B0"/>
    <w:lvl w:ilvl="0" w:tplc="A1EEA41A">
      <w:start w:val="1"/>
      <w:numFmt w:val="bullet"/>
      <w:lvlText w:val=""/>
      <w:lvlJc w:val="left"/>
      <w:pPr>
        <w:ind w:left="720" w:hanging="360"/>
      </w:pPr>
      <w:rPr>
        <w:rFonts w:ascii="Symbol" w:hAnsi="Symbol"/>
      </w:rPr>
    </w:lvl>
    <w:lvl w:ilvl="1" w:tplc="285CDE76">
      <w:start w:val="1"/>
      <w:numFmt w:val="bullet"/>
      <w:lvlText w:val=""/>
      <w:lvlJc w:val="left"/>
      <w:pPr>
        <w:ind w:left="720" w:hanging="360"/>
      </w:pPr>
      <w:rPr>
        <w:rFonts w:ascii="Symbol" w:hAnsi="Symbol"/>
      </w:rPr>
    </w:lvl>
    <w:lvl w:ilvl="2" w:tplc="107E2020">
      <w:start w:val="1"/>
      <w:numFmt w:val="bullet"/>
      <w:lvlText w:val=""/>
      <w:lvlJc w:val="left"/>
      <w:pPr>
        <w:ind w:left="720" w:hanging="360"/>
      </w:pPr>
      <w:rPr>
        <w:rFonts w:ascii="Symbol" w:hAnsi="Symbol"/>
      </w:rPr>
    </w:lvl>
    <w:lvl w:ilvl="3" w:tplc="ED72C3E2">
      <w:start w:val="1"/>
      <w:numFmt w:val="bullet"/>
      <w:lvlText w:val=""/>
      <w:lvlJc w:val="left"/>
      <w:pPr>
        <w:ind w:left="720" w:hanging="360"/>
      </w:pPr>
      <w:rPr>
        <w:rFonts w:ascii="Symbol" w:hAnsi="Symbol"/>
      </w:rPr>
    </w:lvl>
    <w:lvl w:ilvl="4" w:tplc="4AC83636">
      <w:start w:val="1"/>
      <w:numFmt w:val="bullet"/>
      <w:lvlText w:val=""/>
      <w:lvlJc w:val="left"/>
      <w:pPr>
        <w:ind w:left="720" w:hanging="360"/>
      </w:pPr>
      <w:rPr>
        <w:rFonts w:ascii="Symbol" w:hAnsi="Symbol"/>
      </w:rPr>
    </w:lvl>
    <w:lvl w:ilvl="5" w:tplc="20EE9CE4">
      <w:start w:val="1"/>
      <w:numFmt w:val="bullet"/>
      <w:lvlText w:val=""/>
      <w:lvlJc w:val="left"/>
      <w:pPr>
        <w:ind w:left="720" w:hanging="360"/>
      </w:pPr>
      <w:rPr>
        <w:rFonts w:ascii="Symbol" w:hAnsi="Symbol"/>
      </w:rPr>
    </w:lvl>
    <w:lvl w:ilvl="6" w:tplc="4446B6D6">
      <w:start w:val="1"/>
      <w:numFmt w:val="bullet"/>
      <w:lvlText w:val=""/>
      <w:lvlJc w:val="left"/>
      <w:pPr>
        <w:ind w:left="720" w:hanging="360"/>
      </w:pPr>
      <w:rPr>
        <w:rFonts w:ascii="Symbol" w:hAnsi="Symbol"/>
      </w:rPr>
    </w:lvl>
    <w:lvl w:ilvl="7" w:tplc="BC602ED6">
      <w:start w:val="1"/>
      <w:numFmt w:val="bullet"/>
      <w:lvlText w:val=""/>
      <w:lvlJc w:val="left"/>
      <w:pPr>
        <w:ind w:left="720" w:hanging="360"/>
      </w:pPr>
      <w:rPr>
        <w:rFonts w:ascii="Symbol" w:hAnsi="Symbol"/>
      </w:rPr>
    </w:lvl>
    <w:lvl w:ilvl="8" w:tplc="3D4E22A8">
      <w:start w:val="1"/>
      <w:numFmt w:val="bullet"/>
      <w:lvlText w:val=""/>
      <w:lvlJc w:val="left"/>
      <w:pPr>
        <w:ind w:left="720" w:hanging="360"/>
      </w:pPr>
      <w:rPr>
        <w:rFonts w:ascii="Symbol" w:hAnsi="Symbol"/>
      </w:rPr>
    </w:lvl>
  </w:abstractNum>
  <w:abstractNum w:abstractNumId="26"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0327187">
    <w:abstractNumId w:val="15"/>
  </w:num>
  <w:num w:numId="2" w16cid:durableId="1876845289">
    <w:abstractNumId w:val="27"/>
  </w:num>
  <w:num w:numId="3" w16cid:durableId="1249969533">
    <w:abstractNumId w:val="11"/>
  </w:num>
  <w:num w:numId="4" w16cid:durableId="1704598709">
    <w:abstractNumId w:val="12"/>
  </w:num>
  <w:num w:numId="5" w16cid:durableId="1949312254">
    <w:abstractNumId w:val="21"/>
  </w:num>
  <w:num w:numId="6" w16cid:durableId="1446389009">
    <w:abstractNumId w:val="10"/>
  </w:num>
  <w:num w:numId="7" w16cid:durableId="548804773">
    <w:abstractNumId w:val="8"/>
  </w:num>
  <w:num w:numId="8" w16cid:durableId="662900794">
    <w:abstractNumId w:val="14"/>
  </w:num>
  <w:num w:numId="9" w16cid:durableId="1330865637">
    <w:abstractNumId w:val="5"/>
  </w:num>
  <w:num w:numId="10" w16cid:durableId="1102451521">
    <w:abstractNumId w:val="1"/>
  </w:num>
  <w:num w:numId="11" w16cid:durableId="2038920901">
    <w:abstractNumId w:val="7"/>
  </w:num>
  <w:num w:numId="12" w16cid:durableId="1445418184">
    <w:abstractNumId w:val="0"/>
  </w:num>
  <w:num w:numId="13" w16cid:durableId="1282958607">
    <w:abstractNumId w:val="4"/>
  </w:num>
  <w:num w:numId="14" w16cid:durableId="2127920395">
    <w:abstractNumId w:val="3"/>
  </w:num>
  <w:num w:numId="15" w16cid:durableId="2088334487">
    <w:abstractNumId w:val="24"/>
  </w:num>
  <w:num w:numId="16" w16cid:durableId="159974693">
    <w:abstractNumId w:val="19"/>
  </w:num>
  <w:num w:numId="17" w16cid:durableId="1303659417">
    <w:abstractNumId w:val="22"/>
  </w:num>
  <w:num w:numId="18" w16cid:durableId="1893081663">
    <w:abstractNumId w:val="23"/>
  </w:num>
  <w:num w:numId="19" w16cid:durableId="1400011277">
    <w:abstractNumId w:val="18"/>
  </w:num>
  <w:num w:numId="20" w16cid:durableId="782846356">
    <w:abstractNumId w:val="16"/>
  </w:num>
  <w:num w:numId="21" w16cid:durableId="530845491">
    <w:abstractNumId w:val="6"/>
  </w:num>
  <w:num w:numId="22" w16cid:durableId="369383696">
    <w:abstractNumId w:val="26"/>
  </w:num>
  <w:num w:numId="23" w16cid:durableId="257758806">
    <w:abstractNumId w:val="9"/>
  </w:num>
  <w:num w:numId="24" w16cid:durableId="2018002281">
    <w:abstractNumId w:val="25"/>
  </w:num>
  <w:num w:numId="25" w16cid:durableId="1420786694">
    <w:abstractNumId w:val="17"/>
  </w:num>
  <w:num w:numId="26" w16cid:durableId="899362710">
    <w:abstractNumId w:val="2"/>
  </w:num>
  <w:num w:numId="27" w16cid:durableId="1716617072">
    <w:abstractNumId w:val="13"/>
  </w:num>
  <w:num w:numId="28" w16cid:durableId="21366006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zNDEwNbW0NAWS5ko6SsGpxcWZ+XkgBaa1AJeahIYsAAAA"/>
  </w:docVars>
  <w:rsids>
    <w:rsidRoot w:val="00E83C66"/>
    <w:rsid w:val="00000B8B"/>
    <w:rsid w:val="00003E35"/>
    <w:rsid w:val="00005FC7"/>
    <w:rsid w:val="00006013"/>
    <w:rsid w:val="0001305C"/>
    <w:rsid w:val="00015B69"/>
    <w:rsid w:val="00021009"/>
    <w:rsid w:val="00023A66"/>
    <w:rsid w:val="0002435C"/>
    <w:rsid w:val="00026645"/>
    <w:rsid w:val="00032724"/>
    <w:rsid w:val="00035AE8"/>
    <w:rsid w:val="00036678"/>
    <w:rsid w:val="00044DF9"/>
    <w:rsid w:val="00057CD1"/>
    <w:rsid w:val="000950C8"/>
    <w:rsid w:val="00096F5D"/>
    <w:rsid w:val="000A0ECA"/>
    <w:rsid w:val="000A5D56"/>
    <w:rsid w:val="000B18BF"/>
    <w:rsid w:val="000D080C"/>
    <w:rsid w:val="000D5609"/>
    <w:rsid w:val="000E1A49"/>
    <w:rsid w:val="000E2D8B"/>
    <w:rsid w:val="000E50CD"/>
    <w:rsid w:val="000F1BE5"/>
    <w:rsid w:val="000F4219"/>
    <w:rsid w:val="000F48EC"/>
    <w:rsid w:val="000F53A2"/>
    <w:rsid w:val="000F5E8F"/>
    <w:rsid w:val="000F68E2"/>
    <w:rsid w:val="001026FB"/>
    <w:rsid w:val="001123BA"/>
    <w:rsid w:val="001179FD"/>
    <w:rsid w:val="001208FF"/>
    <w:rsid w:val="00127BC4"/>
    <w:rsid w:val="00127F83"/>
    <w:rsid w:val="00135DDB"/>
    <w:rsid w:val="00141994"/>
    <w:rsid w:val="00142209"/>
    <w:rsid w:val="001432AE"/>
    <w:rsid w:val="00145D93"/>
    <w:rsid w:val="001479B1"/>
    <w:rsid w:val="00152265"/>
    <w:rsid w:val="00161742"/>
    <w:rsid w:val="00165BA2"/>
    <w:rsid w:val="00170656"/>
    <w:rsid w:val="00173AC1"/>
    <w:rsid w:val="0017424B"/>
    <w:rsid w:val="00180953"/>
    <w:rsid w:val="00180DA3"/>
    <w:rsid w:val="00181710"/>
    <w:rsid w:val="001860C1"/>
    <w:rsid w:val="00190AC9"/>
    <w:rsid w:val="001939C7"/>
    <w:rsid w:val="001946BB"/>
    <w:rsid w:val="001948E2"/>
    <w:rsid w:val="0019640D"/>
    <w:rsid w:val="001964AE"/>
    <w:rsid w:val="001A101D"/>
    <w:rsid w:val="001A4776"/>
    <w:rsid w:val="001A51F3"/>
    <w:rsid w:val="001B0E46"/>
    <w:rsid w:val="001B5AFA"/>
    <w:rsid w:val="001B5F28"/>
    <w:rsid w:val="001B694A"/>
    <w:rsid w:val="001B6C1D"/>
    <w:rsid w:val="001C246F"/>
    <w:rsid w:val="001D0EF0"/>
    <w:rsid w:val="001D285A"/>
    <w:rsid w:val="001D2CF1"/>
    <w:rsid w:val="001D5B79"/>
    <w:rsid w:val="001D5D77"/>
    <w:rsid w:val="001E00D9"/>
    <w:rsid w:val="001E4A10"/>
    <w:rsid w:val="001E5484"/>
    <w:rsid w:val="001F2BF8"/>
    <w:rsid w:val="001F4159"/>
    <w:rsid w:val="00200BBF"/>
    <w:rsid w:val="00204F64"/>
    <w:rsid w:val="0020740C"/>
    <w:rsid w:val="002135C2"/>
    <w:rsid w:val="00214BDA"/>
    <w:rsid w:val="00224A5C"/>
    <w:rsid w:val="00236EDC"/>
    <w:rsid w:val="002415D5"/>
    <w:rsid w:val="0024547E"/>
    <w:rsid w:val="002477FF"/>
    <w:rsid w:val="00250BA1"/>
    <w:rsid w:val="00251EF7"/>
    <w:rsid w:val="002523EC"/>
    <w:rsid w:val="0027038D"/>
    <w:rsid w:val="00273B12"/>
    <w:rsid w:val="00274A7A"/>
    <w:rsid w:val="00275DC2"/>
    <w:rsid w:val="0028454D"/>
    <w:rsid w:val="002A0803"/>
    <w:rsid w:val="002B0761"/>
    <w:rsid w:val="002B318E"/>
    <w:rsid w:val="002B45DB"/>
    <w:rsid w:val="002C3506"/>
    <w:rsid w:val="002C4029"/>
    <w:rsid w:val="002C5EE8"/>
    <w:rsid w:val="002D1A25"/>
    <w:rsid w:val="002D4BB4"/>
    <w:rsid w:val="002E2BA7"/>
    <w:rsid w:val="002F2DEA"/>
    <w:rsid w:val="002F47EB"/>
    <w:rsid w:val="002F6F07"/>
    <w:rsid w:val="00301F73"/>
    <w:rsid w:val="00302122"/>
    <w:rsid w:val="00303331"/>
    <w:rsid w:val="0030335E"/>
    <w:rsid w:val="003036A6"/>
    <w:rsid w:val="00306E44"/>
    <w:rsid w:val="00310E09"/>
    <w:rsid w:val="0031567A"/>
    <w:rsid w:val="00316F74"/>
    <w:rsid w:val="003171D6"/>
    <w:rsid w:val="00320AAD"/>
    <w:rsid w:val="00323120"/>
    <w:rsid w:val="003249D2"/>
    <w:rsid w:val="003263E8"/>
    <w:rsid w:val="003268BD"/>
    <w:rsid w:val="00326BD8"/>
    <w:rsid w:val="003310A9"/>
    <w:rsid w:val="00333A28"/>
    <w:rsid w:val="00340517"/>
    <w:rsid w:val="0034160F"/>
    <w:rsid w:val="00341D88"/>
    <w:rsid w:val="003432C1"/>
    <w:rsid w:val="00343C0A"/>
    <w:rsid w:val="00352F67"/>
    <w:rsid w:val="003552BC"/>
    <w:rsid w:val="003558F4"/>
    <w:rsid w:val="0035604E"/>
    <w:rsid w:val="00357F6B"/>
    <w:rsid w:val="00360805"/>
    <w:rsid w:val="00360ED3"/>
    <w:rsid w:val="00360FFA"/>
    <w:rsid w:val="00361167"/>
    <w:rsid w:val="00361FB3"/>
    <w:rsid w:val="0037508C"/>
    <w:rsid w:val="003758EE"/>
    <w:rsid w:val="00375C79"/>
    <w:rsid w:val="003824E2"/>
    <w:rsid w:val="00386DAA"/>
    <w:rsid w:val="003931A7"/>
    <w:rsid w:val="0039379F"/>
    <w:rsid w:val="0039672B"/>
    <w:rsid w:val="003A4127"/>
    <w:rsid w:val="003A4B07"/>
    <w:rsid w:val="003B3F51"/>
    <w:rsid w:val="003B5125"/>
    <w:rsid w:val="003C21D1"/>
    <w:rsid w:val="003C2558"/>
    <w:rsid w:val="003D2022"/>
    <w:rsid w:val="003D3A14"/>
    <w:rsid w:val="003D53B2"/>
    <w:rsid w:val="003E5AD7"/>
    <w:rsid w:val="003E7840"/>
    <w:rsid w:val="003F2C46"/>
    <w:rsid w:val="003F440F"/>
    <w:rsid w:val="003F646D"/>
    <w:rsid w:val="003F7161"/>
    <w:rsid w:val="00400E02"/>
    <w:rsid w:val="0040159E"/>
    <w:rsid w:val="004024D1"/>
    <w:rsid w:val="00403F47"/>
    <w:rsid w:val="0041005A"/>
    <w:rsid w:val="004114D6"/>
    <w:rsid w:val="00413F90"/>
    <w:rsid w:val="0041687B"/>
    <w:rsid w:val="00420944"/>
    <w:rsid w:val="00432CCD"/>
    <w:rsid w:val="0044347D"/>
    <w:rsid w:val="004438CF"/>
    <w:rsid w:val="00447C21"/>
    <w:rsid w:val="004540D3"/>
    <w:rsid w:val="00462329"/>
    <w:rsid w:val="00485359"/>
    <w:rsid w:val="004864D7"/>
    <w:rsid w:val="004912A2"/>
    <w:rsid w:val="004968DC"/>
    <w:rsid w:val="004A28EF"/>
    <w:rsid w:val="004A4D94"/>
    <w:rsid w:val="004A4DAF"/>
    <w:rsid w:val="004A5F57"/>
    <w:rsid w:val="004B05FA"/>
    <w:rsid w:val="004B25D8"/>
    <w:rsid w:val="004B3ACB"/>
    <w:rsid w:val="004B6FA7"/>
    <w:rsid w:val="004B7BBD"/>
    <w:rsid w:val="004C0469"/>
    <w:rsid w:val="004C0D86"/>
    <w:rsid w:val="004C2598"/>
    <w:rsid w:val="004C31F8"/>
    <w:rsid w:val="004C7302"/>
    <w:rsid w:val="004D46F6"/>
    <w:rsid w:val="004D5B8A"/>
    <w:rsid w:val="004E5EB8"/>
    <w:rsid w:val="004F250B"/>
    <w:rsid w:val="004F2781"/>
    <w:rsid w:val="00502B61"/>
    <w:rsid w:val="0051526F"/>
    <w:rsid w:val="00515CB1"/>
    <w:rsid w:val="00517DC6"/>
    <w:rsid w:val="00521A7D"/>
    <w:rsid w:val="00521D64"/>
    <w:rsid w:val="005221E5"/>
    <w:rsid w:val="005228A2"/>
    <w:rsid w:val="0053459F"/>
    <w:rsid w:val="00535162"/>
    <w:rsid w:val="0053551A"/>
    <w:rsid w:val="00537F63"/>
    <w:rsid w:val="00541CF7"/>
    <w:rsid w:val="005432DD"/>
    <w:rsid w:val="00545443"/>
    <w:rsid w:val="00547308"/>
    <w:rsid w:val="00547AA5"/>
    <w:rsid w:val="0055256C"/>
    <w:rsid w:val="00561F39"/>
    <w:rsid w:val="0056278C"/>
    <w:rsid w:val="00565352"/>
    <w:rsid w:val="00572D4B"/>
    <w:rsid w:val="00572DB9"/>
    <w:rsid w:val="0057400B"/>
    <w:rsid w:val="00581703"/>
    <w:rsid w:val="005833C9"/>
    <w:rsid w:val="00592565"/>
    <w:rsid w:val="0059282E"/>
    <w:rsid w:val="00594008"/>
    <w:rsid w:val="005A5F28"/>
    <w:rsid w:val="005A633C"/>
    <w:rsid w:val="005A7119"/>
    <w:rsid w:val="005B4BAE"/>
    <w:rsid w:val="005B7F7A"/>
    <w:rsid w:val="005C388B"/>
    <w:rsid w:val="005D05B1"/>
    <w:rsid w:val="005D105B"/>
    <w:rsid w:val="005D27FE"/>
    <w:rsid w:val="005D416F"/>
    <w:rsid w:val="005D56F3"/>
    <w:rsid w:val="005D75B4"/>
    <w:rsid w:val="005D79FA"/>
    <w:rsid w:val="005E614B"/>
    <w:rsid w:val="005E6901"/>
    <w:rsid w:val="005F346E"/>
    <w:rsid w:val="005F3D11"/>
    <w:rsid w:val="005F3D83"/>
    <w:rsid w:val="00603A8A"/>
    <w:rsid w:val="0061015B"/>
    <w:rsid w:val="00613294"/>
    <w:rsid w:val="006179D7"/>
    <w:rsid w:val="0062204F"/>
    <w:rsid w:val="006247FA"/>
    <w:rsid w:val="00626457"/>
    <w:rsid w:val="006356B7"/>
    <w:rsid w:val="006419CB"/>
    <w:rsid w:val="00641F7D"/>
    <w:rsid w:val="00643FC9"/>
    <w:rsid w:val="00644539"/>
    <w:rsid w:val="00647492"/>
    <w:rsid w:val="0065325B"/>
    <w:rsid w:val="00653517"/>
    <w:rsid w:val="00656044"/>
    <w:rsid w:val="00661A75"/>
    <w:rsid w:val="006656A7"/>
    <w:rsid w:val="006706F6"/>
    <w:rsid w:val="006837B0"/>
    <w:rsid w:val="00683C92"/>
    <w:rsid w:val="0068627A"/>
    <w:rsid w:val="006876AB"/>
    <w:rsid w:val="0069144C"/>
    <w:rsid w:val="00692AD5"/>
    <w:rsid w:val="00694531"/>
    <w:rsid w:val="00696EFE"/>
    <w:rsid w:val="006A333F"/>
    <w:rsid w:val="006A6B10"/>
    <w:rsid w:val="006B7253"/>
    <w:rsid w:val="006B7712"/>
    <w:rsid w:val="006C3870"/>
    <w:rsid w:val="006D277B"/>
    <w:rsid w:val="006E062E"/>
    <w:rsid w:val="006E5307"/>
    <w:rsid w:val="006F1403"/>
    <w:rsid w:val="006F2BD8"/>
    <w:rsid w:val="006F5C79"/>
    <w:rsid w:val="007015BE"/>
    <w:rsid w:val="00703459"/>
    <w:rsid w:val="007039EB"/>
    <w:rsid w:val="00716C9C"/>
    <w:rsid w:val="00720D13"/>
    <w:rsid w:val="00721E7A"/>
    <w:rsid w:val="00724E01"/>
    <w:rsid w:val="007333E4"/>
    <w:rsid w:val="0073466F"/>
    <w:rsid w:val="00743437"/>
    <w:rsid w:val="00747226"/>
    <w:rsid w:val="00747D63"/>
    <w:rsid w:val="007525E6"/>
    <w:rsid w:val="00756836"/>
    <w:rsid w:val="00756EF7"/>
    <w:rsid w:val="00761FA3"/>
    <w:rsid w:val="00767B99"/>
    <w:rsid w:val="007709A0"/>
    <w:rsid w:val="00772A5F"/>
    <w:rsid w:val="00776295"/>
    <w:rsid w:val="0078680E"/>
    <w:rsid w:val="0079308C"/>
    <w:rsid w:val="00797053"/>
    <w:rsid w:val="007A2C20"/>
    <w:rsid w:val="007A2F8D"/>
    <w:rsid w:val="007A3942"/>
    <w:rsid w:val="007A4CEB"/>
    <w:rsid w:val="007A56FB"/>
    <w:rsid w:val="007A6955"/>
    <w:rsid w:val="007A6AB9"/>
    <w:rsid w:val="007A703C"/>
    <w:rsid w:val="007B5CAC"/>
    <w:rsid w:val="007C2C34"/>
    <w:rsid w:val="007C3DBC"/>
    <w:rsid w:val="007D0860"/>
    <w:rsid w:val="007D1085"/>
    <w:rsid w:val="007D27D4"/>
    <w:rsid w:val="007D49ED"/>
    <w:rsid w:val="007D79C4"/>
    <w:rsid w:val="007E1483"/>
    <w:rsid w:val="007F2776"/>
    <w:rsid w:val="007F5A80"/>
    <w:rsid w:val="007F76B7"/>
    <w:rsid w:val="0080016C"/>
    <w:rsid w:val="0080432B"/>
    <w:rsid w:val="0081160F"/>
    <w:rsid w:val="00812579"/>
    <w:rsid w:val="00813FDD"/>
    <w:rsid w:val="00816AA0"/>
    <w:rsid w:val="008246C7"/>
    <w:rsid w:val="00824D10"/>
    <w:rsid w:val="00834811"/>
    <w:rsid w:val="008352C0"/>
    <w:rsid w:val="0083681D"/>
    <w:rsid w:val="00837205"/>
    <w:rsid w:val="00850521"/>
    <w:rsid w:val="0085244E"/>
    <w:rsid w:val="00854C79"/>
    <w:rsid w:val="00855246"/>
    <w:rsid w:val="00856736"/>
    <w:rsid w:val="00857AF2"/>
    <w:rsid w:val="00857D13"/>
    <w:rsid w:val="00864066"/>
    <w:rsid w:val="00870582"/>
    <w:rsid w:val="008741C2"/>
    <w:rsid w:val="008871F1"/>
    <w:rsid w:val="008875AD"/>
    <w:rsid w:val="008877CF"/>
    <w:rsid w:val="00890C0E"/>
    <w:rsid w:val="00891257"/>
    <w:rsid w:val="008921F4"/>
    <w:rsid w:val="0089223A"/>
    <w:rsid w:val="00892B15"/>
    <w:rsid w:val="00893011"/>
    <w:rsid w:val="0089560C"/>
    <w:rsid w:val="008A1C28"/>
    <w:rsid w:val="008A7289"/>
    <w:rsid w:val="008C1038"/>
    <w:rsid w:val="008C4C41"/>
    <w:rsid w:val="008C5848"/>
    <w:rsid w:val="008C5DE7"/>
    <w:rsid w:val="008C6935"/>
    <w:rsid w:val="008C732D"/>
    <w:rsid w:val="008C759F"/>
    <w:rsid w:val="008D52D9"/>
    <w:rsid w:val="008D6C16"/>
    <w:rsid w:val="008E223E"/>
    <w:rsid w:val="008F6069"/>
    <w:rsid w:val="008F6407"/>
    <w:rsid w:val="008F7C48"/>
    <w:rsid w:val="009017A2"/>
    <w:rsid w:val="00904B9E"/>
    <w:rsid w:val="00913319"/>
    <w:rsid w:val="00913C81"/>
    <w:rsid w:val="00914836"/>
    <w:rsid w:val="00914C3D"/>
    <w:rsid w:val="00915E09"/>
    <w:rsid w:val="00921203"/>
    <w:rsid w:val="0092446D"/>
    <w:rsid w:val="00924D4C"/>
    <w:rsid w:val="00925D95"/>
    <w:rsid w:val="0093064C"/>
    <w:rsid w:val="009331B2"/>
    <w:rsid w:val="00934454"/>
    <w:rsid w:val="00934919"/>
    <w:rsid w:val="0094328F"/>
    <w:rsid w:val="00944F42"/>
    <w:rsid w:val="00946787"/>
    <w:rsid w:val="009510E4"/>
    <w:rsid w:val="00952F29"/>
    <w:rsid w:val="0095396C"/>
    <w:rsid w:val="00955587"/>
    <w:rsid w:val="00960D9E"/>
    <w:rsid w:val="0096376B"/>
    <w:rsid w:val="0096381D"/>
    <w:rsid w:val="00971FA7"/>
    <w:rsid w:val="009727D6"/>
    <w:rsid w:val="00974382"/>
    <w:rsid w:val="00974B6C"/>
    <w:rsid w:val="00977019"/>
    <w:rsid w:val="00977956"/>
    <w:rsid w:val="009827DB"/>
    <w:rsid w:val="00983558"/>
    <w:rsid w:val="0098487D"/>
    <w:rsid w:val="00986C24"/>
    <w:rsid w:val="00987128"/>
    <w:rsid w:val="00990069"/>
    <w:rsid w:val="0099141A"/>
    <w:rsid w:val="00997659"/>
    <w:rsid w:val="009A1A10"/>
    <w:rsid w:val="009A2B89"/>
    <w:rsid w:val="009A325F"/>
    <w:rsid w:val="009B21F3"/>
    <w:rsid w:val="009C34A6"/>
    <w:rsid w:val="009C3964"/>
    <w:rsid w:val="009C64D5"/>
    <w:rsid w:val="009C7155"/>
    <w:rsid w:val="009D28E8"/>
    <w:rsid w:val="009D3217"/>
    <w:rsid w:val="009D3C59"/>
    <w:rsid w:val="009D5234"/>
    <w:rsid w:val="009E2C50"/>
    <w:rsid w:val="009E48D1"/>
    <w:rsid w:val="009E7120"/>
    <w:rsid w:val="009E76E0"/>
    <w:rsid w:val="009F106E"/>
    <w:rsid w:val="009F147B"/>
    <w:rsid w:val="009F231F"/>
    <w:rsid w:val="009F2FB2"/>
    <w:rsid w:val="009F34F9"/>
    <w:rsid w:val="009F3CD7"/>
    <w:rsid w:val="009F495B"/>
    <w:rsid w:val="009F60DF"/>
    <w:rsid w:val="00A00E16"/>
    <w:rsid w:val="00A01A31"/>
    <w:rsid w:val="00A03D3E"/>
    <w:rsid w:val="00A043E0"/>
    <w:rsid w:val="00A07375"/>
    <w:rsid w:val="00A23014"/>
    <w:rsid w:val="00A238E8"/>
    <w:rsid w:val="00A33308"/>
    <w:rsid w:val="00A34DAC"/>
    <w:rsid w:val="00A34E93"/>
    <w:rsid w:val="00A34F87"/>
    <w:rsid w:val="00A36E3E"/>
    <w:rsid w:val="00A44140"/>
    <w:rsid w:val="00A51C33"/>
    <w:rsid w:val="00A54BFE"/>
    <w:rsid w:val="00A62C68"/>
    <w:rsid w:val="00A71E2F"/>
    <w:rsid w:val="00A75F2A"/>
    <w:rsid w:val="00A7767F"/>
    <w:rsid w:val="00A866B1"/>
    <w:rsid w:val="00A87E4E"/>
    <w:rsid w:val="00A93496"/>
    <w:rsid w:val="00AA054A"/>
    <w:rsid w:val="00AA2DB4"/>
    <w:rsid w:val="00AA4361"/>
    <w:rsid w:val="00AA77AA"/>
    <w:rsid w:val="00AB5625"/>
    <w:rsid w:val="00AB5FFA"/>
    <w:rsid w:val="00AC5298"/>
    <w:rsid w:val="00AD29EE"/>
    <w:rsid w:val="00AE0E89"/>
    <w:rsid w:val="00AE6B64"/>
    <w:rsid w:val="00AF3702"/>
    <w:rsid w:val="00AF6D9B"/>
    <w:rsid w:val="00B00BA2"/>
    <w:rsid w:val="00B02888"/>
    <w:rsid w:val="00B1162A"/>
    <w:rsid w:val="00B140AC"/>
    <w:rsid w:val="00B173F9"/>
    <w:rsid w:val="00B17BF4"/>
    <w:rsid w:val="00B211F5"/>
    <w:rsid w:val="00B26BC0"/>
    <w:rsid w:val="00B32818"/>
    <w:rsid w:val="00B34E46"/>
    <w:rsid w:val="00B37609"/>
    <w:rsid w:val="00B4473D"/>
    <w:rsid w:val="00B448FF"/>
    <w:rsid w:val="00B53534"/>
    <w:rsid w:val="00B57456"/>
    <w:rsid w:val="00B6423F"/>
    <w:rsid w:val="00B7076B"/>
    <w:rsid w:val="00B71E59"/>
    <w:rsid w:val="00B73F57"/>
    <w:rsid w:val="00B7543A"/>
    <w:rsid w:val="00B802D9"/>
    <w:rsid w:val="00B8340C"/>
    <w:rsid w:val="00B87200"/>
    <w:rsid w:val="00B917CE"/>
    <w:rsid w:val="00B926B4"/>
    <w:rsid w:val="00BA2628"/>
    <w:rsid w:val="00BA47E9"/>
    <w:rsid w:val="00BA5689"/>
    <w:rsid w:val="00BA59D4"/>
    <w:rsid w:val="00BB4167"/>
    <w:rsid w:val="00BB50BD"/>
    <w:rsid w:val="00BC10C0"/>
    <w:rsid w:val="00BD117A"/>
    <w:rsid w:val="00BD185F"/>
    <w:rsid w:val="00BE0C8B"/>
    <w:rsid w:val="00BE22FC"/>
    <w:rsid w:val="00BE2DE1"/>
    <w:rsid w:val="00BE36F4"/>
    <w:rsid w:val="00BE5563"/>
    <w:rsid w:val="00BE623D"/>
    <w:rsid w:val="00BE765E"/>
    <w:rsid w:val="00BF1406"/>
    <w:rsid w:val="00BF174A"/>
    <w:rsid w:val="00BF634E"/>
    <w:rsid w:val="00C013FB"/>
    <w:rsid w:val="00C035A7"/>
    <w:rsid w:val="00C047D6"/>
    <w:rsid w:val="00C068F7"/>
    <w:rsid w:val="00C06D95"/>
    <w:rsid w:val="00C10A49"/>
    <w:rsid w:val="00C15C81"/>
    <w:rsid w:val="00C2040F"/>
    <w:rsid w:val="00C3123A"/>
    <w:rsid w:val="00C31FE5"/>
    <w:rsid w:val="00C3262E"/>
    <w:rsid w:val="00C54C9D"/>
    <w:rsid w:val="00C64E95"/>
    <w:rsid w:val="00C72861"/>
    <w:rsid w:val="00C77A63"/>
    <w:rsid w:val="00C85274"/>
    <w:rsid w:val="00C94B7A"/>
    <w:rsid w:val="00C95FCE"/>
    <w:rsid w:val="00C961F0"/>
    <w:rsid w:val="00CA1513"/>
    <w:rsid w:val="00CA706A"/>
    <w:rsid w:val="00CB0F04"/>
    <w:rsid w:val="00CB457C"/>
    <w:rsid w:val="00CB5E9C"/>
    <w:rsid w:val="00CB5ECE"/>
    <w:rsid w:val="00CB6622"/>
    <w:rsid w:val="00CC4648"/>
    <w:rsid w:val="00CC4B76"/>
    <w:rsid w:val="00CD41C1"/>
    <w:rsid w:val="00CE22D1"/>
    <w:rsid w:val="00CF1121"/>
    <w:rsid w:val="00CF42CA"/>
    <w:rsid w:val="00CF5D14"/>
    <w:rsid w:val="00D03A33"/>
    <w:rsid w:val="00D04CA9"/>
    <w:rsid w:val="00D06F14"/>
    <w:rsid w:val="00D13A1C"/>
    <w:rsid w:val="00D15A24"/>
    <w:rsid w:val="00D24F9E"/>
    <w:rsid w:val="00D31D08"/>
    <w:rsid w:val="00D324D4"/>
    <w:rsid w:val="00D3299B"/>
    <w:rsid w:val="00D32FCD"/>
    <w:rsid w:val="00D435FB"/>
    <w:rsid w:val="00D5030F"/>
    <w:rsid w:val="00D51C91"/>
    <w:rsid w:val="00D565E0"/>
    <w:rsid w:val="00D61801"/>
    <w:rsid w:val="00D61B04"/>
    <w:rsid w:val="00D62E9D"/>
    <w:rsid w:val="00D6465A"/>
    <w:rsid w:val="00D6471C"/>
    <w:rsid w:val="00D6535F"/>
    <w:rsid w:val="00D6677D"/>
    <w:rsid w:val="00D763A0"/>
    <w:rsid w:val="00D80BC7"/>
    <w:rsid w:val="00D83656"/>
    <w:rsid w:val="00D84C44"/>
    <w:rsid w:val="00D84DEF"/>
    <w:rsid w:val="00D85A4D"/>
    <w:rsid w:val="00D91957"/>
    <w:rsid w:val="00D93C82"/>
    <w:rsid w:val="00D94606"/>
    <w:rsid w:val="00D94A98"/>
    <w:rsid w:val="00DA026A"/>
    <w:rsid w:val="00DA207D"/>
    <w:rsid w:val="00DA43EF"/>
    <w:rsid w:val="00DA50AB"/>
    <w:rsid w:val="00DA6373"/>
    <w:rsid w:val="00DA6898"/>
    <w:rsid w:val="00DB1904"/>
    <w:rsid w:val="00DB4462"/>
    <w:rsid w:val="00DB450D"/>
    <w:rsid w:val="00DB7BE4"/>
    <w:rsid w:val="00DC56F7"/>
    <w:rsid w:val="00DC6BC1"/>
    <w:rsid w:val="00DD0BC1"/>
    <w:rsid w:val="00DD1964"/>
    <w:rsid w:val="00DD3EC9"/>
    <w:rsid w:val="00DD72FD"/>
    <w:rsid w:val="00DE4EDB"/>
    <w:rsid w:val="00DE5F0F"/>
    <w:rsid w:val="00DF53DC"/>
    <w:rsid w:val="00DF546B"/>
    <w:rsid w:val="00E022A2"/>
    <w:rsid w:val="00E02748"/>
    <w:rsid w:val="00E02EB3"/>
    <w:rsid w:val="00E237BF"/>
    <w:rsid w:val="00E26932"/>
    <w:rsid w:val="00E37AA0"/>
    <w:rsid w:val="00E40774"/>
    <w:rsid w:val="00E41DC1"/>
    <w:rsid w:val="00E44E88"/>
    <w:rsid w:val="00E45F49"/>
    <w:rsid w:val="00E57F18"/>
    <w:rsid w:val="00E6086E"/>
    <w:rsid w:val="00E67648"/>
    <w:rsid w:val="00E70B23"/>
    <w:rsid w:val="00E72BD0"/>
    <w:rsid w:val="00E768F3"/>
    <w:rsid w:val="00E83C66"/>
    <w:rsid w:val="00E87EB0"/>
    <w:rsid w:val="00E933BF"/>
    <w:rsid w:val="00E95339"/>
    <w:rsid w:val="00EA1AF6"/>
    <w:rsid w:val="00EA5CA5"/>
    <w:rsid w:val="00EA6E66"/>
    <w:rsid w:val="00EA78BB"/>
    <w:rsid w:val="00EB33A1"/>
    <w:rsid w:val="00EB6ECF"/>
    <w:rsid w:val="00EC0326"/>
    <w:rsid w:val="00EC3273"/>
    <w:rsid w:val="00EC32AE"/>
    <w:rsid w:val="00EC60A1"/>
    <w:rsid w:val="00EC6389"/>
    <w:rsid w:val="00EC702D"/>
    <w:rsid w:val="00ED2366"/>
    <w:rsid w:val="00ED68A3"/>
    <w:rsid w:val="00ED7060"/>
    <w:rsid w:val="00ED7968"/>
    <w:rsid w:val="00ED7C8A"/>
    <w:rsid w:val="00EE22F5"/>
    <w:rsid w:val="00EE3527"/>
    <w:rsid w:val="00EE3996"/>
    <w:rsid w:val="00EE3DFC"/>
    <w:rsid w:val="00EE51EC"/>
    <w:rsid w:val="00EE6A28"/>
    <w:rsid w:val="00EF0329"/>
    <w:rsid w:val="00EF0D5B"/>
    <w:rsid w:val="00EF1CF5"/>
    <w:rsid w:val="00EF31C2"/>
    <w:rsid w:val="00EF4A47"/>
    <w:rsid w:val="00EF71D5"/>
    <w:rsid w:val="00F02A8A"/>
    <w:rsid w:val="00F10F0C"/>
    <w:rsid w:val="00F12BB5"/>
    <w:rsid w:val="00F132AA"/>
    <w:rsid w:val="00F24018"/>
    <w:rsid w:val="00F2717B"/>
    <w:rsid w:val="00F321FC"/>
    <w:rsid w:val="00F34C5E"/>
    <w:rsid w:val="00F37647"/>
    <w:rsid w:val="00F4137E"/>
    <w:rsid w:val="00F42B3C"/>
    <w:rsid w:val="00F43222"/>
    <w:rsid w:val="00F465B4"/>
    <w:rsid w:val="00F54268"/>
    <w:rsid w:val="00F556DE"/>
    <w:rsid w:val="00F57B58"/>
    <w:rsid w:val="00F66DA7"/>
    <w:rsid w:val="00F70696"/>
    <w:rsid w:val="00F71253"/>
    <w:rsid w:val="00F7127C"/>
    <w:rsid w:val="00F863CC"/>
    <w:rsid w:val="00F9771E"/>
    <w:rsid w:val="00FA1C34"/>
    <w:rsid w:val="00FA30F5"/>
    <w:rsid w:val="00FA5C0B"/>
    <w:rsid w:val="00FB404F"/>
    <w:rsid w:val="00FB49CB"/>
    <w:rsid w:val="00FD1A3A"/>
    <w:rsid w:val="00FD6D26"/>
    <w:rsid w:val="00FE3EEF"/>
    <w:rsid w:val="00FE6F5A"/>
    <w:rsid w:val="00FE7024"/>
    <w:rsid w:val="00FF203C"/>
    <w:rsid w:val="00FF2DA0"/>
    <w:rsid w:val="00FF2F68"/>
    <w:rsid w:val="00FF4964"/>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2"/>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ascii="Arial" w:eastAsiaTheme="majorEastAsia" w:hAnsi="Arial"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customStyle="1" w:styleId="UnresolvedMention2">
    <w:name w:val="Unresolved Mention2"/>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paragraph" w:customStyle="1" w:styleId="paragraph">
    <w:name w:val="paragraph"/>
    <w:basedOn w:val="Normal"/>
    <w:rsid w:val="00F977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771E"/>
  </w:style>
  <w:style w:type="character" w:customStyle="1" w:styleId="eop">
    <w:name w:val="eop"/>
    <w:basedOn w:val="DefaultParagraphFont"/>
    <w:rsid w:val="00F9771E"/>
  </w:style>
  <w:style w:type="character" w:styleId="UnresolvedMention">
    <w:name w:val="Unresolved Mention"/>
    <w:basedOn w:val="DefaultParagraphFont"/>
    <w:uiPriority w:val="99"/>
    <w:semiHidden/>
    <w:unhideWhenUsed/>
    <w:rsid w:val="00E4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101847280">
      <w:bodyDiv w:val="1"/>
      <w:marLeft w:val="0"/>
      <w:marRight w:val="0"/>
      <w:marTop w:val="0"/>
      <w:marBottom w:val="0"/>
      <w:divBdr>
        <w:top w:val="none" w:sz="0" w:space="0" w:color="auto"/>
        <w:left w:val="none" w:sz="0" w:space="0" w:color="auto"/>
        <w:bottom w:val="none" w:sz="0" w:space="0" w:color="auto"/>
        <w:right w:val="none" w:sz="0" w:space="0" w:color="auto"/>
      </w:divBdr>
    </w:div>
    <w:div w:id="143864288">
      <w:bodyDiv w:val="1"/>
      <w:marLeft w:val="0"/>
      <w:marRight w:val="0"/>
      <w:marTop w:val="0"/>
      <w:marBottom w:val="0"/>
      <w:divBdr>
        <w:top w:val="none" w:sz="0" w:space="0" w:color="auto"/>
        <w:left w:val="none" w:sz="0" w:space="0" w:color="auto"/>
        <w:bottom w:val="none" w:sz="0" w:space="0" w:color="auto"/>
        <w:right w:val="none" w:sz="0" w:space="0" w:color="auto"/>
      </w:divBdr>
    </w:div>
    <w:div w:id="155390604">
      <w:bodyDiv w:val="1"/>
      <w:marLeft w:val="0"/>
      <w:marRight w:val="0"/>
      <w:marTop w:val="0"/>
      <w:marBottom w:val="0"/>
      <w:divBdr>
        <w:top w:val="none" w:sz="0" w:space="0" w:color="auto"/>
        <w:left w:val="none" w:sz="0" w:space="0" w:color="auto"/>
        <w:bottom w:val="none" w:sz="0" w:space="0" w:color="auto"/>
        <w:right w:val="none" w:sz="0" w:space="0" w:color="auto"/>
      </w:divBdr>
    </w:div>
    <w:div w:id="229073433">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36415519">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502820144">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638148648">
      <w:bodyDiv w:val="1"/>
      <w:marLeft w:val="0"/>
      <w:marRight w:val="0"/>
      <w:marTop w:val="0"/>
      <w:marBottom w:val="0"/>
      <w:divBdr>
        <w:top w:val="none" w:sz="0" w:space="0" w:color="auto"/>
        <w:left w:val="none" w:sz="0" w:space="0" w:color="auto"/>
        <w:bottom w:val="none" w:sz="0" w:space="0" w:color="auto"/>
        <w:right w:val="none" w:sz="0" w:space="0" w:color="auto"/>
      </w:divBdr>
    </w:div>
    <w:div w:id="670716491">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19827996">
      <w:bodyDiv w:val="1"/>
      <w:marLeft w:val="0"/>
      <w:marRight w:val="0"/>
      <w:marTop w:val="0"/>
      <w:marBottom w:val="0"/>
      <w:divBdr>
        <w:top w:val="none" w:sz="0" w:space="0" w:color="auto"/>
        <w:left w:val="none" w:sz="0" w:space="0" w:color="auto"/>
        <w:bottom w:val="none" w:sz="0" w:space="0" w:color="auto"/>
        <w:right w:val="none" w:sz="0" w:space="0" w:color="auto"/>
      </w:divBdr>
    </w:div>
    <w:div w:id="954486728">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08352951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158888510">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295525930">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344087378">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34608150">
      <w:bodyDiv w:val="1"/>
      <w:marLeft w:val="0"/>
      <w:marRight w:val="0"/>
      <w:marTop w:val="0"/>
      <w:marBottom w:val="0"/>
      <w:divBdr>
        <w:top w:val="none" w:sz="0" w:space="0" w:color="auto"/>
        <w:left w:val="none" w:sz="0" w:space="0" w:color="auto"/>
        <w:bottom w:val="none" w:sz="0" w:space="0" w:color="auto"/>
        <w:right w:val="none" w:sz="0" w:space="0" w:color="auto"/>
      </w:divBdr>
    </w:div>
    <w:div w:id="1553300805">
      <w:bodyDiv w:val="1"/>
      <w:marLeft w:val="0"/>
      <w:marRight w:val="0"/>
      <w:marTop w:val="0"/>
      <w:marBottom w:val="0"/>
      <w:divBdr>
        <w:top w:val="none" w:sz="0" w:space="0" w:color="auto"/>
        <w:left w:val="none" w:sz="0" w:space="0" w:color="auto"/>
        <w:bottom w:val="none" w:sz="0" w:space="0" w:color="auto"/>
        <w:right w:val="none" w:sz="0" w:space="0" w:color="auto"/>
      </w:divBdr>
    </w:div>
    <w:div w:id="1575507672">
      <w:bodyDiv w:val="1"/>
      <w:marLeft w:val="0"/>
      <w:marRight w:val="0"/>
      <w:marTop w:val="0"/>
      <w:marBottom w:val="0"/>
      <w:divBdr>
        <w:top w:val="none" w:sz="0" w:space="0" w:color="auto"/>
        <w:left w:val="none" w:sz="0" w:space="0" w:color="auto"/>
        <w:bottom w:val="none" w:sz="0" w:space="0" w:color="auto"/>
        <w:right w:val="none" w:sz="0" w:space="0" w:color="auto"/>
      </w:divBdr>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683239620">
      <w:bodyDiv w:val="1"/>
      <w:marLeft w:val="0"/>
      <w:marRight w:val="0"/>
      <w:marTop w:val="0"/>
      <w:marBottom w:val="0"/>
      <w:divBdr>
        <w:top w:val="none" w:sz="0" w:space="0" w:color="auto"/>
        <w:left w:val="none" w:sz="0" w:space="0" w:color="auto"/>
        <w:bottom w:val="none" w:sz="0" w:space="0" w:color="auto"/>
        <w:right w:val="none" w:sz="0" w:space="0" w:color="auto"/>
      </w:divBdr>
    </w:div>
    <w:div w:id="1726833147">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1966813309">
      <w:bodyDiv w:val="1"/>
      <w:marLeft w:val="0"/>
      <w:marRight w:val="0"/>
      <w:marTop w:val="0"/>
      <w:marBottom w:val="0"/>
      <w:divBdr>
        <w:top w:val="none" w:sz="0" w:space="0" w:color="auto"/>
        <w:left w:val="none" w:sz="0" w:space="0" w:color="auto"/>
        <w:bottom w:val="none" w:sz="0" w:space="0" w:color="auto"/>
        <w:right w:val="none" w:sz="0" w:space="0" w:color="auto"/>
      </w:divBdr>
    </w:div>
    <w:div w:id="201282914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varicella-the-green-book-chapter-34" TargetMode="External"/><Relationship Id="rId21" Type="http://schemas.openxmlformats.org/officeDocument/2006/relationships/hyperlink" Target="https://www.gov.uk/drug-safety-update/mycophenolate-mofetil-cellcept-and-mycophenolic-acid-risk-of-hypogammaglobulinaemia-and-risk-of-bronchiectasis" TargetMode="External"/><Relationship Id="rId34" Type="http://schemas.openxmlformats.org/officeDocument/2006/relationships/hyperlink" Target="https://www.gov.uk/drug-safety-update/mycophenolate-mofetil-mycophenolic-acid-new-pregnancy-prevention-advice-for-women-and-men" TargetMode="External"/><Relationship Id="rId42" Type="http://schemas.openxmlformats.org/officeDocument/2006/relationships/hyperlink" Target="https://www.medicines.org.uk/emc/product/1102" TargetMode="External"/><Relationship Id="rId47" Type="http://schemas.openxmlformats.org/officeDocument/2006/relationships/hyperlink" Target="https://www.medicines.org.uk/emc/product/9294" TargetMode="External"/><Relationship Id="rId50" Type="http://schemas.openxmlformats.org/officeDocument/2006/relationships/hyperlink" Target="https://academic.oup.com/rheumatology/article/56/6/865/3053478" TargetMode="External"/><Relationship Id="rId55" Type="http://schemas.openxmlformats.org/officeDocument/2006/relationships/hyperlink" Target="https://www.gov.uk/drug-safety-update/mycophenolate-mofetil-mycophenolic-acid-updated-contraception-advice-for-male-patients" TargetMode="External"/><Relationship Id="rId63"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influenza-the-green-book-chapter-19" TargetMode="External"/><Relationship Id="rId29" Type="http://schemas.openxmlformats.org/officeDocument/2006/relationships/hyperlink" Target="https://www.gov.uk/government/publications/post-exposure-prophylaxis-for-chickenpox-and-shingles" TargetMode="External"/><Relationship Id="rId11" Type="http://schemas.openxmlformats.org/officeDocument/2006/relationships/hyperlink" Target="https://www.england.nhs.uk/wp-content/uploads/2018/03/responsibility-prescribing-between-primary-secondary-care-v2.pdf" TargetMode="External"/><Relationship Id="rId24" Type="http://schemas.openxmlformats.org/officeDocument/2006/relationships/hyperlink" Target="https://www.gov.uk/government/collections/immunisation-against-infectious-disease-the-green-book" TargetMode="External"/><Relationship Id="rId32" Type="http://schemas.openxmlformats.org/officeDocument/2006/relationships/hyperlink" Target="https://www.bad.org.uk/pils/mycophenolate-mofetil/" TargetMode="External"/><Relationship Id="rId37" Type="http://schemas.openxmlformats.org/officeDocument/2006/relationships/hyperlink" Target="https://www.fsrh.org/standards-and-guidance/documents/fsrh-ceu-statement-contraception-for-women-using-known/" TargetMode="External"/><Relationship Id="rId40" Type="http://schemas.openxmlformats.org/officeDocument/2006/relationships/hyperlink" Target="https://www.sps.nhs.uk/medicines/mycophenolate-mofetil/" TargetMode="External"/><Relationship Id="rId45" Type="http://schemas.openxmlformats.org/officeDocument/2006/relationships/hyperlink" Target="https://www.medicines.org.uk/emc/product/1569" TargetMode="External"/><Relationship Id="rId53" Type="http://schemas.openxmlformats.org/officeDocument/2006/relationships/hyperlink" Target="https://www.gov.uk/government/collections/immunisation-against-infectious-disease-the-green-book" TargetMode="External"/><Relationship Id="rId58" Type="http://schemas.openxmlformats.org/officeDocument/2006/relationships/hyperlink" Target="https://www.medicinesresources.nhs.uk/shared-care-for-medicines-guidance-a-standard-approach-rmoc.html" TargetMode="External"/><Relationship Id="rId5" Type="http://schemas.openxmlformats.org/officeDocument/2006/relationships/numbering" Target="numbering.xml"/><Relationship Id="rId61" Type="http://schemas.openxmlformats.org/officeDocument/2006/relationships/hyperlink" Target="https://www.nice.org.uk/guidance/ng197/" TargetMode="External"/><Relationship Id="rId19" Type="http://schemas.openxmlformats.org/officeDocument/2006/relationships/hyperlink" Target="https://www.gov.uk/drug-safety-update/mycophenolate-mofetil-mycophenolic-acid-updated-contraception-advice-for-male-patients" TargetMode="External"/><Relationship Id="rId14" Type="http://schemas.openxmlformats.org/officeDocument/2006/relationships/hyperlink" Target="https://www.gov.uk/government/publications/contraindications-and-special-considerations-the-green-book-chapter-6" TargetMode="External"/><Relationship Id="rId22" Type="http://schemas.openxmlformats.org/officeDocument/2006/relationships/hyperlink" Target="https://bnf.nice.org.uk/drugs/mycophenolate-mofetil/" TargetMode="External"/><Relationship Id="rId27" Type="http://schemas.openxmlformats.org/officeDocument/2006/relationships/hyperlink" Target="https://www.gov.uk/government/publications/post-exposure-prophylaxis-for-chickenpox-and-shingles" TargetMode="External"/><Relationship Id="rId30" Type="http://schemas.openxmlformats.org/officeDocument/2006/relationships/hyperlink" Target="https://patient.info/medicine/mycophenolate-mofetil-cellcept-myfenax" TargetMode="External"/><Relationship Id="rId35" Type="http://schemas.openxmlformats.org/officeDocument/2006/relationships/hyperlink" Target="https://assets.publishing.service.gov.uk/media/566aefec40f0b6036600002d/Cellcept_II-121_DHPC_UK__1__LETTER_PROOF__3_.pdf" TargetMode="External"/><Relationship Id="rId43" Type="http://schemas.openxmlformats.org/officeDocument/2006/relationships/hyperlink" Target="https://www.medicines.org.uk/emc/product/1103" TargetMode="External"/><Relationship Id="rId48" Type="http://schemas.openxmlformats.org/officeDocument/2006/relationships/hyperlink" Target="https://www.medicines.org.uk/emc/product/8508/smpc" TargetMode="External"/><Relationship Id="rId56" Type="http://schemas.openxmlformats.org/officeDocument/2006/relationships/hyperlink" Target="https://www.gov.uk/drug-safety-update/mycophenolate-mofetil-pure-red-cell-aplasia"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cademic.oup.com/rheumatology/article/62/4/e48/6783012" TargetMode="External"/><Relationship Id="rId3" Type="http://schemas.openxmlformats.org/officeDocument/2006/relationships/customXml" Target="../customXml/item3.xml"/><Relationship Id="rId12" Type="http://schemas.openxmlformats.org/officeDocument/2006/relationships/hyperlink" Target="https://rdtc.nhs.uk/prescribing-support-document/shared-care-protocol-mmf-mpa-in-adults-non-transplant/" TargetMode="External"/><Relationship Id="rId17" Type="http://schemas.openxmlformats.org/officeDocument/2006/relationships/hyperlink" Target="https://www.gov.uk/government/publications/covid-19-the-green-book-chapter-14a" TargetMode="External"/><Relationship Id="rId25" Type="http://schemas.openxmlformats.org/officeDocument/2006/relationships/hyperlink" Target="http://www.mhra.gov.uk/yellowcard" TargetMode="External"/><Relationship Id="rId33" Type="http://schemas.openxmlformats.org/officeDocument/2006/relationships/hyperlink" Target="https://www.medicines.org.uk/emc/search?q=mycophenolate" TargetMode="External"/><Relationship Id="rId38" Type="http://schemas.openxmlformats.org/officeDocument/2006/relationships/hyperlink" Target="https://uktis.org/monographs/use-of-mycophenolate-mofetil-in-pregnancy/" TargetMode="External"/><Relationship Id="rId46" Type="http://schemas.openxmlformats.org/officeDocument/2006/relationships/hyperlink" Target="https://www.medicines.org.uk/emc/product/9293" TargetMode="External"/><Relationship Id="rId59" Type="http://schemas.openxmlformats.org/officeDocument/2006/relationships/hyperlink" Target="https://www.england.nhs.uk/publication/responsibility-for-prescribing-between-primary-and-secondary-tertiary-care/" TargetMode="External"/><Relationship Id="rId20" Type="http://schemas.openxmlformats.org/officeDocument/2006/relationships/hyperlink" Target="https://www.gov.uk/drug-safety-update/mycophenolate-mofetil-pure-red-cell-aplasia" TargetMode="External"/><Relationship Id="rId41" Type="http://schemas.openxmlformats.org/officeDocument/2006/relationships/hyperlink" Target="https://www.gov.uk/drug-safety-update/mycophenolate-mofetil-mycophenolic-acid-updated-contraception-advice-for-male-patients" TargetMode="External"/><Relationship Id="rId54" Type="http://schemas.openxmlformats.org/officeDocument/2006/relationships/hyperlink" Target="https://www.gov.uk/drug-safety-update/mycophenolate-mofetil-mycophenolic-acid-new-pregnancy-prevention-advice-for-women-and-m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shingles-herpes-zoster-the-green-book-chapter-28a" TargetMode="External"/><Relationship Id="rId23" Type="http://schemas.openxmlformats.org/officeDocument/2006/relationships/hyperlink" Target="https://www.medicines.org.uk/emc/search?q=mycophenolate+or+mycophenolic" TargetMode="External"/><Relationship Id="rId28" Type="http://schemas.openxmlformats.org/officeDocument/2006/relationships/hyperlink" Target="https://www.gov.uk/government/publications/varicella-the-green-book-chapter-34" TargetMode="External"/><Relationship Id="rId36" Type="http://schemas.openxmlformats.org/officeDocument/2006/relationships/hyperlink" Target="https://www.gov.uk/drug-safety-update/medicines-with-teratogenic-potential-what-is-effective-contraception-and-how-often-is-pregnancy-testing-needed" TargetMode="External"/><Relationship Id="rId49" Type="http://schemas.openxmlformats.org/officeDocument/2006/relationships/hyperlink" Target="https://www.medicines.org.uk/emc/product/7793/smpc" TargetMode="External"/><Relationship Id="rId57" Type="http://schemas.openxmlformats.org/officeDocument/2006/relationships/hyperlink" Target="https://www.gov.uk/drug-safety-update/mycophenolate-mofetil-cellcept-and-mycophenolic-acid-risk-of-hypogammaglobulinaemia-and-risk-of-bronchiectasis" TargetMode="External"/><Relationship Id="rId10" Type="http://schemas.openxmlformats.org/officeDocument/2006/relationships/endnotes" Target="endnotes.xml"/><Relationship Id="rId31" Type="http://schemas.openxmlformats.org/officeDocument/2006/relationships/hyperlink" Target="https://www.versusarthritis.org/about-arthritis/treatments/drugs/mycophenolate/" TargetMode="External"/><Relationship Id="rId44" Type="http://schemas.openxmlformats.org/officeDocument/2006/relationships/hyperlink" Target="https://www.medicines.org.uk/emc/files/pil.1103.pdf" TargetMode="External"/><Relationship Id="rId52" Type="http://schemas.openxmlformats.org/officeDocument/2006/relationships/hyperlink" Target="https://renaldrugdatabase.com/" TargetMode="External"/><Relationship Id="rId60" Type="http://schemas.openxmlformats.org/officeDocument/2006/relationships/hyperlink" Target="https://www.gmc-uk.org/ethical-guidance/ethical-guidance-for-doctors/good-practice-in-prescribing-and-managing-medicines-and-devices/shared-care"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drug-safety-update/medicines-with-teratogenic-potential-what-is-effective-contraception-and-how-often-is-pregnancy-testing-needed" TargetMode="External"/><Relationship Id="rId18" Type="http://schemas.openxmlformats.org/officeDocument/2006/relationships/hyperlink" Target="https://www.gov.uk/government/publications/contraindications-and-special-considerations-the-green-book-chapter-6" TargetMode="External"/><Relationship Id="rId39" Type="http://schemas.openxmlformats.org/officeDocument/2006/relationships/hyperlink" Target="https://www.medicinesinpregnancy.org/Medicine--pregnancy/Mycophenola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BB6A8-91F8-43CB-AF1A-ECA411F237CD}">
  <ds:schemaRefs>
    <ds:schemaRef ds:uri="http://schemas.openxmlformats.org/officeDocument/2006/bibliography"/>
  </ds:schemaRefs>
</ds:datastoreItem>
</file>

<file path=customXml/itemProps2.xml><?xml version="1.0" encoding="utf-8"?>
<ds:datastoreItem xmlns:ds="http://schemas.openxmlformats.org/officeDocument/2006/customXml" ds:itemID="{B7E28E0C-DC6D-4ABC-AB96-A439A4E87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daf8bb99-f63a-4e33-b200-ec62ac311639"/>
    <ds:schemaRef ds:uri="f20c8ee1-5c4d-4fe6-a884-671ceaf52101"/>
    <ds:schemaRef ds:uri="http://schemas.microsoft.com/sharepoint/v3"/>
  </ds:schemaRefs>
</ds:datastoreItem>
</file>

<file path=customXml/itemProps4.xml><?xml version="1.0" encoding="utf-8"?>
<ds:datastoreItem xmlns:ds="http://schemas.openxmlformats.org/officeDocument/2006/customXml" ds:itemID="{C66AB882-76C8-4C3A-80F2-A88BAF8090B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13</Pages>
  <Words>5319</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nuth.rdtc@nhs.net</dc:creator>
  <cp:lastModifiedBy>STANIFORTH, Rachel (NHS HUMBER AND NORTH YORKSHIRE ICB - 42D)</cp:lastModifiedBy>
  <cp:revision>3</cp:revision>
  <cp:lastPrinted>2022-03-11T14:19:00Z</cp:lastPrinted>
  <dcterms:created xsi:type="dcterms:W3CDTF">2025-04-03T15:51:00Z</dcterms:created>
  <dcterms:modified xsi:type="dcterms:W3CDTF">2025-04-04T10:27:00Z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ies>
</file>