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EA1C" w14:textId="5F168A91" w:rsidR="003C21D1" w:rsidRDefault="003C21D1"/>
    <w:p w14:paraId="1A9789A2" w14:textId="566346AC" w:rsidR="005228A2" w:rsidRPr="005228A2" w:rsidRDefault="00747B98" w:rsidP="005228A2">
      <w:pPr>
        <w:pStyle w:val="Heading2"/>
        <w:numPr>
          <w:ilvl w:val="0"/>
          <w:numId w:val="0"/>
        </w:numPr>
        <w:ind w:left="357" w:hanging="357"/>
        <w:jc w:val="center"/>
        <w:rPr>
          <w:sz w:val="28"/>
          <w:szCs w:val="32"/>
        </w:rPr>
      </w:pPr>
      <w:proofErr w:type="spellStart"/>
      <w:r>
        <w:rPr>
          <w:sz w:val="28"/>
          <w:szCs w:val="32"/>
        </w:rPr>
        <w:t>Riluzole</w:t>
      </w:r>
      <w:proofErr w:type="spellEnd"/>
      <w:r w:rsidR="005228A2" w:rsidRPr="005228A2">
        <w:rPr>
          <w:sz w:val="28"/>
          <w:szCs w:val="32"/>
        </w:rPr>
        <w:t xml:space="preserve"> for patients within adult services</w:t>
      </w:r>
    </w:p>
    <w:tbl>
      <w:tblPr>
        <w:tblStyle w:val="TableGrid"/>
        <w:tblW w:w="0" w:type="auto"/>
        <w:tblLook w:val="04A0" w:firstRow="1" w:lastRow="0" w:firstColumn="1" w:lastColumn="0" w:noHBand="0" w:noVBand="1"/>
      </w:tblPr>
      <w:tblGrid>
        <w:gridCol w:w="3256"/>
        <w:gridCol w:w="2305"/>
        <w:gridCol w:w="2447"/>
        <w:gridCol w:w="2448"/>
      </w:tblGrid>
      <w:tr w:rsidR="00747B98" w14:paraId="117D375B" w14:textId="77777777" w:rsidTr="00812579">
        <w:tc>
          <w:tcPr>
            <w:tcW w:w="3256" w:type="dxa"/>
          </w:tcPr>
          <w:p w14:paraId="1FC4E973" w14:textId="4E19234A" w:rsidR="00747B98" w:rsidRDefault="00747B98" w:rsidP="00747B98">
            <w:pPr>
              <w:rPr>
                <w:rFonts w:cs="Arial"/>
              </w:rPr>
            </w:pPr>
            <w:r>
              <w:rPr>
                <w:rFonts w:cs="Arial"/>
              </w:rPr>
              <w:t>Version:</w:t>
            </w:r>
          </w:p>
        </w:tc>
        <w:tc>
          <w:tcPr>
            <w:tcW w:w="2305" w:type="dxa"/>
          </w:tcPr>
          <w:p w14:paraId="1B35B75E" w14:textId="1B0E9715" w:rsidR="00747B98" w:rsidRDefault="00415BF0" w:rsidP="00747B98">
            <w:pPr>
              <w:rPr>
                <w:rFonts w:cs="Arial"/>
              </w:rPr>
            </w:pPr>
            <w:r>
              <w:rPr>
                <w:rFonts w:cs="Arial"/>
              </w:rPr>
              <w:t xml:space="preserve">HNY </w:t>
            </w:r>
            <w:r w:rsidR="00AF517D">
              <w:rPr>
                <w:rFonts w:cs="Arial"/>
              </w:rPr>
              <w:t>v1.0</w:t>
            </w:r>
          </w:p>
        </w:tc>
        <w:tc>
          <w:tcPr>
            <w:tcW w:w="2447" w:type="dxa"/>
          </w:tcPr>
          <w:p w14:paraId="76C84DC3" w14:textId="4A9CF9F2" w:rsidR="00747B98" w:rsidRDefault="00747B98" w:rsidP="00747B98">
            <w:pPr>
              <w:rPr>
                <w:rFonts w:cs="Arial"/>
              </w:rPr>
            </w:pPr>
            <w:r>
              <w:rPr>
                <w:rFonts w:cs="Arial"/>
              </w:rPr>
              <w:t>Replaces version:</w:t>
            </w:r>
          </w:p>
        </w:tc>
        <w:tc>
          <w:tcPr>
            <w:tcW w:w="2448" w:type="dxa"/>
          </w:tcPr>
          <w:p w14:paraId="603CA470" w14:textId="542DCA4D" w:rsidR="00747B98" w:rsidRDefault="00415BF0" w:rsidP="00747B98">
            <w:pPr>
              <w:rPr>
                <w:rFonts w:cs="Arial"/>
              </w:rPr>
            </w:pPr>
            <w:r>
              <w:rPr>
                <w:rFonts w:cs="Arial"/>
              </w:rPr>
              <w:t xml:space="preserve">RDTC </w:t>
            </w:r>
            <w:r w:rsidR="00747B98">
              <w:rPr>
                <w:rFonts w:cs="Arial"/>
              </w:rPr>
              <w:t>v1.0</w:t>
            </w:r>
          </w:p>
        </w:tc>
      </w:tr>
      <w:tr w:rsidR="00747B98" w14:paraId="69C53677" w14:textId="77777777" w:rsidTr="00812579">
        <w:tc>
          <w:tcPr>
            <w:tcW w:w="3256" w:type="dxa"/>
          </w:tcPr>
          <w:p w14:paraId="0BC1494C" w14:textId="356B9B36" w:rsidR="00747B98" w:rsidRDefault="00747B98" w:rsidP="00747B98">
            <w:pPr>
              <w:rPr>
                <w:rFonts w:cs="Arial"/>
              </w:rPr>
            </w:pPr>
            <w:r>
              <w:rPr>
                <w:rFonts w:cs="Arial"/>
              </w:rPr>
              <w:t>Clinical content last reviewed:</w:t>
            </w:r>
          </w:p>
        </w:tc>
        <w:tc>
          <w:tcPr>
            <w:tcW w:w="2305" w:type="dxa"/>
          </w:tcPr>
          <w:p w14:paraId="456B394F" w14:textId="084F51AD" w:rsidR="00747B98" w:rsidRDefault="00747B98" w:rsidP="00747B98">
            <w:pPr>
              <w:rPr>
                <w:rFonts w:cs="Arial"/>
              </w:rPr>
            </w:pPr>
            <w:r>
              <w:rPr>
                <w:rFonts w:cs="Arial"/>
              </w:rPr>
              <w:t>October 2023</w:t>
            </w:r>
          </w:p>
        </w:tc>
        <w:tc>
          <w:tcPr>
            <w:tcW w:w="2447" w:type="dxa"/>
          </w:tcPr>
          <w:p w14:paraId="3D826204" w14:textId="35C48B0A" w:rsidR="00747B98" w:rsidRDefault="00747B98" w:rsidP="00747B98">
            <w:pPr>
              <w:rPr>
                <w:rFonts w:cs="Arial"/>
              </w:rPr>
            </w:pPr>
            <w:r>
              <w:rPr>
                <w:rFonts w:cs="Arial"/>
              </w:rPr>
              <w:t>Next review date:</w:t>
            </w:r>
          </w:p>
        </w:tc>
        <w:tc>
          <w:tcPr>
            <w:tcW w:w="2448" w:type="dxa"/>
          </w:tcPr>
          <w:p w14:paraId="112594AC" w14:textId="67D99C84" w:rsidR="00747B98" w:rsidRDefault="006F5FA8" w:rsidP="00747B98">
            <w:pPr>
              <w:rPr>
                <w:rFonts w:cs="Arial"/>
              </w:rPr>
            </w:pPr>
            <w:r>
              <w:rPr>
                <w:rFonts w:cs="Arial"/>
              </w:rPr>
              <w:t>October 2025</w:t>
            </w:r>
          </w:p>
        </w:tc>
      </w:tr>
    </w:tbl>
    <w:p w14:paraId="530E612C" w14:textId="77777777" w:rsidR="00BF1406" w:rsidRDefault="00BF1406">
      <w:pPr>
        <w:rPr>
          <w:rFonts w:cs="Arial"/>
        </w:rPr>
      </w:pPr>
    </w:p>
    <w:tbl>
      <w:tblPr>
        <w:tblStyle w:val="TableGrid"/>
        <w:tblW w:w="0" w:type="auto"/>
        <w:tblLook w:val="04A0" w:firstRow="1" w:lastRow="0" w:firstColumn="1" w:lastColumn="0" w:noHBand="0" w:noVBand="1"/>
      </w:tblPr>
      <w:tblGrid>
        <w:gridCol w:w="1413"/>
        <w:gridCol w:w="1843"/>
        <w:gridCol w:w="7200"/>
      </w:tblGrid>
      <w:tr w:rsidR="00812579" w:rsidRPr="00812579" w14:paraId="34CF4584" w14:textId="77777777" w:rsidTr="005A7119">
        <w:tc>
          <w:tcPr>
            <w:tcW w:w="1413" w:type="dxa"/>
          </w:tcPr>
          <w:p w14:paraId="61CA52AD" w14:textId="62A0E277" w:rsidR="00812579" w:rsidRPr="00812579" w:rsidRDefault="00812579" w:rsidP="00812579">
            <w:pPr>
              <w:rPr>
                <w:rFonts w:cs="Arial"/>
                <w:b/>
                <w:bCs/>
              </w:rPr>
            </w:pPr>
            <w:r w:rsidRPr="00812579">
              <w:rPr>
                <w:rFonts w:cs="Arial"/>
                <w:b/>
                <w:bCs/>
              </w:rPr>
              <w:t>Version</w:t>
            </w:r>
          </w:p>
        </w:tc>
        <w:tc>
          <w:tcPr>
            <w:tcW w:w="1843" w:type="dxa"/>
          </w:tcPr>
          <w:p w14:paraId="29D2AD29" w14:textId="1CDE1ADD" w:rsidR="00812579" w:rsidRPr="00812579" w:rsidRDefault="00812579" w:rsidP="00812579">
            <w:pPr>
              <w:rPr>
                <w:rFonts w:cs="Arial"/>
                <w:b/>
                <w:bCs/>
              </w:rPr>
            </w:pPr>
            <w:r w:rsidRPr="00812579">
              <w:rPr>
                <w:rFonts w:cs="Arial"/>
                <w:b/>
                <w:bCs/>
              </w:rPr>
              <w:t>Date published</w:t>
            </w:r>
          </w:p>
        </w:tc>
        <w:tc>
          <w:tcPr>
            <w:tcW w:w="7200" w:type="dxa"/>
          </w:tcPr>
          <w:p w14:paraId="1249D078" w14:textId="0D4735C0" w:rsidR="00812579" w:rsidRPr="00812579" w:rsidRDefault="00812579" w:rsidP="00812579">
            <w:pPr>
              <w:rPr>
                <w:rFonts w:cs="Arial"/>
                <w:b/>
                <w:bCs/>
              </w:rPr>
            </w:pPr>
            <w:r w:rsidRPr="00812579">
              <w:rPr>
                <w:rFonts w:cs="Arial"/>
                <w:b/>
                <w:bCs/>
              </w:rPr>
              <w:t>Changes</w:t>
            </w:r>
            <w:r>
              <w:rPr>
                <w:rFonts w:cs="Arial"/>
                <w:b/>
                <w:bCs/>
              </w:rPr>
              <w:t xml:space="preserve"> since previous version</w:t>
            </w:r>
          </w:p>
        </w:tc>
      </w:tr>
      <w:tr w:rsidR="00747B98" w14:paraId="752F6420" w14:textId="77777777" w:rsidTr="005A7119">
        <w:tc>
          <w:tcPr>
            <w:tcW w:w="1413" w:type="dxa"/>
          </w:tcPr>
          <w:p w14:paraId="0EAA9C18" w14:textId="74562A36" w:rsidR="00747B98" w:rsidRDefault="00747B98" w:rsidP="00747B98">
            <w:pPr>
              <w:rPr>
                <w:rFonts w:cs="Arial"/>
              </w:rPr>
            </w:pPr>
            <w:r>
              <w:rPr>
                <w:rFonts w:cs="Arial"/>
              </w:rPr>
              <w:t>RDTC v1.0</w:t>
            </w:r>
          </w:p>
        </w:tc>
        <w:tc>
          <w:tcPr>
            <w:tcW w:w="1843" w:type="dxa"/>
          </w:tcPr>
          <w:p w14:paraId="4232EE9B" w14:textId="66049FFA" w:rsidR="00747B98" w:rsidRDefault="00B6330B" w:rsidP="00747B98">
            <w:pPr>
              <w:rPr>
                <w:rFonts w:cs="Arial"/>
              </w:rPr>
            </w:pPr>
            <w:r>
              <w:rPr>
                <w:rFonts w:cs="Arial"/>
              </w:rPr>
              <w:t>7</w:t>
            </w:r>
            <w:r w:rsidRPr="00B6330B">
              <w:rPr>
                <w:rFonts w:cs="Arial"/>
                <w:vertAlign w:val="superscript"/>
              </w:rPr>
              <w:t>th</w:t>
            </w:r>
            <w:r>
              <w:rPr>
                <w:rFonts w:cs="Arial"/>
              </w:rPr>
              <w:t xml:space="preserve"> December 2023</w:t>
            </w:r>
          </w:p>
        </w:tc>
        <w:tc>
          <w:tcPr>
            <w:tcW w:w="7200" w:type="dxa"/>
          </w:tcPr>
          <w:p w14:paraId="36F87864" w14:textId="4D60ED8F" w:rsidR="00747B98" w:rsidRPr="007A56FB" w:rsidRDefault="00747B98" w:rsidP="00747B98">
            <w:pPr>
              <w:rPr>
                <w:rFonts w:cs="Arial"/>
              </w:rPr>
            </w:pPr>
            <w:r>
              <w:rPr>
                <w:rFonts w:cs="Arial"/>
              </w:rPr>
              <w:t>Hyperlinks updated. New formulation (</w:t>
            </w:r>
            <w:proofErr w:type="spellStart"/>
            <w:r>
              <w:rPr>
                <w:rFonts w:cs="Arial"/>
              </w:rPr>
              <w:t>orodispersible</w:t>
            </w:r>
            <w:proofErr w:type="spellEnd"/>
            <w:r>
              <w:rPr>
                <w:rFonts w:cs="Arial"/>
              </w:rPr>
              <w:t xml:space="preserve"> film) added. </w:t>
            </w:r>
          </w:p>
        </w:tc>
      </w:tr>
      <w:tr w:rsidR="00812579" w14:paraId="120F2CF5" w14:textId="77777777" w:rsidTr="005A7119">
        <w:tc>
          <w:tcPr>
            <w:tcW w:w="1413" w:type="dxa"/>
          </w:tcPr>
          <w:p w14:paraId="36E8A0C3" w14:textId="7011CE2D" w:rsidR="00812579" w:rsidRDefault="00415BF0" w:rsidP="00812579">
            <w:pPr>
              <w:rPr>
                <w:rFonts w:cs="Arial"/>
              </w:rPr>
            </w:pPr>
            <w:r>
              <w:rPr>
                <w:rFonts w:cs="Arial"/>
              </w:rPr>
              <w:t>HNY v1.0</w:t>
            </w:r>
          </w:p>
        </w:tc>
        <w:tc>
          <w:tcPr>
            <w:tcW w:w="1843" w:type="dxa"/>
          </w:tcPr>
          <w:p w14:paraId="156C2558" w14:textId="6B4C65A9" w:rsidR="00812579" w:rsidRDefault="00A05EBE" w:rsidP="00812579">
            <w:pPr>
              <w:rPr>
                <w:rFonts w:cs="Arial"/>
              </w:rPr>
            </w:pPr>
            <w:r>
              <w:rPr>
                <w:rFonts w:cs="Arial"/>
              </w:rPr>
              <w:t>April 2025</w:t>
            </w:r>
          </w:p>
        </w:tc>
        <w:tc>
          <w:tcPr>
            <w:tcW w:w="7200" w:type="dxa"/>
          </w:tcPr>
          <w:p w14:paraId="0548D82C" w14:textId="77777777" w:rsidR="00812579" w:rsidRDefault="00263BAB" w:rsidP="00065512">
            <w:pPr>
              <w:pStyle w:val="ListParagraph"/>
              <w:numPr>
                <w:ilvl w:val="0"/>
                <w:numId w:val="50"/>
              </w:numPr>
              <w:rPr>
                <w:rFonts w:cs="Arial"/>
              </w:rPr>
            </w:pPr>
            <w:r>
              <w:rPr>
                <w:rFonts w:cs="Arial"/>
              </w:rPr>
              <w:t>HNY logos added</w:t>
            </w:r>
          </w:p>
          <w:p w14:paraId="49B7953D" w14:textId="25C4164C" w:rsidR="003C49B1" w:rsidRPr="00A05EBE" w:rsidRDefault="003C49B1" w:rsidP="00A05EBE">
            <w:pPr>
              <w:pStyle w:val="ListParagraph"/>
              <w:numPr>
                <w:ilvl w:val="0"/>
                <w:numId w:val="50"/>
              </w:numPr>
              <w:rPr>
                <w:rFonts w:cs="Arial"/>
              </w:rPr>
            </w:pPr>
            <w:r w:rsidRPr="00A05EBE">
              <w:rPr>
                <w:rFonts w:cs="Arial"/>
              </w:rPr>
              <w:t xml:space="preserve">Section 4: Transfer of monitoring and prescribing updated as per NHSE document - </w:t>
            </w:r>
            <w:hyperlink r:id="rId11" w:history="1">
              <w:r w:rsidRPr="00A05EBE">
                <w:rPr>
                  <w:rStyle w:val="Hyperlink"/>
                  <w:rFonts w:cs="Arial"/>
                </w:rPr>
                <w:t>https://www.england.nhs.uk/wp-content/uploads/2018/03/responsibility-prescribing-between-primary-secondary-care-v2.pdf</w:t>
              </w:r>
            </w:hyperlink>
            <w:r w:rsidR="00A05EBE">
              <w:t xml:space="preserve"> and following wording added: </w:t>
            </w:r>
            <w:r w:rsidR="00A05EBE"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2EED7421" w14:textId="00889BDD" w:rsidR="00065512" w:rsidRPr="00065512" w:rsidRDefault="00065512" w:rsidP="00065512">
            <w:pPr>
              <w:pStyle w:val="ListParagraph"/>
              <w:numPr>
                <w:ilvl w:val="0"/>
                <w:numId w:val="50"/>
              </w:numPr>
              <w:rPr>
                <w:rFonts w:cs="Arial"/>
              </w:rPr>
            </w:pPr>
            <w:r>
              <w:rPr>
                <w:rFonts w:cs="Arial"/>
              </w:rPr>
              <w:t>Section 5: Ongoing monitoring – added "</w:t>
            </w:r>
            <w:r w:rsidRPr="00504F30">
              <w:t xml:space="preserve"> At initiation of shared care, communication to primary care should include current and ongoing dose, any relevant test results, and date the next monitoring is required.</w:t>
            </w:r>
            <w:r>
              <w:t>"</w:t>
            </w:r>
          </w:p>
          <w:p w14:paraId="3CA49C9E" w14:textId="5664373B" w:rsidR="0002191E" w:rsidRDefault="0002191E" w:rsidP="00065512">
            <w:pPr>
              <w:pStyle w:val="ListParagraph"/>
              <w:numPr>
                <w:ilvl w:val="0"/>
                <w:numId w:val="50"/>
              </w:numPr>
              <w:rPr>
                <w:lang w:eastAsia="en-GB"/>
              </w:rPr>
            </w:pPr>
            <w:r w:rsidRPr="0002191E">
              <w:rPr>
                <w:rFonts w:cs="Arial"/>
              </w:rPr>
              <w:t>Section 6: removed "</w:t>
            </w:r>
            <w:r w:rsidRPr="00610E26">
              <w:rPr>
                <w:lang w:eastAsia="en-GB"/>
              </w:rPr>
              <w:t>NB: where monthly or quarterly monitoring is performed in secondary care prior to transfer, there is no need to repeat individual tests</w:t>
            </w:r>
            <w:r>
              <w:rPr>
                <w:lang w:eastAsia="en-GB"/>
              </w:rPr>
              <w:t>"</w:t>
            </w:r>
            <w:r w:rsidRPr="0002191E">
              <w:rPr>
                <w:lang w:eastAsia="en-GB"/>
              </w:rPr>
              <w:t xml:space="preserve">. </w:t>
            </w:r>
            <w:r>
              <w:rPr>
                <w:lang w:eastAsia="en-GB"/>
              </w:rPr>
              <w:t xml:space="preserve"> </w:t>
            </w:r>
          </w:p>
          <w:p w14:paraId="6CE68E9F" w14:textId="70EE43FC" w:rsidR="005542EE" w:rsidRPr="00610E26" w:rsidRDefault="005542EE" w:rsidP="00610E26">
            <w:pPr>
              <w:pStyle w:val="ListParagraph"/>
              <w:numPr>
                <w:ilvl w:val="0"/>
                <w:numId w:val="50"/>
              </w:numPr>
              <w:rPr>
                <w:rFonts w:cs="Arial"/>
              </w:rPr>
            </w:pPr>
            <w:r w:rsidRPr="005542EE">
              <w:rPr>
                <w:rFonts w:cs="Arial"/>
              </w:rPr>
              <w:t xml:space="preserve">Section 7: added </w:t>
            </w:r>
            <w:r>
              <w:rPr>
                <w:rFonts w:cs="Arial"/>
              </w:rPr>
              <w:t>–</w:t>
            </w:r>
            <w:r w:rsidRPr="005542EE">
              <w:rPr>
                <w:rFonts w:cs="Arial"/>
              </w:rPr>
              <w:t xml:space="preserve"> </w:t>
            </w:r>
            <w:r>
              <w:rPr>
                <w:rFonts w:cs="Arial"/>
              </w:rPr>
              <w:t>"</w:t>
            </w:r>
            <w:r w:rsidRPr="005542EE">
              <w:rPr>
                <w:rFonts w:cs="Arial"/>
                <w:noProof/>
                <w:lang w:val="en-US"/>
              </w:rPr>
              <w:t xml:space="preserve">Note: As per section 4 - </w:t>
            </w:r>
            <w:r w:rsidRPr="005542EE">
              <w:rPr>
                <w:rFonts w:cs="Arial"/>
              </w:rPr>
              <w:t>All dose or formulation adjustments should involve the specialist</w:t>
            </w:r>
            <w:r>
              <w:rPr>
                <w:rFonts w:cs="Arial"/>
              </w:rPr>
              <w:t>"</w:t>
            </w:r>
            <w:r w:rsidRPr="005542EE">
              <w:rPr>
                <w:rFonts w:cs="Arial"/>
              </w:rPr>
              <w:t>.</w:t>
            </w:r>
          </w:p>
          <w:p w14:paraId="64EB7718" w14:textId="77777777" w:rsidR="008F6E45" w:rsidRDefault="00D45C2C" w:rsidP="00065512">
            <w:pPr>
              <w:pStyle w:val="ListParagraph"/>
              <w:numPr>
                <w:ilvl w:val="0"/>
                <w:numId w:val="50"/>
              </w:numPr>
              <w:rPr>
                <w:rFonts w:cs="Arial"/>
              </w:rPr>
            </w:pPr>
            <w:r>
              <w:rPr>
                <w:rFonts w:cs="Arial"/>
              </w:rPr>
              <w:t xml:space="preserve">Section 11: hyperlink updated - </w:t>
            </w:r>
            <w:hyperlink r:id="rId12" w:history="1">
              <w:r w:rsidRPr="00850B78">
                <w:rPr>
                  <w:rStyle w:val="Hyperlink"/>
                  <w:rFonts w:cs="Arial"/>
                </w:rPr>
                <w:t xml:space="preserve">MND association </w:t>
              </w:r>
              <w:proofErr w:type="spellStart"/>
              <w:r w:rsidRPr="00850B78">
                <w:rPr>
                  <w:rStyle w:val="Hyperlink"/>
                  <w:rFonts w:cs="Arial"/>
                </w:rPr>
                <w:t>riluzole</w:t>
              </w:r>
              <w:proofErr w:type="spellEnd"/>
              <w:r w:rsidRPr="00850B78">
                <w:rPr>
                  <w:rStyle w:val="Hyperlink"/>
                  <w:rFonts w:cs="Arial"/>
                </w:rPr>
                <w:t xml:space="preserve"> information leaflet </w:t>
              </w:r>
            </w:hyperlink>
          </w:p>
          <w:p w14:paraId="68B3A165" w14:textId="5D021AC7" w:rsidR="00981615" w:rsidRPr="00610E26" w:rsidRDefault="00981615" w:rsidP="00065512">
            <w:pPr>
              <w:pStyle w:val="ListParagraph"/>
              <w:numPr>
                <w:ilvl w:val="0"/>
                <w:numId w:val="50"/>
              </w:numPr>
              <w:rPr>
                <w:rFonts w:cs="Arial"/>
              </w:rPr>
            </w:pPr>
            <w:r>
              <w:rPr>
                <w:rFonts w:cs="Arial"/>
              </w:rPr>
              <w:t xml:space="preserve">Section 13: </w:t>
            </w:r>
            <w:r w:rsidR="00A31736" w:rsidRPr="00CD6693">
              <w:rPr>
                <w:rFonts w:cs="Arial"/>
              </w:rPr>
              <w:t xml:space="preserve">Contact information updated to </w:t>
            </w:r>
            <w:r w:rsidR="00A31736" w:rsidRPr="00A31736">
              <w:rPr>
                <w:rFonts w:cs="Arial"/>
              </w:rPr>
              <w:t>"Details</w:t>
            </w:r>
            <w:r w:rsidR="00A31736" w:rsidRPr="00610E26">
              <w:rPr>
                <w:rFonts w:cs="Arial"/>
              </w:rPr>
              <w:t xml:space="preserve"> for contacting specialist must be included on clinic letter</w:t>
            </w:r>
            <w:r w:rsidR="00A31736">
              <w:rPr>
                <w:rFonts w:cs="Arial"/>
                <w:i/>
                <w:iCs/>
              </w:rPr>
              <w:t>"</w:t>
            </w:r>
          </w:p>
          <w:p w14:paraId="3C1547CD" w14:textId="77777777" w:rsidR="00F77AA2" w:rsidRDefault="00F77AA2" w:rsidP="00065512">
            <w:pPr>
              <w:pStyle w:val="ListParagraph"/>
              <w:numPr>
                <w:ilvl w:val="0"/>
                <w:numId w:val="50"/>
              </w:numPr>
              <w:rPr>
                <w:rFonts w:cs="Arial"/>
              </w:rPr>
            </w:pPr>
            <w:r>
              <w:rPr>
                <w:rFonts w:cs="Arial"/>
              </w:rPr>
              <w:t xml:space="preserve">Section 15: Link to </w:t>
            </w:r>
            <w:proofErr w:type="spellStart"/>
            <w:r>
              <w:rPr>
                <w:rFonts w:cs="Arial"/>
              </w:rPr>
              <w:t>Rilutek</w:t>
            </w:r>
            <w:proofErr w:type="spellEnd"/>
            <w:r>
              <w:rPr>
                <w:rFonts w:cs="Arial"/>
              </w:rPr>
              <w:t xml:space="preserve"> removed as </w:t>
            </w:r>
            <w:r w:rsidR="00794B52">
              <w:rPr>
                <w:rFonts w:cs="Arial"/>
              </w:rPr>
              <w:t xml:space="preserve">not listed on </w:t>
            </w:r>
            <w:proofErr w:type="spellStart"/>
            <w:r w:rsidR="00794B52">
              <w:rPr>
                <w:rFonts w:cs="Arial"/>
              </w:rPr>
              <w:t>emc</w:t>
            </w:r>
            <w:proofErr w:type="spellEnd"/>
            <w:r w:rsidR="00794B52">
              <w:rPr>
                <w:rFonts w:cs="Arial"/>
              </w:rPr>
              <w:t xml:space="preserve"> website</w:t>
            </w:r>
          </w:p>
          <w:p w14:paraId="70E165E6" w14:textId="67B70175" w:rsidR="004C51DC" w:rsidRPr="00263BAB" w:rsidRDefault="004C51DC" w:rsidP="00610E26">
            <w:pPr>
              <w:pStyle w:val="ListParagraph"/>
              <w:numPr>
                <w:ilvl w:val="0"/>
                <w:numId w:val="50"/>
              </w:numPr>
              <w:rPr>
                <w:rFonts w:cs="Arial"/>
              </w:rPr>
            </w:pPr>
            <w:r>
              <w:rPr>
                <w:rFonts w:cs="Arial"/>
              </w:rPr>
              <w:t>Section 16: Hyperlink to Shared Care for Medicines Guidance updated</w:t>
            </w:r>
          </w:p>
        </w:tc>
      </w:tr>
    </w:tbl>
    <w:p w14:paraId="3EC6F559" w14:textId="7C359DCF" w:rsidR="00A05EBE" w:rsidRDefault="00A05EBE">
      <w:pPr>
        <w:rPr>
          <w:rFonts w:cs="Arial"/>
        </w:rPr>
      </w:pPr>
    </w:p>
    <w:p w14:paraId="2FF3FB72" w14:textId="77777777" w:rsidR="00A05EBE" w:rsidRDefault="00A05EBE">
      <w:pPr>
        <w:spacing w:before="0" w:after="160"/>
        <w:rPr>
          <w:rFonts w:cs="Arial"/>
        </w:rPr>
      </w:pPr>
      <w:r>
        <w:rPr>
          <w:rFonts w:cs="Arial"/>
        </w:rPr>
        <w:br w:type="page"/>
      </w:r>
    </w:p>
    <w:p w14:paraId="5E72FBE0" w14:textId="77777777" w:rsidR="00812579" w:rsidRDefault="00812579">
      <w:pPr>
        <w:rPr>
          <w:rFonts w:cs="Arial"/>
        </w:rPr>
      </w:pPr>
    </w:p>
    <w:p w14:paraId="461A042C" w14:textId="77777777" w:rsidR="005432DD" w:rsidRPr="007815A0" w:rsidRDefault="005432DD" w:rsidP="005432DD">
      <w:pPr>
        <w:rPr>
          <w:rFonts w:cs="Arial"/>
          <w:b/>
          <w:bCs/>
        </w:rPr>
      </w:pPr>
      <w:r w:rsidRPr="007815A0">
        <w:rPr>
          <w:rFonts w:cs="Arial"/>
          <w:b/>
          <w:bCs/>
        </w:rPr>
        <w:t>Local review and adoption</w:t>
      </w:r>
    </w:p>
    <w:tbl>
      <w:tblPr>
        <w:tblStyle w:val="TableGrid"/>
        <w:tblW w:w="0" w:type="auto"/>
        <w:tblLook w:val="04A0" w:firstRow="1" w:lastRow="0" w:firstColumn="1" w:lastColumn="0" w:noHBand="0" w:noVBand="1"/>
      </w:tblPr>
      <w:tblGrid>
        <w:gridCol w:w="4248"/>
        <w:gridCol w:w="4365"/>
      </w:tblGrid>
      <w:tr w:rsidR="005432DD" w:rsidRPr="00812579" w14:paraId="6220F19C" w14:textId="77777777" w:rsidTr="00716319">
        <w:tc>
          <w:tcPr>
            <w:tcW w:w="4248" w:type="dxa"/>
          </w:tcPr>
          <w:p w14:paraId="6F1EF854" w14:textId="77777777" w:rsidR="005432DD" w:rsidRPr="00812579" w:rsidRDefault="005432DD" w:rsidP="00716319">
            <w:pPr>
              <w:rPr>
                <w:rFonts w:cs="Arial"/>
                <w:b/>
                <w:bCs/>
              </w:rPr>
            </w:pPr>
            <w:r>
              <w:rPr>
                <w:rFonts w:cs="Arial"/>
                <w:b/>
                <w:bCs/>
              </w:rPr>
              <w:t>Local approval</w:t>
            </w:r>
          </w:p>
        </w:tc>
        <w:tc>
          <w:tcPr>
            <w:tcW w:w="4365" w:type="dxa"/>
          </w:tcPr>
          <w:p w14:paraId="1229A162" w14:textId="77777777" w:rsidR="005432DD" w:rsidRPr="00812579" w:rsidRDefault="005432DD" w:rsidP="00716319">
            <w:pPr>
              <w:rPr>
                <w:rFonts w:cs="Arial"/>
                <w:b/>
                <w:bCs/>
              </w:rPr>
            </w:pPr>
            <w:r>
              <w:rPr>
                <w:rFonts w:cs="Arial"/>
                <w:b/>
                <w:bCs/>
              </w:rPr>
              <w:t>Date</w:t>
            </w:r>
          </w:p>
        </w:tc>
      </w:tr>
      <w:tr w:rsidR="005A7119" w14:paraId="141E8B71" w14:textId="77777777" w:rsidTr="00716319">
        <w:tc>
          <w:tcPr>
            <w:tcW w:w="4248" w:type="dxa"/>
          </w:tcPr>
          <w:p w14:paraId="24E1D2AD" w14:textId="782ABC1D" w:rsidR="005A7119" w:rsidRDefault="005A7119" w:rsidP="005A7119">
            <w:pPr>
              <w:rPr>
                <w:rFonts w:cs="Arial"/>
              </w:rPr>
            </w:pPr>
            <w:r>
              <w:rPr>
                <w:rFonts w:cs="Arial"/>
              </w:rPr>
              <w:t>Local content added</w:t>
            </w:r>
          </w:p>
        </w:tc>
        <w:tc>
          <w:tcPr>
            <w:tcW w:w="4365" w:type="dxa"/>
          </w:tcPr>
          <w:p w14:paraId="065C0AFF" w14:textId="23E766BE" w:rsidR="005A7119" w:rsidRDefault="006766FA" w:rsidP="005A7119">
            <w:pPr>
              <w:rPr>
                <w:rFonts w:cs="Arial"/>
              </w:rPr>
            </w:pPr>
            <w:r>
              <w:rPr>
                <w:rFonts w:cs="Arial"/>
              </w:rPr>
              <w:t>March 2025</w:t>
            </w:r>
          </w:p>
        </w:tc>
      </w:tr>
      <w:tr w:rsidR="005A7119" w14:paraId="5274CE57" w14:textId="77777777" w:rsidTr="00716319">
        <w:tc>
          <w:tcPr>
            <w:tcW w:w="4248" w:type="dxa"/>
          </w:tcPr>
          <w:p w14:paraId="72D8275E" w14:textId="28E36E83" w:rsidR="005A7119" w:rsidRDefault="005A7119" w:rsidP="005A7119">
            <w:pPr>
              <w:rPr>
                <w:rFonts w:cs="Arial"/>
              </w:rPr>
            </w:pPr>
            <w:r>
              <w:rPr>
                <w:rFonts w:cs="Arial"/>
              </w:rPr>
              <w:t xml:space="preserve">Approved for use by </w:t>
            </w:r>
            <w:r w:rsidR="00EC7E92">
              <w:rPr>
                <w:rFonts w:cs="Arial"/>
              </w:rPr>
              <w:t xml:space="preserve">Humber and North Yorkshire </w:t>
            </w:r>
            <w:r>
              <w:rPr>
                <w:rFonts w:cs="Arial"/>
              </w:rPr>
              <w:t xml:space="preserve">ICB </w:t>
            </w:r>
          </w:p>
        </w:tc>
        <w:tc>
          <w:tcPr>
            <w:tcW w:w="4365" w:type="dxa"/>
          </w:tcPr>
          <w:p w14:paraId="696B3FA0" w14:textId="4DF79317" w:rsidR="005A7119" w:rsidRDefault="00360455" w:rsidP="005A7119">
            <w:pPr>
              <w:rPr>
                <w:rFonts w:cs="Arial"/>
              </w:rPr>
            </w:pPr>
            <w:r>
              <w:rPr>
                <w:rFonts w:cs="Arial"/>
              </w:rPr>
              <w:t>2</w:t>
            </w:r>
            <w:r w:rsidRPr="00610E26">
              <w:rPr>
                <w:rFonts w:cs="Arial"/>
                <w:vertAlign w:val="superscript"/>
              </w:rPr>
              <w:t>nd</w:t>
            </w:r>
            <w:r>
              <w:rPr>
                <w:rFonts w:cs="Arial"/>
              </w:rPr>
              <w:t xml:space="preserve"> April 2025</w:t>
            </w:r>
          </w:p>
        </w:tc>
      </w:tr>
    </w:tbl>
    <w:p w14:paraId="4E87CD01" w14:textId="77777777" w:rsidR="00812579" w:rsidRDefault="00812579">
      <w:pPr>
        <w:rPr>
          <w:rFonts w:cs="Arial"/>
        </w:rPr>
      </w:pPr>
    </w:p>
    <w:p w14:paraId="2EA3AED0" w14:textId="49274E64" w:rsidR="005A7119" w:rsidRDefault="005A7119" w:rsidP="005A7119">
      <w:pPr>
        <w:rPr>
          <w:rFonts w:cs="Arial"/>
          <w:sz w:val="24"/>
          <w:szCs w:val="24"/>
        </w:rPr>
      </w:pPr>
      <w:r w:rsidRPr="005A633C">
        <w:rPr>
          <w:rFonts w:cs="Arial"/>
          <w:sz w:val="24"/>
          <w:szCs w:val="24"/>
        </w:rPr>
        <w:t>Clinical content has been reviewed and updated by the RDTC on the date indicated above.</w:t>
      </w:r>
      <w:r>
        <w:rPr>
          <w:rFonts w:cs="Arial"/>
          <w:sz w:val="24"/>
          <w:szCs w:val="24"/>
        </w:rPr>
        <w:t xml:space="preserve"> Every effort is made to keep the content up to date</w:t>
      </w:r>
      <w:r w:rsidRPr="005A633C">
        <w:rPr>
          <w:rFonts w:cs="Arial"/>
          <w:sz w:val="24"/>
          <w:szCs w:val="24"/>
        </w:rPr>
        <w:t xml:space="preserve">. </w:t>
      </w:r>
      <w:r>
        <w:rPr>
          <w:rFonts w:cs="Arial"/>
          <w:sz w:val="24"/>
          <w:szCs w:val="24"/>
        </w:rPr>
        <w:t xml:space="preserve">These templates are provided to the North West and North East and Yorkshire ICBs for localisation and approval through standard ICB processes. The most recent version is available on the RDTC website at </w:t>
      </w:r>
      <w:hyperlink r:id="rId13" w:history="1">
        <w:r w:rsidR="00375DAB" w:rsidRPr="004F1AD9">
          <w:rPr>
            <w:rStyle w:val="Hyperlink"/>
            <w:rFonts w:cs="Arial"/>
            <w:sz w:val="24"/>
            <w:szCs w:val="24"/>
          </w:rPr>
          <w:t>https://rdtc.nhs.uk/publication-type/shared-care/</w:t>
        </w:r>
      </w:hyperlink>
      <w:r w:rsidR="00375DAB">
        <w:rPr>
          <w:rFonts w:cs="Arial"/>
          <w:sz w:val="24"/>
          <w:szCs w:val="24"/>
        </w:rPr>
        <w:t xml:space="preserve">. </w:t>
      </w:r>
    </w:p>
    <w:p w14:paraId="58762991" w14:textId="77777777" w:rsidR="005A7119" w:rsidRDefault="005A7119" w:rsidP="005A7119">
      <w:pPr>
        <w:rPr>
          <w:rFonts w:cs="Arial"/>
          <w:sz w:val="24"/>
          <w:szCs w:val="24"/>
        </w:rPr>
      </w:pPr>
    </w:p>
    <w:p w14:paraId="1966D306" w14:textId="77777777" w:rsidR="005A633C" w:rsidRDefault="005A633C">
      <w:pPr>
        <w:rPr>
          <w:rFonts w:cs="Arial"/>
          <w:sz w:val="24"/>
          <w:szCs w:val="24"/>
        </w:rPr>
      </w:pPr>
    </w:p>
    <w:p w14:paraId="3C7A5CC4" w14:textId="57FF4980" w:rsidR="005A633C" w:rsidRDefault="005A633C">
      <w:pPr>
        <w:rPr>
          <w:rFonts w:cs="Arial"/>
          <w:sz w:val="24"/>
          <w:szCs w:val="24"/>
        </w:rPr>
      </w:pPr>
      <w:r w:rsidRPr="005A633C">
        <w:rPr>
          <w:rFonts w:cs="Arial"/>
          <w:sz w:val="24"/>
          <w:szCs w:val="24"/>
        </w:rPr>
        <w:t xml:space="preserve">This document is intended for use by </w:t>
      </w:r>
      <w:r>
        <w:rPr>
          <w:rFonts w:cs="Arial"/>
          <w:sz w:val="24"/>
          <w:szCs w:val="24"/>
        </w:rPr>
        <w:t>NHS</w:t>
      </w:r>
      <w:r w:rsidRPr="005A633C">
        <w:rPr>
          <w:rFonts w:cs="Arial"/>
          <w:sz w:val="24"/>
          <w:szCs w:val="24"/>
        </w:rPr>
        <w:t xml:space="preserve"> healthcare professionals and cannot be used for commercial or marketing purposes</w:t>
      </w:r>
      <w:r>
        <w:rPr>
          <w:rFonts w:cs="Arial"/>
          <w:sz w:val="24"/>
          <w:szCs w:val="24"/>
        </w:rPr>
        <w:t>.</w:t>
      </w:r>
    </w:p>
    <w:p w14:paraId="56B90C64" w14:textId="59699438" w:rsidR="006179D7" w:rsidRDefault="006179D7">
      <w:pPr>
        <w:spacing w:before="0" w:after="160"/>
        <w:rPr>
          <w:rFonts w:cs="Arial"/>
          <w:sz w:val="24"/>
          <w:szCs w:val="24"/>
        </w:rPr>
      </w:pPr>
      <w:r>
        <w:rPr>
          <w:rFonts w:cs="Arial"/>
          <w:sz w:val="24"/>
          <w:szCs w:val="24"/>
        </w:rPr>
        <w:br w:type="page"/>
      </w:r>
    </w:p>
    <w:p w14:paraId="2EBD1324" w14:textId="007BFF97" w:rsidR="00F321FC" w:rsidRPr="00812579" w:rsidRDefault="00F321FC">
      <w:pPr>
        <w:rPr>
          <w:rFonts w:cs="Arial"/>
          <w:b/>
          <w:bCs/>
          <w:sz w:val="24"/>
          <w:szCs w:val="24"/>
        </w:rPr>
      </w:pPr>
      <w:r w:rsidRPr="00812579">
        <w:rPr>
          <w:rFonts w:cs="Arial"/>
          <w:b/>
          <w:bCs/>
          <w:sz w:val="24"/>
          <w:szCs w:val="24"/>
        </w:rPr>
        <w:lastRenderedPageBreak/>
        <w:t>Shared Care Protocol</w:t>
      </w:r>
    </w:p>
    <w:p w14:paraId="0E304D85" w14:textId="4AEB46B8" w:rsidR="00F321FC" w:rsidRPr="00ED7968" w:rsidRDefault="000231B8" w:rsidP="005228A2">
      <w:pPr>
        <w:pStyle w:val="Heading2"/>
        <w:numPr>
          <w:ilvl w:val="0"/>
          <w:numId w:val="0"/>
        </w:numPr>
        <w:ind w:left="357" w:hanging="357"/>
        <w:rPr>
          <w:sz w:val="24"/>
          <w:szCs w:val="24"/>
        </w:rPr>
      </w:pPr>
      <w:proofErr w:type="spellStart"/>
      <w:r>
        <w:rPr>
          <w:sz w:val="24"/>
          <w:szCs w:val="24"/>
        </w:rPr>
        <w:t>Riluzole</w:t>
      </w:r>
      <w:proofErr w:type="spellEnd"/>
      <w:r w:rsidR="00F321FC" w:rsidRPr="00ED7968">
        <w:rPr>
          <w:sz w:val="24"/>
          <w:szCs w:val="24"/>
        </w:rPr>
        <w:t xml:space="preserve"> for patients within adult services</w:t>
      </w:r>
    </w:p>
    <w:tbl>
      <w:tblPr>
        <w:tblStyle w:val="TableGridLight1"/>
        <w:tblW w:w="0" w:type="auto"/>
        <w:tblInd w:w="-5" w:type="dxa"/>
        <w:tblCellMar>
          <w:top w:w="57" w:type="dxa"/>
          <w:bottom w:w="57" w:type="dxa"/>
        </w:tblCellMar>
        <w:tblLook w:val="0480" w:firstRow="0" w:lastRow="0" w:firstColumn="1" w:lastColumn="0" w:noHBand="0" w:noVBand="1"/>
      </w:tblPr>
      <w:tblGrid>
        <w:gridCol w:w="2199"/>
        <w:gridCol w:w="8262"/>
      </w:tblGrid>
      <w:tr w:rsidR="00747B98" w:rsidRPr="00F321FC" w14:paraId="3FF50130" w14:textId="77777777" w:rsidTr="0051526F">
        <w:tc>
          <w:tcPr>
            <w:tcW w:w="2199" w:type="dxa"/>
            <w:tcBorders>
              <w:top w:val="single" w:sz="4" w:space="0" w:color="BFBFBF" w:themeColor="background1" w:themeShade="BF"/>
            </w:tcBorders>
          </w:tcPr>
          <w:p w14:paraId="60850D61" w14:textId="74515AEE" w:rsidR="00747B98" w:rsidRPr="00F321FC" w:rsidRDefault="00747B98" w:rsidP="00747B98">
            <w:pPr>
              <w:pStyle w:val="Heading2"/>
              <w:rPr>
                <w:rFonts w:cs="Arial"/>
              </w:rPr>
            </w:pPr>
            <w:bookmarkStart w:id="0" w:name="one_background"/>
            <w:bookmarkStart w:id="1" w:name="_Toc149231785"/>
            <w:r w:rsidRPr="00F321FC">
              <w:rPr>
                <w:rFonts w:cs="Arial"/>
              </w:rPr>
              <w:t>Background</w:t>
            </w:r>
            <w:bookmarkEnd w:id="0"/>
            <w:bookmarkEnd w:id="1"/>
          </w:p>
        </w:tc>
        <w:tc>
          <w:tcPr>
            <w:tcW w:w="8262" w:type="dxa"/>
            <w:tcBorders>
              <w:top w:val="single" w:sz="4" w:space="0" w:color="BFBFBF" w:themeColor="background1" w:themeShade="BF"/>
            </w:tcBorders>
          </w:tcPr>
          <w:p w14:paraId="1060C983" w14:textId="77777777" w:rsidR="00747B98" w:rsidRPr="00E57448" w:rsidRDefault="00747B98" w:rsidP="00747B98">
            <w:pPr>
              <w:rPr>
                <w:rFonts w:cs="Arial"/>
              </w:rPr>
            </w:pPr>
            <w:proofErr w:type="spellStart"/>
            <w:r w:rsidRPr="00E57448">
              <w:rPr>
                <w:rFonts w:cs="Arial"/>
              </w:rPr>
              <w:t>Riluzole</w:t>
            </w:r>
            <w:proofErr w:type="spellEnd"/>
            <w:r w:rsidRPr="00E57448">
              <w:rPr>
                <w:rFonts w:cs="Arial"/>
              </w:rPr>
              <w:t xml:space="preserve"> is indicated for extending life or the time to mechanical ventilation for patients with the amyotrophic lateral sclerosis (ALS) variant of motor neurone disease (MND). ALS is a progressive neurodegenerative disease that causes the loss of motor neurones resulting in a gradual increase in muscle weakness and muscle wasting.</w:t>
            </w:r>
          </w:p>
          <w:p w14:paraId="6C1F56FE" w14:textId="77777777" w:rsidR="00747B98" w:rsidRPr="00E57448" w:rsidRDefault="00747B98" w:rsidP="00747B98">
            <w:pPr>
              <w:rPr>
                <w:rFonts w:cs="Arial"/>
              </w:rPr>
            </w:pPr>
            <w:proofErr w:type="spellStart"/>
            <w:r w:rsidRPr="00E57448">
              <w:rPr>
                <w:rFonts w:cs="Arial"/>
              </w:rPr>
              <w:t>Riluzole</w:t>
            </w:r>
            <w:proofErr w:type="spellEnd"/>
            <w:r w:rsidRPr="00E57448">
              <w:rPr>
                <w:rFonts w:cs="Arial"/>
              </w:rPr>
              <w:t xml:space="preserve"> is recommended by NICE technology appraisal guidance (</w:t>
            </w:r>
            <w:hyperlink r:id="rId14" w:history="1">
              <w:r w:rsidRPr="00E57448">
                <w:rPr>
                  <w:rStyle w:val="Hyperlink"/>
                  <w:rFonts w:cs="Arial"/>
                </w:rPr>
                <w:t xml:space="preserve">TA20: Guidance on the use of </w:t>
              </w:r>
              <w:proofErr w:type="spellStart"/>
              <w:r w:rsidRPr="00E57448">
                <w:rPr>
                  <w:rStyle w:val="Hyperlink"/>
                  <w:rFonts w:cs="Arial"/>
                </w:rPr>
                <w:t>Riluzole</w:t>
              </w:r>
              <w:proofErr w:type="spellEnd"/>
              <w:r w:rsidRPr="00E57448">
                <w:rPr>
                  <w:rStyle w:val="Hyperlink"/>
                  <w:rFonts w:cs="Arial"/>
                </w:rPr>
                <w:t xml:space="preserve"> (</w:t>
              </w:r>
              <w:proofErr w:type="spellStart"/>
              <w:r w:rsidRPr="00E57448">
                <w:rPr>
                  <w:rStyle w:val="Hyperlink"/>
                  <w:rFonts w:cs="Arial"/>
                </w:rPr>
                <w:t>Rilutek</w:t>
              </w:r>
              <w:proofErr w:type="spellEnd"/>
              <w:r w:rsidRPr="00E57448">
                <w:rPr>
                  <w:rStyle w:val="Hyperlink"/>
                  <w:rFonts w:cs="Arial"/>
                </w:rPr>
                <w:t>) for the treatment of Motor Neurone Disease</w:t>
              </w:r>
            </w:hyperlink>
            <w:r w:rsidRPr="00E57448">
              <w:rPr>
                <w:rFonts w:cs="Arial"/>
              </w:rPr>
              <w:t xml:space="preserve">) as an option for treatment of people with ALS. It should be initiated by a neurological specialist with expertise in the management of MND. </w:t>
            </w:r>
          </w:p>
          <w:p w14:paraId="09593527" w14:textId="77777777" w:rsidR="00747B98" w:rsidRPr="00E57448" w:rsidRDefault="00747B98" w:rsidP="00747B98">
            <w:pPr>
              <w:rPr>
                <w:rFonts w:cs="Arial"/>
              </w:rPr>
            </w:pPr>
            <w:r w:rsidRPr="00E57448">
              <w:rPr>
                <w:rFonts w:cs="Arial"/>
              </w:rPr>
              <w:t xml:space="preserve">Clinical trials have demonstrated that </w:t>
            </w:r>
            <w:proofErr w:type="spellStart"/>
            <w:r w:rsidRPr="00E57448">
              <w:rPr>
                <w:rFonts w:cs="Arial"/>
              </w:rPr>
              <w:t>riluzole</w:t>
            </w:r>
            <w:proofErr w:type="spellEnd"/>
            <w:r w:rsidRPr="00E57448">
              <w:rPr>
                <w:rFonts w:cs="Arial"/>
              </w:rPr>
              <w:t xml:space="preserve"> extends survival for patients with ALS, but only in the early stages of the disease. Further studies have not shown that </w:t>
            </w:r>
            <w:proofErr w:type="spellStart"/>
            <w:r w:rsidRPr="00E57448">
              <w:rPr>
                <w:rFonts w:cs="Arial"/>
              </w:rPr>
              <w:t>riluzole</w:t>
            </w:r>
            <w:proofErr w:type="spellEnd"/>
            <w:r w:rsidRPr="00E57448">
              <w:rPr>
                <w:rFonts w:cs="Arial"/>
              </w:rPr>
              <w:t xml:space="preserve"> is effective in the late stages of ALS. Patients in later stages of disease should be reviewed and given the opportunity to stop </w:t>
            </w:r>
            <w:proofErr w:type="spellStart"/>
            <w:r w:rsidRPr="00E57448">
              <w:rPr>
                <w:rFonts w:cs="Arial"/>
              </w:rPr>
              <w:t>riluzole</w:t>
            </w:r>
            <w:proofErr w:type="spellEnd"/>
            <w:r w:rsidRPr="00E57448">
              <w:rPr>
                <w:rFonts w:cs="Arial"/>
              </w:rPr>
              <w:t>, if they consider it appropriate.</w:t>
            </w:r>
          </w:p>
          <w:p w14:paraId="3E58DBC8" w14:textId="77777777" w:rsidR="00747B98" w:rsidRPr="00E57448" w:rsidRDefault="00747B98" w:rsidP="00747B98">
            <w:pPr>
              <w:rPr>
                <w:rFonts w:cs="Arial"/>
                <w:b/>
                <w:bCs/>
              </w:rPr>
            </w:pPr>
            <w:r w:rsidRPr="00E57448">
              <w:rPr>
                <w:rFonts w:cs="Arial"/>
                <w:b/>
                <w:bCs/>
              </w:rPr>
              <w:t xml:space="preserve">The safety and efficacy of </w:t>
            </w:r>
            <w:proofErr w:type="spellStart"/>
            <w:r w:rsidRPr="00E57448">
              <w:rPr>
                <w:rFonts w:cs="Arial"/>
                <w:b/>
                <w:bCs/>
              </w:rPr>
              <w:t>riluzole</w:t>
            </w:r>
            <w:proofErr w:type="spellEnd"/>
            <w:r w:rsidRPr="00E57448">
              <w:rPr>
                <w:rFonts w:cs="Arial"/>
                <w:b/>
                <w:bCs/>
              </w:rPr>
              <w:t xml:space="preserve"> has only been studied in ALS, therefore </w:t>
            </w:r>
            <w:proofErr w:type="spellStart"/>
            <w:r w:rsidRPr="00E57448">
              <w:rPr>
                <w:rFonts w:cs="Arial"/>
                <w:b/>
                <w:bCs/>
              </w:rPr>
              <w:t>riluzole</w:t>
            </w:r>
            <w:proofErr w:type="spellEnd"/>
            <w:r w:rsidRPr="00E57448">
              <w:rPr>
                <w:rFonts w:cs="Arial"/>
                <w:b/>
                <w:bCs/>
              </w:rPr>
              <w:t xml:space="preserve"> should not be use in any other form of MND.</w:t>
            </w:r>
          </w:p>
          <w:p w14:paraId="6B5F3EB1" w14:textId="71F44D7D" w:rsidR="00747B98" w:rsidRPr="00B87200" w:rsidRDefault="00747B98" w:rsidP="00747B98">
            <w:pPr>
              <w:rPr>
                <w:rFonts w:cs="Arial"/>
              </w:rPr>
            </w:pPr>
            <w:proofErr w:type="spellStart"/>
            <w:r w:rsidRPr="00E57448">
              <w:rPr>
                <w:rFonts w:cs="Arial"/>
                <w:b/>
                <w:bCs/>
              </w:rPr>
              <w:t>Riluzole</w:t>
            </w:r>
            <w:proofErr w:type="spellEnd"/>
            <w:r w:rsidRPr="00E57448">
              <w:rPr>
                <w:rFonts w:cs="Arial"/>
                <w:b/>
                <w:bCs/>
              </w:rPr>
              <w:t xml:space="preserve"> is not recommended for use in children.</w:t>
            </w:r>
          </w:p>
        </w:tc>
      </w:tr>
      <w:tr w:rsidR="00747B98" w:rsidRPr="00F321FC" w14:paraId="700AF380" w14:textId="77777777" w:rsidTr="0051526F">
        <w:tc>
          <w:tcPr>
            <w:tcW w:w="2199" w:type="dxa"/>
          </w:tcPr>
          <w:p w14:paraId="353B7610" w14:textId="421AD839" w:rsidR="00747B98" w:rsidRPr="00F321FC" w:rsidRDefault="00747B98" w:rsidP="00747B98">
            <w:pPr>
              <w:pStyle w:val="Heading2"/>
              <w:rPr>
                <w:rFonts w:cs="Arial"/>
              </w:rPr>
            </w:pPr>
            <w:bookmarkStart w:id="2" w:name="two_indications"/>
            <w:bookmarkStart w:id="3" w:name="_Toc149231786"/>
            <w:r w:rsidRPr="00F321FC">
              <w:rPr>
                <w:rFonts w:cs="Arial"/>
              </w:rPr>
              <w:t xml:space="preserve">Licensed </w:t>
            </w:r>
            <w:r>
              <w:rPr>
                <w:rFonts w:cs="Arial"/>
              </w:rPr>
              <w:t xml:space="preserve">and agreed off-label </w:t>
            </w:r>
            <w:r w:rsidRPr="00F321FC">
              <w:rPr>
                <w:rFonts w:cs="Arial"/>
              </w:rPr>
              <w:t>indications</w:t>
            </w:r>
            <w:bookmarkEnd w:id="2"/>
            <w:bookmarkEnd w:id="3"/>
          </w:p>
        </w:tc>
        <w:tc>
          <w:tcPr>
            <w:tcW w:w="8262" w:type="dxa"/>
          </w:tcPr>
          <w:p w14:paraId="452D25AB" w14:textId="70006BDB" w:rsidR="00747B98" w:rsidRPr="007A56FB" w:rsidRDefault="00747B98" w:rsidP="00747B98">
            <w:pPr>
              <w:rPr>
                <w:rFonts w:cs="Arial"/>
              </w:rPr>
            </w:pPr>
            <w:r w:rsidRPr="00E57448">
              <w:rPr>
                <w:rFonts w:cs="Arial"/>
              </w:rPr>
              <w:t>Licensed indication: to extend life or the time to mechanical ventilation for patients with amyotrophic lateral sclerosis (ALS).</w:t>
            </w:r>
          </w:p>
        </w:tc>
      </w:tr>
      <w:tr w:rsidR="00747B98" w:rsidRPr="00F321FC" w14:paraId="36B1B999" w14:textId="77777777" w:rsidTr="0051526F">
        <w:tc>
          <w:tcPr>
            <w:tcW w:w="2199" w:type="dxa"/>
          </w:tcPr>
          <w:p w14:paraId="6F2C624B" w14:textId="515A3B01" w:rsidR="00747B98" w:rsidRPr="00F321FC" w:rsidRDefault="00747B98" w:rsidP="00747B98">
            <w:pPr>
              <w:pStyle w:val="Heading2"/>
              <w:rPr>
                <w:rFonts w:cs="Arial"/>
              </w:rPr>
            </w:pPr>
            <w:bookmarkStart w:id="4" w:name="three_local_indications"/>
            <w:bookmarkStart w:id="5" w:name="_Toc149231787"/>
            <w:r w:rsidRPr="00F321FC">
              <w:rPr>
                <w:rFonts w:cs="Arial"/>
              </w:rPr>
              <w:t xml:space="preserve">Locally agreed </w:t>
            </w:r>
            <w:r>
              <w:rPr>
                <w:rFonts w:cs="Arial"/>
              </w:rPr>
              <w:t>indications</w:t>
            </w:r>
            <w:bookmarkEnd w:id="4"/>
            <w:bookmarkEnd w:id="5"/>
          </w:p>
        </w:tc>
        <w:tc>
          <w:tcPr>
            <w:tcW w:w="8262" w:type="dxa"/>
          </w:tcPr>
          <w:p w14:paraId="14C3CD90" w14:textId="57F7CAE6" w:rsidR="00747B98" w:rsidRPr="000E2D8B" w:rsidRDefault="00747B98" w:rsidP="00747B98">
            <w:pPr>
              <w:rPr>
                <w:rFonts w:cs="Arial"/>
                <w:i/>
                <w:iCs/>
              </w:rPr>
            </w:pPr>
            <w:r w:rsidRPr="00E57448">
              <w:rPr>
                <w:rFonts w:cs="Arial"/>
              </w:rPr>
              <w:t>National scoping did not identify any additional appropriate off-label indications</w:t>
            </w:r>
            <w:r>
              <w:rPr>
                <w:rFonts w:cs="Arial"/>
              </w:rPr>
              <w:t>.</w:t>
            </w:r>
          </w:p>
        </w:tc>
      </w:tr>
      <w:tr w:rsidR="00747B98" w:rsidRPr="00F321FC" w14:paraId="6823BC14" w14:textId="77777777" w:rsidTr="0051526F">
        <w:tc>
          <w:tcPr>
            <w:tcW w:w="2199" w:type="dxa"/>
          </w:tcPr>
          <w:p w14:paraId="5B29E378" w14:textId="09C1A858" w:rsidR="00747B98" w:rsidRPr="00F321FC" w:rsidRDefault="00747B98" w:rsidP="00747B98">
            <w:pPr>
              <w:pStyle w:val="Heading2"/>
              <w:rPr>
                <w:rFonts w:cs="Arial"/>
              </w:rPr>
            </w:pPr>
            <w:bookmarkStart w:id="6" w:name="four_dosing"/>
            <w:bookmarkStart w:id="7" w:name="_Toc149231788"/>
            <w:r w:rsidRPr="00F321FC">
              <w:rPr>
                <w:rFonts w:cs="Arial"/>
              </w:rPr>
              <w:t>Initiation and ongoing dose regime</w:t>
            </w:r>
            <w:bookmarkEnd w:id="6"/>
            <w:bookmarkEnd w:id="7"/>
          </w:p>
        </w:tc>
        <w:tc>
          <w:tcPr>
            <w:tcW w:w="8262" w:type="dxa"/>
          </w:tcPr>
          <w:p w14:paraId="715E0025" w14:textId="77777777" w:rsidR="00A05EBE" w:rsidRDefault="00747B98" w:rsidP="00A05EBE">
            <w:pPr>
              <w:rPr>
                <w:rFonts w:cs="Arial"/>
              </w:rPr>
            </w:pPr>
            <w:r w:rsidRPr="00FB404F">
              <w:rPr>
                <w:rFonts w:cs="Arial"/>
              </w:rPr>
              <w:t xml:space="preserve">Transfer of monitoring and prescribing to primary care is normally after at least </w:t>
            </w:r>
            <w:r w:rsidR="00437D3C" w:rsidRPr="005152C4">
              <w:rPr>
                <w:rFonts w:cs="Arial"/>
              </w:rPr>
              <w:t>12</w:t>
            </w:r>
            <w:r w:rsidRPr="005152C4">
              <w:rPr>
                <w:rFonts w:cs="Arial"/>
              </w:rPr>
              <w:t xml:space="preserve"> weeks</w:t>
            </w:r>
            <w:r w:rsidRPr="00FB404F">
              <w:rPr>
                <w:rFonts w:cs="Arial"/>
              </w:rPr>
              <w:t xml:space="preserve">, and when the patient’s dose has been optimised and with satisfactory investigation results for at least </w:t>
            </w:r>
            <w:r w:rsidR="00437D3C" w:rsidRPr="005152C4">
              <w:rPr>
                <w:rFonts w:cs="Arial"/>
              </w:rPr>
              <w:t>12</w:t>
            </w:r>
            <w:r w:rsidRPr="005152C4">
              <w:rPr>
                <w:rFonts w:cs="Arial"/>
              </w:rPr>
              <w:t xml:space="preserve"> weeks</w:t>
            </w:r>
            <w:r w:rsidRPr="00FB404F">
              <w:rPr>
                <w:rFonts w:cs="Arial"/>
              </w:rPr>
              <w:t>.</w:t>
            </w:r>
            <w:r w:rsidR="00A05EBE">
              <w:rPr>
                <w:rFonts w:cs="Arial"/>
              </w:rPr>
              <w:t xml:space="preserve"> </w:t>
            </w:r>
            <w:r w:rsidR="00A05EBE"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582FC381" w14:textId="3E388C18" w:rsidR="00747B98" w:rsidRPr="00FB404F" w:rsidRDefault="00747B98" w:rsidP="00747B98">
            <w:pPr>
              <w:rPr>
                <w:rFonts w:cs="Arial"/>
              </w:rPr>
            </w:pPr>
          </w:p>
          <w:p w14:paraId="3B6BFF8F" w14:textId="77777777" w:rsidR="00747B98" w:rsidRPr="00FB404F" w:rsidRDefault="00747B98" w:rsidP="00747B98">
            <w:pPr>
              <w:rPr>
                <w:rFonts w:cs="Arial"/>
              </w:rPr>
            </w:pPr>
            <w:r w:rsidRPr="00FB404F">
              <w:rPr>
                <w:rFonts w:cs="Arial"/>
              </w:rPr>
              <w:t>The duration of treatment &amp; frequency of review will be determined by the specialist, based on clinical response and tolerability.</w:t>
            </w:r>
          </w:p>
          <w:p w14:paraId="3937E6AB" w14:textId="77777777" w:rsidR="00747B98" w:rsidRPr="00FB404F" w:rsidRDefault="00747B98" w:rsidP="00747B98">
            <w:pPr>
              <w:rPr>
                <w:rFonts w:cs="Arial"/>
              </w:rPr>
            </w:pPr>
            <w:r w:rsidRPr="00FB404F">
              <w:rPr>
                <w:rFonts w:cs="Arial"/>
              </w:rPr>
              <w:t>All dose or formulation adjustments will be the responsibility of the initiating specialist unless directions have been discussed and agreed with the primary care clinician.</w:t>
            </w:r>
          </w:p>
          <w:p w14:paraId="3099002B" w14:textId="77777777" w:rsidR="00747B98" w:rsidRDefault="00747B98" w:rsidP="00747B98">
            <w:pPr>
              <w:rPr>
                <w:rFonts w:cs="Arial"/>
              </w:rPr>
            </w:pPr>
            <w:r w:rsidRPr="00FB404F">
              <w:rPr>
                <w:rFonts w:cs="Arial"/>
              </w:rPr>
              <w:t>Termination of treatment will be the responsibility of the specialist.</w:t>
            </w:r>
          </w:p>
          <w:p w14:paraId="78A8477C" w14:textId="77777777" w:rsidR="00747B98" w:rsidRPr="00FB404F" w:rsidRDefault="00747B98" w:rsidP="00747B98">
            <w:pPr>
              <w:rPr>
                <w:rFonts w:cs="Arial"/>
              </w:rPr>
            </w:pPr>
          </w:p>
          <w:p w14:paraId="6ACB6664" w14:textId="77777777" w:rsidR="00747B98" w:rsidRPr="00E57448" w:rsidRDefault="00747B98" w:rsidP="00747B98">
            <w:pPr>
              <w:pStyle w:val="Heading3"/>
            </w:pPr>
            <w:r w:rsidRPr="00E57448">
              <w:t>Usual dose:</w:t>
            </w:r>
          </w:p>
          <w:p w14:paraId="1823FE65" w14:textId="77777777" w:rsidR="00747B98" w:rsidRDefault="00747B98" w:rsidP="00747B98">
            <w:pPr>
              <w:rPr>
                <w:rFonts w:cs="Arial"/>
              </w:rPr>
            </w:pPr>
            <w:r w:rsidRPr="00E57448">
              <w:rPr>
                <w:rFonts w:cs="Arial"/>
              </w:rPr>
              <w:t>50mg twice daily</w:t>
            </w:r>
          </w:p>
          <w:p w14:paraId="37E32A1B" w14:textId="77777777" w:rsidR="00747B98" w:rsidRPr="00E57448" w:rsidRDefault="00747B98" w:rsidP="00747B98">
            <w:pPr>
              <w:rPr>
                <w:rFonts w:cs="Arial"/>
                <w:b/>
                <w:bCs/>
              </w:rPr>
            </w:pPr>
            <w:r w:rsidRPr="00E57448">
              <w:rPr>
                <w:rFonts w:cs="Arial"/>
                <w:b/>
                <w:bCs/>
              </w:rPr>
              <w:t>The initial maintenance dose must be prescribed by the initiating specialist.</w:t>
            </w:r>
          </w:p>
          <w:p w14:paraId="20D3173E" w14:textId="77777777" w:rsidR="00747B98" w:rsidRDefault="00747B98" w:rsidP="00747B98">
            <w:pPr>
              <w:rPr>
                <w:rFonts w:cs="Arial"/>
              </w:rPr>
            </w:pPr>
          </w:p>
          <w:p w14:paraId="5D2F594C" w14:textId="77777777" w:rsidR="00747B98" w:rsidRPr="00E57448" w:rsidRDefault="00747B98" w:rsidP="00747B98">
            <w:pPr>
              <w:pStyle w:val="Heading3"/>
            </w:pPr>
            <w:r w:rsidRPr="00E57448">
              <w:t>Conditions requiring dose adjustment:</w:t>
            </w:r>
          </w:p>
          <w:p w14:paraId="710857F8" w14:textId="7C81A627" w:rsidR="00747B98" w:rsidRPr="00FB404F" w:rsidRDefault="00747B98" w:rsidP="00747B98">
            <w:pPr>
              <w:rPr>
                <w:rFonts w:cs="Arial"/>
              </w:rPr>
            </w:pPr>
            <w:r w:rsidRPr="00E57448">
              <w:rPr>
                <w:rFonts w:cs="Arial"/>
              </w:rPr>
              <w:t>None</w:t>
            </w:r>
          </w:p>
        </w:tc>
      </w:tr>
      <w:tr w:rsidR="00747B98" w:rsidRPr="00F321FC" w14:paraId="68FCED24" w14:textId="77777777" w:rsidTr="0051526F">
        <w:tc>
          <w:tcPr>
            <w:tcW w:w="2199" w:type="dxa"/>
          </w:tcPr>
          <w:p w14:paraId="3DF33630" w14:textId="4E2865B1" w:rsidR="00747B98" w:rsidRPr="00F321FC" w:rsidRDefault="00747B98" w:rsidP="00747B98">
            <w:pPr>
              <w:pStyle w:val="Heading2"/>
              <w:rPr>
                <w:rFonts w:cs="Arial"/>
              </w:rPr>
            </w:pPr>
            <w:bookmarkStart w:id="8" w:name="five_initial_monitoring"/>
            <w:bookmarkStart w:id="9" w:name="_Toc149231789"/>
            <w:r w:rsidRPr="00F321FC">
              <w:rPr>
                <w:rFonts w:cs="Arial"/>
              </w:rPr>
              <w:lastRenderedPageBreak/>
              <w:t xml:space="preserve">Baseline investigations, initial monitoring, and </w:t>
            </w:r>
            <w:r>
              <w:rPr>
                <w:rFonts w:cs="Arial"/>
              </w:rPr>
              <w:t xml:space="preserve">ongoing monitoring </w:t>
            </w:r>
            <w:r w:rsidRPr="00F321FC">
              <w:rPr>
                <w:rFonts w:cs="Arial"/>
              </w:rPr>
              <w:t>to be undertaken by specialist</w:t>
            </w:r>
            <w:bookmarkEnd w:id="8"/>
            <w:bookmarkEnd w:id="9"/>
          </w:p>
        </w:tc>
        <w:tc>
          <w:tcPr>
            <w:tcW w:w="8262" w:type="dxa"/>
          </w:tcPr>
          <w:p w14:paraId="14D01570" w14:textId="77777777" w:rsidR="00747B98" w:rsidRDefault="00747B98" w:rsidP="00747B98">
            <w:pPr>
              <w:rPr>
                <w:b/>
                <w:lang w:eastAsia="en-GB"/>
              </w:rPr>
            </w:pPr>
            <w:r w:rsidRPr="00FB404F">
              <w:rPr>
                <w:lang w:eastAsia="en-GB"/>
              </w:rPr>
              <w:t>Monitoring at baseline and during initiation is the responsibility of the specialist; only once the patient is optimised on the chosen medication with no anticipated further changes expected in</w:t>
            </w:r>
            <w:r>
              <w:rPr>
                <w:lang w:eastAsia="en-GB"/>
              </w:rPr>
              <w:t xml:space="preserve"> the</w:t>
            </w:r>
            <w:r w:rsidRPr="00FB404F">
              <w:rPr>
                <w:lang w:eastAsia="en-GB"/>
              </w:rPr>
              <w:t xml:space="preserve"> immediate future will prescribing and monitoring be transferred to primary care.</w:t>
            </w:r>
          </w:p>
          <w:p w14:paraId="0DD3397D" w14:textId="77777777" w:rsidR="00747B98" w:rsidRDefault="00747B98" w:rsidP="00747B98">
            <w:pPr>
              <w:rPr>
                <w:lang w:eastAsia="en-GB"/>
              </w:rPr>
            </w:pPr>
          </w:p>
          <w:p w14:paraId="7B51350B" w14:textId="77777777" w:rsidR="00747B98" w:rsidRDefault="00747B98" w:rsidP="00747B98">
            <w:pPr>
              <w:pStyle w:val="Heading3"/>
              <w:rPr>
                <w:lang w:eastAsia="en-GB"/>
              </w:rPr>
            </w:pPr>
            <w:r>
              <w:rPr>
                <w:lang w:eastAsia="en-GB"/>
              </w:rPr>
              <w:t>Baseline investigations:</w:t>
            </w:r>
          </w:p>
          <w:p w14:paraId="756CCF85" w14:textId="77777777" w:rsidR="00747B98" w:rsidRDefault="00747B98" w:rsidP="00747B98">
            <w:pPr>
              <w:rPr>
                <w:lang w:eastAsia="en-GB"/>
              </w:rPr>
            </w:pPr>
            <w:r>
              <w:rPr>
                <w:lang w:eastAsia="en-GB"/>
              </w:rPr>
              <w:t>Liver function tests (LFTs), including serum transaminases, bilirubin and/or gamma-glutamyl transferase.</w:t>
            </w:r>
          </w:p>
          <w:p w14:paraId="6A620A24" w14:textId="77777777" w:rsidR="00747B98" w:rsidRDefault="00747B98" w:rsidP="00747B98">
            <w:pPr>
              <w:rPr>
                <w:lang w:eastAsia="en-GB"/>
              </w:rPr>
            </w:pPr>
            <w:r>
              <w:rPr>
                <w:lang w:eastAsia="en-GB"/>
              </w:rPr>
              <w:t>Full blood count (FBC) including a differential white cell count (WCC).</w:t>
            </w:r>
          </w:p>
          <w:p w14:paraId="4E2BE56A" w14:textId="77777777" w:rsidR="00747B98" w:rsidRDefault="00747B98" w:rsidP="00747B98">
            <w:pPr>
              <w:rPr>
                <w:lang w:eastAsia="en-GB"/>
              </w:rPr>
            </w:pPr>
            <w:r>
              <w:rPr>
                <w:lang w:eastAsia="en-GB"/>
              </w:rPr>
              <w:t>Urea and electrolytes.</w:t>
            </w:r>
          </w:p>
          <w:p w14:paraId="050CE14A" w14:textId="77777777" w:rsidR="00747B98" w:rsidRDefault="00747B98" w:rsidP="00747B98">
            <w:pPr>
              <w:rPr>
                <w:lang w:eastAsia="en-GB"/>
              </w:rPr>
            </w:pPr>
          </w:p>
          <w:p w14:paraId="5A2B75D3" w14:textId="77777777" w:rsidR="00747B98" w:rsidRDefault="00747B98" w:rsidP="00747B98">
            <w:pPr>
              <w:pStyle w:val="Heading3"/>
              <w:rPr>
                <w:lang w:eastAsia="en-GB"/>
              </w:rPr>
            </w:pPr>
            <w:r>
              <w:rPr>
                <w:lang w:eastAsia="en-GB"/>
              </w:rPr>
              <w:t>Initial monitoring:</w:t>
            </w:r>
          </w:p>
          <w:p w14:paraId="5054045B" w14:textId="77777777" w:rsidR="00747B98" w:rsidRDefault="00747B98" w:rsidP="00747B98">
            <w:pPr>
              <w:rPr>
                <w:lang w:eastAsia="en-GB"/>
              </w:rPr>
            </w:pPr>
            <w:r>
              <w:rPr>
                <w:lang w:eastAsia="en-GB"/>
              </w:rPr>
              <w:t>LFTs, including alanine aminotransferase (ALT), should be measured every month during the first 3 months of treatment, every 3 months during the remainder of the first year, or until transferred to primary care.</w:t>
            </w:r>
          </w:p>
          <w:p w14:paraId="4237F5B1" w14:textId="77777777" w:rsidR="00747B98" w:rsidRDefault="00747B98" w:rsidP="00747B98">
            <w:pPr>
              <w:rPr>
                <w:lang w:eastAsia="en-GB"/>
              </w:rPr>
            </w:pPr>
            <w:r>
              <w:rPr>
                <w:lang w:eastAsia="en-GB"/>
              </w:rPr>
              <w:t>FBC and WCC every month during the first 3 months of treatment and every 3 months during the remainder of the first year until transferred to primary care.</w:t>
            </w:r>
          </w:p>
          <w:p w14:paraId="77D970F2" w14:textId="77777777" w:rsidR="00747B98" w:rsidRDefault="00747B98" w:rsidP="00747B98">
            <w:pPr>
              <w:rPr>
                <w:lang w:eastAsia="en-GB"/>
              </w:rPr>
            </w:pPr>
          </w:p>
          <w:p w14:paraId="6BCEF876" w14:textId="77777777" w:rsidR="00747B98" w:rsidRDefault="00747B98" w:rsidP="00747B98">
            <w:pPr>
              <w:pStyle w:val="Heading3"/>
              <w:rPr>
                <w:lang w:eastAsia="en-GB"/>
              </w:rPr>
            </w:pPr>
            <w:r>
              <w:rPr>
                <w:lang w:eastAsia="en-GB"/>
              </w:rPr>
              <w:t>Ongoing monitoring:</w:t>
            </w:r>
          </w:p>
          <w:p w14:paraId="6C47D50E" w14:textId="77777777" w:rsidR="002E2981" w:rsidRPr="00145FA1" w:rsidRDefault="002E2981" w:rsidP="002E2981">
            <w:r w:rsidRPr="00504F30">
              <w:t>At initiation of shared care, communication to primary care should include current and ongoing dose, any relevant test results, and date the next monitoring is required.</w:t>
            </w:r>
          </w:p>
          <w:p w14:paraId="7E1EAD24" w14:textId="77777777" w:rsidR="00747B98" w:rsidRDefault="00747B98" w:rsidP="00747B98">
            <w:pPr>
              <w:rPr>
                <w:lang w:eastAsia="en-GB"/>
              </w:rPr>
            </w:pPr>
            <w:r>
              <w:rPr>
                <w:lang w:eastAsia="en-GB"/>
              </w:rPr>
              <w:t>Routine review to assess effectiveness and ongoing appropriateness of treatment every 6 months, or as clinically indicated.</w:t>
            </w:r>
          </w:p>
          <w:p w14:paraId="3672B0FF" w14:textId="79E53C08" w:rsidR="00747B98" w:rsidRPr="0041687B" w:rsidRDefault="00747B98" w:rsidP="00747B98">
            <w:pPr>
              <w:rPr>
                <w:rFonts w:cs="Arial"/>
              </w:rPr>
            </w:pPr>
            <w:r>
              <w:rPr>
                <w:lang w:eastAsia="en-GB"/>
              </w:rPr>
              <w:t xml:space="preserve">After each review, advise primary care whether treatment should be continued, confirm the ongoing dose, and whether the ongoing monitoring outlined in </w:t>
            </w:r>
            <w:hyperlink w:anchor="six_monitoring" w:history="1">
              <w:r w:rsidRPr="00E57448">
                <w:rPr>
                  <w:rStyle w:val="Hyperlink"/>
                  <w:lang w:eastAsia="en-GB"/>
                </w:rPr>
                <w:t>section 6</w:t>
              </w:r>
            </w:hyperlink>
            <w:r>
              <w:rPr>
                <w:lang w:eastAsia="en-GB"/>
              </w:rPr>
              <w:t xml:space="preserve"> remains appropriate.</w:t>
            </w:r>
          </w:p>
        </w:tc>
      </w:tr>
    </w:tbl>
    <w:p w14:paraId="7BD95E7B" w14:textId="77777777" w:rsidR="0051526F" w:rsidRDefault="0051526F"/>
    <w:p w14:paraId="39805D5C" w14:textId="77777777" w:rsidR="0051526F" w:rsidRDefault="0051526F" w:rsidP="0051526F">
      <w:pPr>
        <w:pStyle w:val="Heading2"/>
        <w:rPr>
          <w:rFonts w:cs="Arial"/>
        </w:rPr>
      </w:pPr>
      <w:bookmarkStart w:id="10" w:name="_Toc149231790"/>
      <w:bookmarkStart w:id="11" w:name="six_monitoring"/>
      <w:r w:rsidRPr="00F321FC">
        <w:rPr>
          <w:rFonts w:cs="Arial"/>
        </w:rPr>
        <w:t>Ongoing monitoring requirements to be undertaken by primary care</w:t>
      </w:r>
      <w:bookmarkEnd w:id="10"/>
    </w:p>
    <w:bookmarkEnd w:id="11"/>
    <w:p w14:paraId="390251ED" w14:textId="1BF22BCF" w:rsidR="0051526F" w:rsidRDefault="0051526F">
      <w:r w:rsidRPr="00EC0326">
        <w:rPr>
          <w:rFonts w:cs="Arial"/>
        </w:rPr>
        <w:t>If monitoring results are forwarded to the specialist team, please include clear clinical information on the reason for sending, to inform action to be taken by secondary care.</w:t>
      </w:r>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51526F" w:rsidRPr="00F321FC" w14:paraId="3DB248E9" w14:textId="77777777" w:rsidTr="00747B98">
        <w:trPr>
          <w:tblHeader/>
        </w:trPr>
        <w:tc>
          <w:tcPr>
            <w:tcW w:w="2410" w:type="dxa"/>
            <w:shd w:val="clear" w:color="auto" w:fill="F2F2F2" w:themeFill="background1" w:themeFillShade="F2"/>
          </w:tcPr>
          <w:p w14:paraId="1DAB6EDA" w14:textId="153D4D99" w:rsidR="0051526F" w:rsidRPr="00BF174A" w:rsidRDefault="0051526F" w:rsidP="00BF174A">
            <w:pPr>
              <w:rPr>
                <w:b/>
                <w:bCs/>
                <w:u w:val="single"/>
              </w:rPr>
            </w:pPr>
            <w:r w:rsidRPr="00BF174A">
              <w:rPr>
                <w:b/>
                <w:bCs/>
                <w:u w:val="single"/>
              </w:rPr>
              <w:t>Monitoring</w:t>
            </w:r>
          </w:p>
        </w:tc>
        <w:tc>
          <w:tcPr>
            <w:tcW w:w="8080" w:type="dxa"/>
            <w:shd w:val="clear" w:color="auto" w:fill="F2F2F2" w:themeFill="background1" w:themeFillShade="F2"/>
          </w:tcPr>
          <w:p w14:paraId="779C2E8A" w14:textId="1265EEED" w:rsidR="0051526F" w:rsidRPr="00BF174A" w:rsidRDefault="0051526F" w:rsidP="00BF174A">
            <w:pPr>
              <w:rPr>
                <w:b/>
                <w:bCs/>
                <w:u w:val="single"/>
              </w:rPr>
            </w:pPr>
            <w:r w:rsidRPr="00BF174A">
              <w:rPr>
                <w:b/>
                <w:bCs/>
                <w:u w:val="single"/>
              </w:rPr>
              <w:t>Frequency</w:t>
            </w:r>
          </w:p>
        </w:tc>
      </w:tr>
      <w:tr w:rsidR="00747B98" w:rsidRPr="00F321FC" w14:paraId="33418424" w14:textId="77777777" w:rsidTr="00747B98">
        <w:tc>
          <w:tcPr>
            <w:tcW w:w="2410" w:type="dxa"/>
          </w:tcPr>
          <w:p w14:paraId="38C3A527" w14:textId="0CBC7276" w:rsidR="00747B98" w:rsidRPr="007A56FB" w:rsidRDefault="00747B98" w:rsidP="00747B98">
            <w:pPr>
              <w:spacing w:before="0" w:after="0"/>
              <w:contextualSpacing/>
              <w:rPr>
                <w:rFonts w:cs="Arial"/>
              </w:rPr>
            </w:pPr>
            <w:r>
              <w:rPr>
                <w:rFonts w:eastAsia="Times New Roman" w:cs="Arial"/>
                <w:lang w:eastAsia="en-GB"/>
              </w:rPr>
              <w:t>LFTs, FBC &amp; WCC</w:t>
            </w:r>
          </w:p>
        </w:tc>
        <w:tc>
          <w:tcPr>
            <w:tcW w:w="8080" w:type="dxa"/>
          </w:tcPr>
          <w:p w14:paraId="1888AD2D" w14:textId="77777777" w:rsidR="0002191E" w:rsidRDefault="00C307C1" w:rsidP="00747B98">
            <w:pPr>
              <w:rPr>
                <w:strike/>
                <w:lang w:eastAsia="en-GB"/>
              </w:rPr>
            </w:pPr>
            <w:r>
              <w:rPr>
                <w:lang w:eastAsia="en-GB"/>
              </w:rPr>
              <w:t>E</w:t>
            </w:r>
            <w:r w:rsidR="00747B98">
              <w:rPr>
                <w:lang w:eastAsia="en-GB"/>
              </w:rPr>
              <w:t xml:space="preserve">very 3 months for the remainder of the first year. </w:t>
            </w:r>
          </w:p>
          <w:p w14:paraId="460119A4" w14:textId="5A4808DB" w:rsidR="00747B98" w:rsidRPr="00F321FC" w:rsidRDefault="00747B98" w:rsidP="00747B98">
            <w:pPr>
              <w:rPr>
                <w:rFonts w:cs="Arial"/>
              </w:rPr>
            </w:pPr>
            <w:r>
              <w:rPr>
                <w:lang w:eastAsia="en-GB"/>
              </w:rPr>
              <w:t>Annually after the first year.</w:t>
            </w:r>
          </w:p>
        </w:tc>
      </w:tr>
    </w:tbl>
    <w:p w14:paraId="20855291" w14:textId="77777777" w:rsidR="0051526F" w:rsidRDefault="0051526F"/>
    <w:p w14:paraId="56152E6B" w14:textId="77777777" w:rsidR="0051526F" w:rsidRPr="00F321FC" w:rsidRDefault="0051526F" w:rsidP="0051526F">
      <w:pPr>
        <w:pStyle w:val="Heading2"/>
        <w:rPr>
          <w:rFonts w:cs="Arial"/>
        </w:rPr>
      </w:pPr>
      <w:bookmarkStart w:id="12" w:name="_Toc149231791"/>
      <w:r w:rsidRPr="00F321FC">
        <w:rPr>
          <w:rFonts w:cs="Arial"/>
        </w:rPr>
        <w:t>Pharmaceutical aspects</w:t>
      </w:r>
      <w:bookmarkEnd w:id="12"/>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747B98" w:rsidRPr="00F321FC" w14:paraId="793C17AD" w14:textId="77777777" w:rsidTr="00747B98">
        <w:trPr>
          <w:cantSplit/>
        </w:trPr>
        <w:tc>
          <w:tcPr>
            <w:tcW w:w="2410" w:type="dxa"/>
          </w:tcPr>
          <w:p w14:paraId="435FCFFB" w14:textId="2404CE1C" w:rsidR="00747B98" w:rsidRPr="00F321FC" w:rsidRDefault="00747B98" w:rsidP="00747B98">
            <w:pPr>
              <w:rPr>
                <w:rFonts w:cs="Arial"/>
              </w:rPr>
            </w:pPr>
            <w:r w:rsidRPr="00F321FC">
              <w:rPr>
                <w:rFonts w:cs="Arial"/>
              </w:rPr>
              <w:t>Route of administration:</w:t>
            </w:r>
          </w:p>
        </w:tc>
        <w:tc>
          <w:tcPr>
            <w:tcW w:w="8080" w:type="dxa"/>
            <w:vAlign w:val="center"/>
          </w:tcPr>
          <w:p w14:paraId="58A97D63" w14:textId="38FC9295" w:rsidR="00747B98" w:rsidRPr="00F321FC" w:rsidRDefault="00747B98" w:rsidP="00747B98">
            <w:pPr>
              <w:rPr>
                <w:rFonts w:cs="Arial"/>
              </w:rPr>
            </w:pPr>
            <w:r>
              <w:rPr>
                <w:rFonts w:eastAsia="Times New Roman" w:cs="Arial"/>
                <w:szCs w:val="24"/>
                <w:lang w:eastAsia="en-GB"/>
              </w:rPr>
              <w:t>Oral</w:t>
            </w:r>
          </w:p>
        </w:tc>
      </w:tr>
      <w:tr w:rsidR="00747B98" w:rsidRPr="00F321FC" w14:paraId="0E5DDFDD" w14:textId="77777777" w:rsidTr="00747B98">
        <w:trPr>
          <w:cantSplit/>
        </w:trPr>
        <w:tc>
          <w:tcPr>
            <w:tcW w:w="2410" w:type="dxa"/>
          </w:tcPr>
          <w:p w14:paraId="3B641692" w14:textId="6763D472" w:rsidR="00747B98" w:rsidRPr="00F321FC" w:rsidRDefault="00747B98" w:rsidP="00747B98">
            <w:pPr>
              <w:rPr>
                <w:rFonts w:cs="Arial"/>
              </w:rPr>
            </w:pPr>
            <w:r w:rsidRPr="00F321FC">
              <w:rPr>
                <w:rFonts w:cs="Arial"/>
              </w:rPr>
              <w:t>Formulation:</w:t>
            </w:r>
          </w:p>
        </w:tc>
        <w:tc>
          <w:tcPr>
            <w:tcW w:w="8080" w:type="dxa"/>
            <w:vAlign w:val="center"/>
          </w:tcPr>
          <w:p w14:paraId="524767B5" w14:textId="77777777" w:rsidR="00747B98" w:rsidRDefault="00747B98" w:rsidP="00747B98">
            <w:pPr>
              <w:rPr>
                <w:rFonts w:cstheme="minorHAnsi"/>
                <w:noProof/>
                <w:lang w:val="en-US"/>
              </w:rPr>
            </w:pPr>
            <w:r>
              <w:rPr>
                <w:noProof/>
                <w:lang w:val="en-US"/>
              </w:rPr>
              <w:t>50mg tablets</w:t>
            </w:r>
          </w:p>
          <w:p w14:paraId="186266EB" w14:textId="77777777" w:rsidR="00747B98" w:rsidRDefault="00747B98" w:rsidP="00747B98">
            <w:pPr>
              <w:rPr>
                <w:noProof/>
                <w:lang w:val="en-US"/>
              </w:rPr>
            </w:pPr>
            <w:r>
              <w:rPr>
                <w:noProof/>
                <w:lang w:val="en-US"/>
              </w:rPr>
              <w:t>5mg/mL oral suspension</w:t>
            </w:r>
          </w:p>
          <w:p w14:paraId="46C3E02C" w14:textId="77777777" w:rsidR="00747B98" w:rsidRDefault="00747B98" w:rsidP="00747B98">
            <w:pPr>
              <w:rPr>
                <w:noProof/>
                <w:lang w:val="en-US"/>
              </w:rPr>
            </w:pPr>
            <w:r>
              <w:rPr>
                <w:noProof/>
                <w:lang w:val="en-US"/>
              </w:rPr>
              <w:t xml:space="preserve">50mg orodispersible film </w:t>
            </w:r>
          </w:p>
          <w:p w14:paraId="02B05492" w14:textId="7CC243F0" w:rsidR="007C430A" w:rsidRPr="00FB404F" w:rsidRDefault="007C430A" w:rsidP="007C430A">
            <w:pPr>
              <w:rPr>
                <w:rFonts w:cs="Arial"/>
              </w:rPr>
            </w:pPr>
            <w:r>
              <w:rPr>
                <w:rFonts w:cs="Arial"/>
                <w:noProof/>
                <w:lang w:val="en-US"/>
              </w:rPr>
              <w:t xml:space="preserve">Note: As per section </w:t>
            </w:r>
            <w:r w:rsidR="002719E1">
              <w:rPr>
                <w:rFonts w:cs="Arial"/>
                <w:noProof/>
                <w:lang w:val="en-US"/>
              </w:rPr>
              <w:t xml:space="preserve">4 - </w:t>
            </w:r>
            <w:r w:rsidRPr="00FB404F">
              <w:rPr>
                <w:rFonts w:cs="Arial"/>
              </w:rPr>
              <w:t xml:space="preserve">All dose or formulation adjustments </w:t>
            </w:r>
            <w:r w:rsidR="009F31CF">
              <w:rPr>
                <w:rFonts w:cs="Arial"/>
              </w:rPr>
              <w:t>should involve the</w:t>
            </w:r>
            <w:r w:rsidRPr="00FB404F">
              <w:rPr>
                <w:rFonts w:cs="Arial"/>
              </w:rPr>
              <w:t xml:space="preserve"> specialist</w:t>
            </w:r>
            <w:r w:rsidR="005807B0">
              <w:rPr>
                <w:rFonts w:cs="Arial"/>
              </w:rPr>
              <w:t>.</w:t>
            </w:r>
          </w:p>
          <w:p w14:paraId="09C2B9C8" w14:textId="41A90BC7" w:rsidR="007C430A" w:rsidRPr="00F321FC" w:rsidRDefault="007C430A" w:rsidP="00747B98">
            <w:pPr>
              <w:rPr>
                <w:rFonts w:cs="Arial"/>
              </w:rPr>
            </w:pPr>
          </w:p>
        </w:tc>
      </w:tr>
      <w:tr w:rsidR="00747B98" w:rsidRPr="00F321FC" w14:paraId="4D08654E" w14:textId="77777777" w:rsidTr="00747B98">
        <w:tc>
          <w:tcPr>
            <w:tcW w:w="2410" w:type="dxa"/>
          </w:tcPr>
          <w:p w14:paraId="5807ABCD" w14:textId="7BDA162B" w:rsidR="00747B98" w:rsidRPr="00F321FC" w:rsidRDefault="00747B98" w:rsidP="00747B98">
            <w:pPr>
              <w:rPr>
                <w:rFonts w:cs="Arial"/>
              </w:rPr>
            </w:pPr>
            <w:r w:rsidRPr="00F321FC">
              <w:rPr>
                <w:rFonts w:cs="Arial"/>
              </w:rPr>
              <w:lastRenderedPageBreak/>
              <w:t>Administration details:</w:t>
            </w:r>
          </w:p>
        </w:tc>
        <w:tc>
          <w:tcPr>
            <w:tcW w:w="8080" w:type="dxa"/>
            <w:vAlign w:val="center"/>
          </w:tcPr>
          <w:p w14:paraId="1E35A8DB" w14:textId="77777777" w:rsidR="00747B98" w:rsidRDefault="00747B98" w:rsidP="00747B98">
            <w:pPr>
              <w:rPr>
                <w:lang w:eastAsia="en-GB"/>
              </w:rPr>
            </w:pPr>
            <w:proofErr w:type="spellStart"/>
            <w:r>
              <w:rPr>
                <w:lang w:eastAsia="en-GB"/>
              </w:rPr>
              <w:t>Riluzole</w:t>
            </w:r>
            <w:proofErr w:type="spellEnd"/>
            <w:r>
              <w:rPr>
                <w:lang w:eastAsia="en-GB"/>
              </w:rPr>
              <w:t xml:space="preserve"> tablets can be crushed and dispersed in water for enteral tube administration or mixed with soft food e.g. yoghurt or puree. Give immediately or within 15 minutes. </w:t>
            </w:r>
            <w:proofErr w:type="spellStart"/>
            <w:r>
              <w:rPr>
                <w:lang w:eastAsia="en-GB"/>
              </w:rPr>
              <w:t>Riluzole</w:t>
            </w:r>
            <w:proofErr w:type="spellEnd"/>
            <w:r>
              <w:rPr>
                <w:lang w:eastAsia="en-GB"/>
              </w:rPr>
              <w:t xml:space="preserve"> may block enteral feeding tubes, so ensure that the tube is flushed well after each dose. Crushed tablets may have a local anaesthetic effect in the mouth. Crushing or splitting </w:t>
            </w:r>
            <w:proofErr w:type="spellStart"/>
            <w:r>
              <w:rPr>
                <w:lang w:eastAsia="en-GB"/>
              </w:rPr>
              <w:t>riluzole</w:t>
            </w:r>
            <w:proofErr w:type="spellEnd"/>
            <w:r>
              <w:rPr>
                <w:lang w:eastAsia="en-GB"/>
              </w:rPr>
              <w:t xml:space="preserve"> tablets is unlicensed.</w:t>
            </w:r>
          </w:p>
          <w:p w14:paraId="0B9BAB4F" w14:textId="77777777" w:rsidR="00747B98" w:rsidRDefault="00747B98" w:rsidP="00747B98">
            <w:pPr>
              <w:rPr>
                <w:lang w:eastAsia="en-GB"/>
              </w:rPr>
            </w:pPr>
            <w:r>
              <w:rPr>
                <w:lang w:eastAsia="en-GB"/>
              </w:rPr>
              <w:t>The oral suspension is suitable for administration via enteral feeding tubes. The suspension must be manually gently shaken for at least 30 seconds by rotating the bottle by 180° and the homogeneity should be visually verified.</w:t>
            </w:r>
          </w:p>
          <w:p w14:paraId="3956ABC5" w14:textId="6E07AFB1" w:rsidR="00747B98" w:rsidRPr="00F321FC" w:rsidRDefault="00747B98" w:rsidP="00747B98">
            <w:pPr>
              <w:rPr>
                <w:rFonts w:cs="Arial"/>
              </w:rPr>
            </w:pPr>
            <w:proofErr w:type="spellStart"/>
            <w:r>
              <w:rPr>
                <w:rFonts w:cs="Arial"/>
              </w:rPr>
              <w:t>Orodispersible</w:t>
            </w:r>
            <w:proofErr w:type="spellEnd"/>
            <w:r>
              <w:rPr>
                <w:rFonts w:cs="Arial"/>
              </w:rPr>
              <w:t xml:space="preserve"> film should only be handled with clean dry hands, and should not be folded. </w:t>
            </w:r>
            <w:proofErr w:type="spellStart"/>
            <w:r>
              <w:rPr>
                <w:rFonts w:cs="Arial"/>
              </w:rPr>
              <w:t>Orodispersible</w:t>
            </w:r>
            <w:proofErr w:type="spellEnd"/>
            <w:r>
              <w:rPr>
                <w:rFonts w:cs="Arial"/>
              </w:rPr>
              <w:t xml:space="preserve"> film should not be taken with liquids, or chewed. Patients should not talk while the film dissolves and food should be taken with caution after administration due to local anaesthetic effect. Wash hands after administration. </w:t>
            </w:r>
          </w:p>
        </w:tc>
      </w:tr>
      <w:tr w:rsidR="00747B98" w:rsidRPr="00F321FC" w14:paraId="1BF5C41D" w14:textId="77777777" w:rsidTr="00747B98">
        <w:trPr>
          <w:cantSplit/>
        </w:trPr>
        <w:tc>
          <w:tcPr>
            <w:tcW w:w="2410" w:type="dxa"/>
          </w:tcPr>
          <w:p w14:paraId="00D209C3" w14:textId="4AA020DB" w:rsidR="00747B98" w:rsidRPr="00F321FC" w:rsidRDefault="00747B98" w:rsidP="00747B98">
            <w:pPr>
              <w:rPr>
                <w:rFonts w:cs="Arial"/>
              </w:rPr>
            </w:pPr>
            <w:r>
              <w:rPr>
                <w:rFonts w:cs="Arial"/>
              </w:rPr>
              <w:t xml:space="preserve">Other important information: </w:t>
            </w:r>
          </w:p>
        </w:tc>
        <w:tc>
          <w:tcPr>
            <w:tcW w:w="8080" w:type="dxa"/>
            <w:vAlign w:val="center"/>
          </w:tcPr>
          <w:p w14:paraId="14CD1D9D" w14:textId="37EC09C5" w:rsidR="00747B98" w:rsidRPr="001A51F3" w:rsidRDefault="00747B98" w:rsidP="00747B98">
            <w:pPr>
              <w:autoSpaceDE w:val="0"/>
              <w:autoSpaceDN w:val="0"/>
              <w:adjustRightInd w:val="0"/>
              <w:rPr>
                <w:rFonts w:eastAsia="Times New Roman" w:cstheme="minorHAnsi"/>
                <w:szCs w:val="24"/>
                <w:lang w:eastAsia="en-GB"/>
              </w:rPr>
            </w:pPr>
            <w:r>
              <w:rPr>
                <w:rFonts w:cstheme="minorHAnsi"/>
                <w:bCs/>
                <w:szCs w:val="24"/>
                <w:lang w:eastAsia="en-GB"/>
              </w:rPr>
              <w:t>Patients should be warned about the potential for dizziness or vertigo, and advised not to drive or operate machinery if these symptoms occur.</w:t>
            </w:r>
          </w:p>
        </w:tc>
      </w:tr>
    </w:tbl>
    <w:p w14:paraId="2699777B" w14:textId="77777777" w:rsidR="0051526F" w:rsidRDefault="0051526F"/>
    <w:p w14:paraId="74C5B8EE" w14:textId="77777777" w:rsidR="00B769F3" w:rsidRDefault="00B769F3"/>
    <w:tbl>
      <w:tblPr>
        <w:tblStyle w:val="TableGridLight1"/>
        <w:tblW w:w="0" w:type="auto"/>
        <w:tblInd w:w="-5" w:type="dxa"/>
        <w:tblCellMar>
          <w:top w:w="57" w:type="dxa"/>
          <w:bottom w:w="57" w:type="dxa"/>
        </w:tblCellMar>
        <w:tblLook w:val="0480" w:firstRow="0" w:lastRow="0" w:firstColumn="1" w:lastColumn="0" w:noHBand="0" w:noVBand="1"/>
      </w:tblPr>
      <w:tblGrid>
        <w:gridCol w:w="2407"/>
        <w:gridCol w:w="8054"/>
      </w:tblGrid>
      <w:tr w:rsidR="00747B98" w:rsidRPr="00F321FC" w14:paraId="4A999C67" w14:textId="77777777" w:rsidTr="00747B98">
        <w:tc>
          <w:tcPr>
            <w:tcW w:w="2407" w:type="dxa"/>
          </w:tcPr>
          <w:p w14:paraId="6BB97933" w14:textId="5394937C" w:rsidR="00747B98" w:rsidRPr="00F321FC" w:rsidRDefault="00747B98" w:rsidP="00747B98">
            <w:pPr>
              <w:pStyle w:val="Heading2"/>
              <w:rPr>
                <w:rFonts w:cs="Arial"/>
              </w:rPr>
            </w:pPr>
            <w:bookmarkStart w:id="13" w:name="eight_cautions_cx"/>
            <w:bookmarkStart w:id="14" w:name="_Toc149231792"/>
            <w:r w:rsidRPr="00F321FC">
              <w:rPr>
                <w:rFonts w:cs="Arial"/>
              </w:rPr>
              <w:t>C</w:t>
            </w:r>
            <w:r>
              <w:rPr>
                <w:rFonts w:cs="Arial"/>
              </w:rPr>
              <w:t>autions and c</w:t>
            </w:r>
            <w:r w:rsidRPr="00F321FC">
              <w:rPr>
                <w:rFonts w:cs="Arial"/>
              </w:rPr>
              <w:t>ontraindications</w:t>
            </w:r>
            <w:bookmarkEnd w:id="13"/>
            <w:bookmarkEnd w:id="14"/>
          </w:p>
        </w:tc>
        <w:tc>
          <w:tcPr>
            <w:tcW w:w="8054" w:type="dxa"/>
          </w:tcPr>
          <w:p w14:paraId="40E25927" w14:textId="241D137F" w:rsidR="00747B98" w:rsidRDefault="00747B98" w:rsidP="00747B98">
            <w:pPr>
              <w:rPr>
                <w:rFonts w:cs="Arial"/>
              </w:rPr>
            </w:pPr>
            <w:r w:rsidRPr="00FB404F">
              <w:rPr>
                <w:rFonts w:cs="Arial"/>
              </w:rPr>
              <w:t xml:space="preserve">This information does not replace the Summary of Product Characteristics (SPC), and should be read in conjunction with it. Please see </w:t>
            </w:r>
            <w:hyperlink r:id="rId15" w:history="1">
              <w:r w:rsidRPr="00727416">
                <w:rPr>
                  <w:rStyle w:val="Hyperlink"/>
                  <w:rFonts w:cs="Arial"/>
                </w:rPr>
                <w:t>BNF</w:t>
              </w:r>
            </w:hyperlink>
            <w:r w:rsidRPr="00FB404F">
              <w:rPr>
                <w:rFonts w:cs="Arial"/>
              </w:rPr>
              <w:t xml:space="preserve"> </w:t>
            </w:r>
            <w:r>
              <w:rPr>
                <w:rFonts w:cs="Arial"/>
              </w:rPr>
              <w:t>&amp;</w:t>
            </w:r>
            <w:r w:rsidRPr="00FB404F">
              <w:rPr>
                <w:rFonts w:cs="Arial"/>
              </w:rPr>
              <w:t xml:space="preserve"> </w:t>
            </w:r>
            <w:hyperlink r:id="rId16" w:history="1">
              <w:r w:rsidRPr="00727416">
                <w:rPr>
                  <w:rStyle w:val="Hyperlink"/>
                  <w:rFonts w:cs="Arial"/>
                </w:rPr>
                <w:t>SPC</w:t>
              </w:r>
            </w:hyperlink>
            <w:r w:rsidRPr="00747B98">
              <w:rPr>
                <w:rStyle w:val="Hyperlink"/>
                <w:rFonts w:cs="Arial"/>
                <w:color w:val="000000"/>
                <w:u w:val="none"/>
              </w:rPr>
              <w:t xml:space="preserve"> </w:t>
            </w:r>
            <w:r w:rsidRPr="00FB404F">
              <w:rPr>
                <w:rFonts w:cs="Arial"/>
              </w:rPr>
              <w:t>for comprehensive information.</w:t>
            </w:r>
          </w:p>
          <w:p w14:paraId="4683152B" w14:textId="77777777" w:rsidR="00747B98" w:rsidRDefault="00747B98" w:rsidP="00747B98">
            <w:pPr>
              <w:rPr>
                <w:rFonts w:cs="Arial"/>
              </w:rPr>
            </w:pPr>
          </w:p>
          <w:p w14:paraId="2DCFF0F5" w14:textId="77777777" w:rsidR="00747B98" w:rsidRPr="00E57448" w:rsidRDefault="00747B98" w:rsidP="00747B98">
            <w:pPr>
              <w:pStyle w:val="Heading4"/>
            </w:pPr>
            <w:r w:rsidRPr="00E57448">
              <w:t>Contraindications:</w:t>
            </w:r>
          </w:p>
          <w:p w14:paraId="1D5BB4C8" w14:textId="77777777" w:rsidR="00747B98" w:rsidRPr="00E57448" w:rsidRDefault="00747B98" w:rsidP="00747B98">
            <w:pPr>
              <w:pStyle w:val="ListParagraph"/>
              <w:numPr>
                <w:ilvl w:val="0"/>
                <w:numId w:val="43"/>
              </w:numPr>
            </w:pPr>
            <w:r w:rsidRPr="00E57448">
              <w:t>Hypersensitivity to the active substance or to any of the excipients.</w:t>
            </w:r>
          </w:p>
          <w:p w14:paraId="623324F6" w14:textId="77777777" w:rsidR="00747B98" w:rsidRPr="00E57448" w:rsidRDefault="00747B98" w:rsidP="00747B98">
            <w:pPr>
              <w:pStyle w:val="ListParagraph"/>
              <w:numPr>
                <w:ilvl w:val="0"/>
                <w:numId w:val="43"/>
              </w:numPr>
            </w:pPr>
            <w:r w:rsidRPr="00E57448">
              <w:t>Hepatic disease or baseline transaminases greater than 3 times the upper limit of normal (ULN).</w:t>
            </w:r>
          </w:p>
          <w:p w14:paraId="5F1DD612" w14:textId="77777777" w:rsidR="00747B98" w:rsidRPr="00E57448" w:rsidRDefault="00747B98" w:rsidP="00747B98">
            <w:pPr>
              <w:pStyle w:val="ListParagraph"/>
              <w:numPr>
                <w:ilvl w:val="0"/>
                <w:numId w:val="43"/>
              </w:numPr>
            </w:pPr>
            <w:r w:rsidRPr="00E57448">
              <w:t>Pregnancy or breast-feeding.</w:t>
            </w:r>
          </w:p>
          <w:p w14:paraId="16AA4F2D" w14:textId="77777777" w:rsidR="00747B98" w:rsidRDefault="00747B98" w:rsidP="00747B98">
            <w:pPr>
              <w:pStyle w:val="ListParagraph"/>
              <w:numPr>
                <w:ilvl w:val="0"/>
                <w:numId w:val="43"/>
              </w:numPr>
            </w:pPr>
            <w:r w:rsidRPr="00E57448">
              <w:t xml:space="preserve">Acute </w:t>
            </w:r>
            <w:proofErr w:type="spellStart"/>
            <w:r w:rsidRPr="00E57448">
              <w:t>porphyrias</w:t>
            </w:r>
            <w:proofErr w:type="spellEnd"/>
            <w:r w:rsidRPr="00E57448">
              <w:t>.</w:t>
            </w:r>
          </w:p>
          <w:p w14:paraId="1EAC34A3" w14:textId="77777777" w:rsidR="00747B98" w:rsidRPr="00E57448" w:rsidRDefault="00747B98" w:rsidP="00747B98"/>
          <w:p w14:paraId="4F6C0909" w14:textId="77777777" w:rsidR="00747B98" w:rsidRPr="00E57448" w:rsidRDefault="00747B98" w:rsidP="00747B98">
            <w:pPr>
              <w:pStyle w:val="Heading4"/>
            </w:pPr>
            <w:r w:rsidRPr="00E57448">
              <w:t>Cautions:</w:t>
            </w:r>
          </w:p>
          <w:p w14:paraId="7EA38478" w14:textId="77777777" w:rsidR="00747B98" w:rsidRPr="00E57448" w:rsidRDefault="00747B98" w:rsidP="00747B98">
            <w:pPr>
              <w:pStyle w:val="ListParagraph"/>
              <w:numPr>
                <w:ilvl w:val="0"/>
                <w:numId w:val="44"/>
              </w:numPr>
            </w:pPr>
            <w:r w:rsidRPr="00E57448">
              <w:t xml:space="preserve">Liver impairment: </w:t>
            </w:r>
            <w:proofErr w:type="spellStart"/>
            <w:r w:rsidRPr="00E57448">
              <w:t>riluzole</w:t>
            </w:r>
            <w:proofErr w:type="spellEnd"/>
            <w:r w:rsidRPr="00E57448">
              <w:t xml:space="preserve"> should be prescribed with care in patients with:</w:t>
            </w:r>
          </w:p>
          <w:p w14:paraId="621DE681" w14:textId="12CF01E5" w:rsidR="00747B98" w:rsidRPr="00E57448" w:rsidRDefault="00747B98" w:rsidP="00747B98">
            <w:pPr>
              <w:pStyle w:val="ListParagraph"/>
              <w:numPr>
                <w:ilvl w:val="1"/>
                <w:numId w:val="44"/>
              </w:numPr>
            </w:pPr>
            <w:r w:rsidRPr="00E57448">
              <w:t>a history of abnormal liver function</w:t>
            </w:r>
            <w:r>
              <w:t>.</w:t>
            </w:r>
            <w:r w:rsidRPr="00E57448">
              <w:t xml:space="preserve"> </w:t>
            </w:r>
          </w:p>
          <w:p w14:paraId="3020C6E5" w14:textId="0CF0F40B" w:rsidR="00747B98" w:rsidRDefault="00747B98" w:rsidP="00747B98">
            <w:pPr>
              <w:pStyle w:val="ListParagraph"/>
              <w:numPr>
                <w:ilvl w:val="1"/>
                <w:numId w:val="44"/>
              </w:numPr>
              <w:spacing w:line="259" w:lineRule="auto"/>
            </w:pPr>
            <w:r w:rsidRPr="00E57448">
              <w:t xml:space="preserve">slightly elevated serum transaminases (up to 3 times ULN), bilirubin and/or </w:t>
            </w:r>
            <w:r>
              <w:t>g</w:t>
            </w:r>
            <w:r w:rsidRPr="00E57448">
              <w:t>amma-glutamyl transferase (GGT) levels</w:t>
            </w:r>
            <w:r>
              <w:t>.</w:t>
            </w:r>
          </w:p>
          <w:p w14:paraId="747B0579" w14:textId="78AFD9D2" w:rsidR="00747B98" w:rsidRPr="00E57448" w:rsidRDefault="00747B98" w:rsidP="00747B98">
            <w:pPr>
              <w:pStyle w:val="ListParagraph"/>
              <w:numPr>
                <w:ilvl w:val="1"/>
                <w:numId w:val="44"/>
              </w:numPr>
            </w:pPr>
            <w:r w:rsidRPr="00E57448">
              <w:t xml:space="preserve">baseline elevations of several liver function tests (especially elevated bilirubin) should preclude the use of </w:t>
            </w:r>
            <w:proofErr w:type="spellStart"/>
            <w:r w:rsidRPr="00E57448">
              <w:t>riluzole</w:t>
            </w:r>
            <w:proofErr w:type="spellEnd"/>
            <w:r>
              <w:t>.</w:t>
            </w:r>
          </w:p>
          <w:p w14:paraId="2E8DDB55" w14:textId="77777777" w:rsidR="00747B98" w:rsidRPr="00E57448" w:rsidRDefault="00747B98" w:rsidP="00747B98">
            <w:pPr>
              <w:pStyle w:val="ListParagraph"/>
              <w:numPr>
                <w:ilvl w:val="0"/>
                <w:numId w:val="44"/>
              </w:numPr>
            </w:pPr>
            <w:r w:rsidRPr="00E57448">
              <w:t xml:space="preserve">Interstitial lung disease has been reported in patients treated with </w:t>
            </w:r>
            <w:proofErr w:type="spellStart"/>
            <w:r w:rsidRPr="00E57448">
              <w:t>riluzole</w:t>
            </w:r>
            <w:proofErr w:type="spellEnd"/>
            <w:r w:rsidRPr="00E57448">
              <w:t xml:space="preserve">. </w:t>
            </w:r>
          </w:p>
          <w:p w14:paraId="185B1135" w14:textId="77777777" w:rsidR="00747B98" w:rsidRPr="00747B98" w:rsidRDefault="00747B98" w:rsidP="00747B98">
            <w:pPr>
              <w:pStyle w:val="ListParagraph"/>
              <w:numPr>
                <w:ilvl w:val="0"/>
                <w:numId w:val="44"/>
              </w:numPr>
              <w:rPr>
                <w:rFonts w:cs="Arial"/>
              </w:rPr>
            </w:pPr>
            <w:r w:rsidRPr="00E57448">
              <w:t xml:space="preserve">Neutropenia or febrile illness. </w:t>
            </w:r>
          </w:p>
          <w:p w14:paraId="456B90AA" w14:textId="0FF07F94" w:rsidR="00747B98" w:rsidRPr="007A56FB" w:rsidRDefault="00747B98" w:rsidP="00747B98">
            <w:pPr>
              <w:pStyle w:val="ListParagraph"/>
              <w:numPr>
                <w:ilvl w:val="0"/>
                <w:numId w:val="44"/>
              </w:numPr>
              <w:rPr>
                <w:rFonts w:cs="Arial"/>
              </w:rPr>
            </w:pPr>
            <w:r w:rsidRPr="00E57448">
              <w:t>Renal Impairment (due to lack of data).</w:t>
            </w:r>
          </w:p>
        </w:tc>
      </w:tr>
      <w:tr w:rsidR="00747B98" w:rsidRPr="00F321FC" w14:paraId="11E3D793" w14:textId="77777777" w:rsidTr="00747B98">
        <w:tc>
          <w:tcPr>
            <w:tcW w:w="2407" w:type="dxa"/>
          </w:tcPr>
          <w:p w14:paraId="1E8C8FBF" w14:textId="3ED10190" w:rsidR="00747B98" w:rsidRPr="00F321FC" w:rsidRDefault="00747B98" w:rsidP="00747B98">
            <w:pPr>
              <w:pStyle w:val="Heading2"/>
              <w:rPr>
                <w:rFonts w:cs="Arial"/>
              </w:rPr>
            </w:pPr>
            <w:bookmarkStart w:id="15" w:name="nine_interactions"/>
            <w:bookmarkStart w:id="16" w:name="_Toc149231793"/>
            <w:r w:rsidRPr="00F321FC">
              <w:rPr>
                <w:rFonts w:cs="Arial"/>
              </w:rPr>
              <w:t>Significant drug interactions</w:t>
            </w:r>
            <w:bookmarkEnd w:id="15"/>
            <w:bookmarkEnd w:id="16"/>
          </w:p>
        </w:tc>
        <w:tc>
          <w:tcPr>
            <w:tcW w:w="8054" w:type="dxa"/>
          </w:tcPr>
          <w:p w14:paraId="5130CCD0" w14:textId="77777777" w:rsidR="00747B98" w:rsidRDefault="00747B98" w:rsidP="00747B98">
            <w:pPr>
              <w:rPr>
                <w:rFonts w:cs="Arial"/>
              </w:rPr>
            </w:pPr>
            <w:r w:rsidRPr="00FB404F">
              <w:rPr>
                <w:rFonts w:cs="Arial"/>
              </w:rPr>
              <w:t xml:space="preserve">The following list is not exhaustive. Please see </w:t>
            </w:r>
            <w:hyperlink r:id="rId17" w:history="1">
              <w:r w:rsidRPr="00727416">
                <w:rPr>
                  <w:rStyle w:val="Hyperlink"/>
                  <w:rFonts w:cs="Arial"/>
                </w:rPr>
                <w:t>BNF</w:t>
              </w:r>
            </w:hyperlink>
            <w:r w:rsidRPr="00FB404F">
              <w:rPr>
                <w:rFonts w:cs="Arial"/>
              </w:rPr>
              <w:t xml:space="preserve"> </w:t>
            </w:r>
            <w:r>
              <w:rPr>
                <w:rFonts w:cs="Arial"/>
              </w:rPr>
              <w:t>&amp;</w:t>
            </w:r>
            <w:r w:rsidRPr="00FB404F">
              <w:rPr>
                <w:rFonts w:cs="Arial"/>
              </w:rPr>
              <w:t xml:space="preserve"> </w:t>
            </w:r>
            <w:hyperlink r:id="rId18" w:history="1">
              <w:r w:rsidRPr="00727416">
                <w:rPr>
                  <w:rStyle w:val="Hyperlink"/>
                  <w:rFonts w:cs="Arial"/>
                </w:rPr>
                <w:t>SPC</w:t>
              </w:r>
            </w:hyperlink>
            <w:r w:rsidRPr="00FB404F">
              <w:rPr>
                <w:rFonts w:cs="Arial"/>
              </w:rPr>
              <w:t xml:space="preserve"> for comprehensive information and recommended management.</w:t>
            </w:r>
          </w:p>
          <w:p w14:paraId="582E1B1B" w14:textId="77777777" w:rsidR="00747B98" w:rsidRPr="00E57448" w:rsidRDefault="00747B98" w:rsidP="00747B98">
            <w:pPr>
              <w:rPr>
                <w:rFonts w:cs="Arial"/>
              </w:rPr>
            </w:pPr>
            <w:proofErr w:type="spellStart"/>
            <w:r w:rsidRPr="00E57448">
              <w:rPr>
                <w:rFonts w:cs="Arial"/>
              </w:rPr>
              <w:t>Riluzole</w:t>
            </w:r>
            <w:proofErr w:type="spellEnd"/>
            <w:r w:rsidRPr="00E57448">
              <w:rPr>
                <w:rFonts w:cs="Arial"/>
              </w:rPr>
              <w:t xml:space="preserve"> is metabolised by cytochrome P450 isoform 1A2 (CYP1A2), and has the potential to interact with drugs which inhibit or induce CYP1A2. The clinical relevance of these interactions has not been established, and some of these medicines are frequently used with </w:t>
            </w:r>
            <w:proofErr w:type="spellStart"/>
            <w:r w:rsidRPr="00E57448">
              <w:rPr>
                <w:rFonts w:cs="Arial"/>
              </w:rPr>
              <w:t>riluzole</w:t>
            </w:r>
            <w:proofErr w:type="spellEnd"/>
            <w:r w:rsidRPr="00E57448">
              <w:rPr>
                <w:rFonts w:cs="Arial"/>
              </w:rPr>
              <w:t xml:space="preserve"> without incident. Discuss with specialist team if there are any concerns.  </w:t>
            </w:r>
          </w:p>
          <w:p w14:paraId="45ADFA18" w14:textId="77777777" w:rsidR="00747B98" w:rsidRDefault="00747B98" w:rsidP="00747B98">
            <w:pPr>
              <w:pStyle w:val="ListParagraph"/>
              <w:numPr>
                <w:ilvl w:val="0"/>
                <w:numId w:val="45"/>
              </w:numPr>
              <w:rPr>
                <w:rFonts w:cs="Arial"/>
              </w:rPr>
            </w:pPr>
            <w:r w:rsidRPr="00727416">
              <w:rPr>
                <w:rFonts w:cs="Arial"/>
              </w:rPr>
              <w:lastRenderedPageBreak/>
              <w:t>CYP1A2 inhibitors include caffeine, diclofenac, diazepam, clomipramine, imipramine, fluvoxamine, phenacetin, theophylline, amitriptyline, quinolones</w:t>
            </w:r>
            <w:r>
              <w:rPr>
                <w:rFonts w:cs="Arial"/>
              </w:rPr>
              <w:t xml:space="preserve"> (e.g. ciprofloxacin)</w:t>
            </w:r>
            <w:r w:rsidRPr="00727416">
              <w:rPr>
                <w:rFonts w:cs="Arial"/>
              </w:rPr>
              <w:t>, mexiletine, nicergoline, rucaparib, vemurafenib, combined hormonal contraceptives</w:t>
            </w:r>
          </w:p>
          <w:p w14:paraId="11735DD8" w14:textId="146D71A8" w:rsidR="00747B98" w:rsidRPr="00FE3EEF" w:rsidRDefault="00747B98" w:rsidP="00747B98">
            <w:pPr>
              <w:pStyle w:val="ListParagraph"/>
              <w:numPr>
                <w:ilvl w:val="0"/>
                <w:numId w:val="45"/>
              </w:numPr>
              <w:rPr>
                <w:rFonts w:cs="Arial"/>
              </w:rPr>
            </w:pPr>
            <w:r w:rsidRPr="00727416">
              <w:rPr>
                <w:rFonts w:cs="Arial"/>
              </w:rPr>
              <w:t>CYP1A2 inducers include cigarette smoke, charcoal-grilled food, rifampicin, omeprazole</w:t>
            </w:r>
          </w:p>
        </w:tc>
      </w:tr>
    </w:tbl>
    <w:p w14:paraId="56D8C659" w14:textId="77777777" w:rsidR="0051526F" w:rsidRDefault="0051526F"/>
    <w:p w14:paraId="2C8438F9" w14:textId="77777777" w:rsidR="00747B98" w:rsidRDefault="00747B98"/>
    <w:p w14:paraId="5F2EB721" w14:textId="77777777" w:rsidR="0051526F" w:rsidRDefault="0051526F" w:rsidP="0051526F">
      <w:pPr>
        <w:pStyle w:val="Heading2"/>
        <w:rPr>
          <w:rFonts w:cs="Arial"/>
        </w:rPr>
      </w:pPr>
      <w:bookmarkStart w:id="17" w:name="_Toc149231794"/>
      <w:r w:rsidRPr="00F321FC">
        <w:rPr>
          <w:rFonts w:cs="Arial"/>
        </w:rPr>
        <w:t>Adverse effects and management</w:t>
      </w:r>
      <w:bookmarkEnd w:id="17"/>
    </w:p>
    <w:p w14:paraId="41070243" w14:textId="327DF529" w:rsidR="0051526F" w:rsidRDefault="0051526F" w:rsidP="0051526F">
      <w:pPr>
        <w:spacing w:after="120"/>
        <w:rPr>
          <w:rFonts w:cs="Arial"/>
          <w:b/>
          <w:bCs/>
        </w:rPr>
      </w:pPr>
      <w:r w:rsidRPr="00D32858">
        <w:rPr>
          <w:rFonts w:cs="Arial"/>
        </w:rPr>
        <w:t>As well as responding to absolute values in laboratory tests, a rapid change or a consistent trend in any value should prompt caution and extra vigilance</w:t>
      </w:r>
      <w:r>
        <w:rPr>
          <w:rFonts w:cs="Arial"/>
          <w:b/>
          <w:bCs/>
        </w:rPr>
        <w:t>.</w:t>
      </w:r>
      <w:r w:rsidR="006F5FA8" w:rsidRPr="006F5FA8">
        <w:rPr>
          <w:rStyle w:val="Hyperlink"/>
          <w:rFonts w:eastAsia="Calibri" w:cs="Arial"/>
          <w:bCs/>
          <w:noProof/>
          <w:color w:val="000000"/>
          <w:u w:val="none"/>
          <w:lang w:eastAsia="en-GB"/>
        </w:rPr>
        <w:t xml:space="preserve"> </w:t>
      </w:r>
      <w:r w:rsidR="006F5FA8" w:rsidRPr="0041687B">
        <w:rPr>
          <w:rStyle w:val="Hyperlink"/>
          <w:rFonts w:eastAsia="Calibri" w:cs="Arial"/>
          <w:bCs/>
          <w:noProof/>
          <w:color w:val="000000"/>
          <w:u w:val="none"/>
          <w:lang w:eastAsia="en-GB"/>
        </w:rPr>
        <w:t xml:space="preserve">For information on incidence of ADRs see relevant </w:t>
      </w:r>
      <w:r w:rsidR="006F5FA8" w:rsidRPr="007A56FB">
        <w:rPr>
          <w:rStyle w:val="Hyperlink"/>
          <w:rFonts w:eastAsia="Calibri" w:cs="Arial"/>
          <w:bCs/>
          <w:noProof/>
          <w:color w:val="000000"/>
          <w:u w:val="none"/>
          <w:lang w:eastAsia="en-GB"/>
        </w:rPr>
        <w:t>S</w:t>
      </w:r>
      <w:r w:rsidR="006F5FA8" w:rsidRPr="007A56FB">
        <w:rPr>
          <w:rStyle w:val="Hyperlink"/>
          <w:rFonts w:eastAsia="Calibri"/>
          <w:bCs/>
          <w:noProof/>
          <w:color w:val="000000"/>
          <w:u w:val="none"/>
          <w:lang w:eastAsia="en-GB"/>
        </w:rPr>
        <w:t>PCs</w:t>
      </w:r>
      <w:r w:rsidR="006F5FA8" w:rsidRPr="00D13A1C">
        <w:rPr>
          <w:rStyle w:val="Hyperlink"/>
          <w:rFonts w:eastAsia="Calibri"/>
          <w:bCs/>
          <w:noProof/>
          <w:color w:val="000000"/>
          <w:u w:val="none"/>
          <w:lang w:eastAsia="en-GB"/>
        </w:rPr>
        <w:t>.</w:t>
      </w:r>
    </w:p>
    <w:p w14:paraId="338E7A1F" w14:textId="53E2DB61" w:rsidR="0051526F" w:rsidRPr="0041687B" w:rsidRDefault="0051526F" w:rsidP="0051526F">
      <w:pPr>
        <w:spacing w:after="120"/>
        <w:rPr>
          <w:rStyle w:val="Hyperlink"/>
          <w:rFonts w:eastAsia="Calibri" w:cs="Arial"/>
          <w:noProof/>
          <w:lang w:eastAsia="en-GB"/>
        </w:rPr>
      </w:pPr>
      <w:r w:rsidRPr="0041687B">
        <w:rPr>
          <w:rFonts w:cs="Arial"/>
          <w:b/>
          <w:bCs/>
        </w:rPr>
        <w:t xml:space="preserve">Any serious adverse reactions should be reported to the MHRA via the Yellow Card scheme. Visit </w:t>
      </w:r>
      <w:hyperlink r:id="rId19" w:tooltip="http://www.mhra.gov.uk/yellowcard" w:history="1">
        <w:r w:rsidRPr="0041687B">
          <w:rPr>
            <w:rStyle w:val="Hyperlink"/>
            <w:rFonts w:eastAsia="Calibri" w:cs="Arial"/>
            <w:noProof/>
            <w:lang w:eastAsia="en-GB"/>
          </w:rPr>
          <w:t>www.mhra.gov.uk/yellowcard</w:t>
        </w:r>
      </w:hyperlink>
      <w:r w:rsidRPr="001B5F28">
        <w:rPr>
          <w:rStyle w:val="Hyperlink"/>
          <w:rFonts w:eastAsia="Calibri" w:cs="Arial"/>
          <w:noProof/>
          <w:color w:val="000000"/>
          <w:u w:val="none"/>
          <w:lang w:eastAsia="en-GB"/>
        </w:rPr>
        <w:t>.</w:t>
      </w:r>
    </w:p>
    <w:p w14:paraId="50ECDB93" w14:textId="19E40863" w:rsidR="0051526F" w:rsidRDefault="006F5FA8" w:rsidP="0051526F">
      <w:r>
        <w:rPr>
          <w:rStyle w:val="Hyperlink"/>
          <w:rFonts w:eastAsia="Calibri"/>
          <w:bCs/>
          <w:noProof/>
          <w:color w:val="000000"/>
          <w:u w:val="none"/>
          <w:lang w:eastAsia="en-GB"/>
        </w:rPr>
        <w:t xml:space="preserve">Advice based on shared care guidelines published by NHS England, and checked against current guidance. </w:t>
      </w:r>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51526F" w:rsidRPr="00F321FC" w14:paraId="7F454127" w14:textId="77777777" w:rsidTr="00747B98">
        <w:trPr>
          <w:cantSplit/>
          <w:tblHeader/>
        </w:trPr>
        <w:tc>
          <w:tcPr>
            <w:tcW w:w="2410" w:type="dxa"/>
            <w:shd w:val="clear" w:color="auto" w:fill="F2F2F2" w:themeFill="background1" w:themeFillShade="F2"/>
          </w:tcPr>
          <w:p w14:paraId="67AF18F0" w14:textId="01ED708F" w:rsidR="0051526F" w:rsidRPr="00BF174A" w:rsidRDefault="0051526F" w:rsidP="00BF174A">
            <w:pPr>
              <w:rPr>
                <w:b/>
                <w:bCs/>
                <w:u w:val="single"/>
              </w:rPr>
            </w:pPr>
            <w:r w:rsidRPr="00BF174A">
              <w:rPr>
                <w:b/>
                <w:bCs/>
                <w:u w:val="single"/>
              </w:rPr>
              <w:t>Adverse effect</w:t>
            </w:r>
          </w:p>
        </w:tc>
        <w:tc>
          <w:tcPr>
            <w:tcW w:w="8080" w:type="dxa"/>
            <w:shd w:val="clear" w:color="auto" w:fill="F2F2F2" w:themeFill="background1" w:themeFillShade="F2"/>
          </w:tcPr>
          <w:p w14:paraId="7FD73CD2" w14:textId="63413BED" w:rsidR="0051526F" w:rsidRPr="00BF174A" w:rsidRDefault="0051526F" w:rsidP="00BF174A">
            <w:pPr>
              <w:rPr>
                <w:b/>
                <w:bCs/>
                <w:u w:val="single"/>
              </w:rPr>
            </w:pPr>
            <w:r w:rsidRPr="00BF174A">
              <w:rPr>
                <w:b/>
                <w:bCs/>
                <w:u w:val="single"/>
              </w:rPr>
              <w:t>Management</w:t>
            </w:r>
          </w:p>
        </w:tc>
      </w:tr>
      <w:tr w:rsidR="00747B98" w:rsidRPr="00F321FC" w14:paraId="01268D2D" w14:textId="77777777" w:rsidTr="00747B98">
        <w:trPr>
          <w:cantSplit/>
          <w:trHeight w:val="48"/>
        </w:trPr>
        <w:tc>
          <w:tcPr>
            <w:tcW w:w="2410" w:type="dxa"/>
          </w:tcPr>
          <w:p w14:paraId="3CD37027" w14:textId="77777777" w:rsidR="00747B98" w:rsidRDefault="00747B98" w:rsidP="00747B98">
            <w:pPr>
              <w:rPr>
                <w:rFonts w:eastAsia="Times New Roman" w:cstheme="minorHAnsi"/>
                <w:b/>
                <w:lang w:eastAsia="en-GB"/>
              </w:rPr>
            </w:pPr>
            <w:r>
              <w:rPr>
                <w:rFonts w:eastAsia="Times New Roman" w:cstheme="minorHAnsi"/>
                <w:b/>
                <w:lang w:eastAsia="en-GB"/>
              </w:rPr>
              <w:t>Altered LFTs</w:t>
            </w:r>
          </w:p>
          <w:p w14:paraId="6A99262A" w14:textId="16825040" w:rsidR="00747B98" w:rsidRPr="00F321FC" w:rsidRDefault="00747B98" w:rsidP="00747B98">
            <w:pPr>
              <w:rPr>
                <w:rFonts w:cs="Arial"/>
              </w:rPr>
            </w:pPr>
            <w:r>
              <w:rPr>
                <w:rFonts w:eastAsia="Times New Roman" w:cstheme="minorHAnsi"/>
                <w:lang w:eastAsia="en-GB"/>
              </w:rPr>
              <w:t>Elevated LFTs up to 5 times ULN</w:t>
            </w:r>
          </w:p>
        </w:tc>
        <w:tc>
          <w:tcPr>
            <w:tcW w:w="8080" w:type="dxa"/>
          </w:tcPr>
          <w:p w14:paraId="45A5B53C" w14:textId="204D770D" w:rsidR="00747B98" w:rsidRPr="00F321FC" w:rsidRDefault="00747B98" w:rsidP="00747B98">
            <w:pPr>
              <w:rPr>
                <w:rFonts w:cs="Arial"/>
              </w:rPr>
            </w:pPr>
            <w:r>
              <w:rPr>
                <w:rFonts w:eastAsia="Times New Roman" w:cstheme="minorHAnsi"/>
                <w:lang w:eastAsia="en-GB"/>
              </w:rPr>
              <w:t xml:space="preserve">Continue </w:t>
            </w:r>
            <w:proofErr w:type="spellStart"/>
            <w:r>
              <w:rPr>
                <w:rFonts w:eastAsia="Times New Roman" w:cstheme="minorHAnsi"/>
                <w:lang w:eastAsia="en-GB"/>
              </w:rPr>
              <w:t>riluzole</w:t>
            </w:r>
            <w:proofErr w:type="spellEnd"/>
            <w:r>
              <w:rPr>
                <w:rFonts w:eastAsia="Times New Roman" w:cstheme="minorHAnsi"/>
                <w:lang w:eastAsia="en-GB"/>
              </w:rPr>
              <w:t xml:space="preserve"> and discuss with specialist. Increase monitoring frequency if ALT is elevated. </w:t>
            </w:r>
          </w:p>
        </w:tc>
      </w:tr>
      <w:tr w:rsidR="00747B98" w:rsidRPr="00F321FC" w14:paraId="7CEAAB39" w14:textId="77777777" w:rsidTr="00747B98">
        <w:trPr>
          <w:cantSplit/>
          <w:trHeight w:val="48"/>
        </w:trPr>
        <w:tc>
          <w:tcPr>
            <w:tcW w:w="2410" w:type="dxa"/>
          </w:tcPr>
          <w:p w14:paraId="2386555E" w14:textId="56DCF25B" w:rsidR="00747B98" w:rsidRPr="0051526F" w:rsidRDefault="00747B98" w:rsidP="00747B98">
            <w:pPr>
              <w:spacing w:line="360" w:lineRule="atLeast"/>
              <w:rPr>
                <w:rFonts w:eastAsia="Times New Roman" w:cstheme="minorHAnsi"/>
                <w:lang w:eastAsia="en-GB"/>
              </w:rPr>
            </w:pPr>
            <w:r>
              <w:rPr>
                <w:rFonts w:eastAsia="Times New Roman" w:cstheme="minorHAnsi"/>
                <w:lang w:eastAsia="en-GB"/>
              </w:rPr>
              <w:t>ALT rises to 5 times ULN</w:t>
            </w:r>
          </w:p>
        </w:tc>
        <w:tc>
          <w:tcPr>
            <w:tcW w:w="8080" w:type="dxa"/>
          </w:tcPr>
          <w:p w14:paraId="645A7295" w14:textId="754A7595" w:rsidR="00747B98" w:rsidRPr="00F321FC" w:rsidRDefault="00747B98" w:rsidP="00747B98">
            <w:pPr>
              <w:rPr>
                <w:rFonts w:cs="Arial"/>
              </w:rPr>
            </w:pPr>
            <w:r>
              <w:rPr>
                <w:rFonts w:eastAsia="Times New Roman" w:cstheme="minorHAnsi"/>
                <w:lang w:eastAsia="en-GB"/>
              </w:rPr>
              <w:t xml:space="preserve">Stop </w:t>
            </w:r>
            <w:proofErr w:type="spellStart"/>
            <w:r>
              <w:rPr>
                <w:rFonts w:eastAsia="Times New Roman" w:cstheme="minorHAnsi"/>
                <w:lang w:eastAsia="en-GB"/>
              </w:rPr>
              <w:t>riluzole</w:t>
            </w:r>
            <w:proofErr w:type="spellEnd"/>
            <w:r>
              <w:rPr>
                <w:rFonts w:eastAsia="Times New Roman" w:cstheme="minorHAnsi"/>
                <w:lang w:eastAsia="en-GB"/>
              </w:rPr>
              <w:t xml:space="preserve"> and inform specialist. </w:t>
            </w:r>
            <w:proofErr w:type="spellStart"/>
            <w:r>
              <w:rPr>
                <w:rFonts w:eastAsia="Times New Roman" w:cstheme="minorHAnsi"/>
                <w:lang w:eastAsia="en-GB"/>
              </w:rPr>
              <w:t>Riluzole</w:t>
            </w:r>
            <w:proofErr w:type="spellEnd"/>
            <w:r>
              <w:rPr>
                <w:rFonts w:eastAsia="Times New Roman" w:cstheme="minorHAnsi"/>
                <w:lang w:eastAsia="en-GB"/>
              </w:rPr>
              <w:t xml:space="preserve"> should not normally be re-started.</w:t>
            </w:r>
          </w:p>
        </w:tc>
      </w:tr>
      <w:tr w:rsidR="00747B98" w:rsidRPr="00F321FC" w14:paraId="3E83576D" w14:textId="77777777" w:rsidTr="00747B98">
        <w:trPr>
          <w:cantSplit/>
          <w:trHeight w:val="48"/>
        </w:trPr>
        <w:tc>
          <w:tcPr>
            <w:tcW w:w="2410" w:type="dxa"/>
          </w:tcPr>
          <w:p w14:paraId="448DBDE1" w14:textId="77777777" w:rsidR="00747B98" w:rsidRDefault="00747B98" w:rsidP="00747B98">
            <w:pPr>
              <w:rPr>
                <w:rFonts w:eastAsia="Times New Roman" w:cstheme="minorHAnsi"/>
                <w:b/>
                <w:lang w:eastAsia="en-GB"/>
              </w:rPr>
            </w:pPr>
            <w:r>
              <w:rPr>
                <w:rFonts w:eastAsia="Times New Roman" w:cstheme="minorHAnsi"/>
                <w:b/>
                <w:lang w:eastAsia="en-GB"/>
              </w:rPr>
              <w:t>Respiratory function</w:t>
            </w:r>
          </w:p>
          <w:p w14:paraId="08C53FEC" w14:textId="0CBA382F" w:rsidR="00747B98" w:rsidRPr="00F321FC" w:rsidRDefault="00747B98" w:rsidP="00747B98">
            <w:pPr>
              <w:rPr>
                <w:rFonts w:cs="Arial"/>
              </w:rPr>
            </w:pPr>
            <w:r>
              <w:rPr>
                <w:rFonts w:eastAsia="Times New Roman" w:cstheme="minorHAnsi"/>
                <w:lang w:eastAsia="en-GB"/>
              </w:rPr>
              <w:t>Dry cough or dyspnoea</w:t>
            </w:r>
          </w:p>
        </w:tc>
        <w:tc>
          <w:tcPr>
            <w:tcW w:w="8080" w:type="dxa"/>
          </w:tcPr>
          <w:p w14:paraId="5F0A1593" w14:textId="77777777" w:rsidR="00747B98" w:rsidRDefault="00747B98" w:rsidP="00747B98">
            <w:pPr>
              <w:rPr>
                <w:rFonts w:eastAsia="Times New Roman" w:cstheme="minorHAnsi"/>
                <w:lang w:eastAsia="en-GB"/>
              </w:rPr>
            </w:pPr>
          </w:p>
          <w:p w14:paraId="0AF04492" w14:textId="20EA9294" w:rsidR="00747B98" w:rsidRPr="00F321FC" w:rsidRDefault="00747B98" w:rsidP="00747B98">
            <w:pPr>
              <w:rPr>
                <w:rFonts w:cs="Arial"/>
              </w:rPr>
            </w:pPr>
            <w:r>
              <w:rPr>
                <w:rFonts w:eastAsia="Times New Roman" w:cstheme="minorHAnsi"/>
                <w:lang w:eastAsia="en-GB"/>
              </w:rPr>
              <w:t xml:space="preserve">Order chest x-ray. Stop </w:t>
            </w:r>
            <w:proofErr w:type="spellStart"/>
            <w:r>
              <w:rPr>
                <w:rFonts w:eastAsia="Times New Roman" w:cstheme="minorHAnsi"/>
                <w:lang w:eastAsia="en-GB"/>
              </w:rPr>
              <w:t>riluzole</w:t>
            </w:r>
            <w:proofErr w:type="spellEnd"/>
            <w:r>
              <w:rPr>
                <w:rFonts w:eastAsia="Times New Roman" w:cstheme="minorHAnsi"/>
                <w:lang w:eastAsia="en-GB"/>
              </w:rPr>
              <w:t xml:space="preserve"> immediately if findings are suggestive of interstitial lung disease. Inform specialist of findings. </w:t>
            </w:r>
          </w:p>
        </w:tc>
      </w:tr>
      <w:tr w:rsidR="00747B98" w:rsidRPr="00F321FC" w14:paraId="24831E88" w14:textId="77777777" w:rsidTr="00747B98">
        <w:trPr>
          <w:cantSplit/>
          <w:trHeight w:val="48"/>
        </w:trPr>
        <w:tc>
          <w:tcPr>
            <w:tcW w:w="2410" w:type="dxa"/>
          </w:tcPr>
          <w:p w14:paraId="6205FA00" w14:textId="77777777" w:rsidR="00747B98" w:rsidRDefault="00747B98" w:rsidP="00747B98">
            <w:pPr>
              <w:rPr>
                <w:rFonts w:eastAsia="Times New Roman" w:cstheme="minorHAnsi"/>
                <w:b/>
                <w:lang w:eastAsia="en-GB"/>
              </w:rPr>
            </w:pPr>
            <w:r>
              <w:rPr>
                <w:rFonts w:eastAsia="Times New Roman" w:cstheme="minorHAnsi"/>
                <w:b/>
                <w:lang w:eastAsia="en-GB"/>
              </w:rPr>
              <w:t>Haematological parameters</w:t>
            </w:r>
          </w:p>
          <w:p w14:paraId="1928A53C" w14:textId="1A54C1B9" w:rsidR="00747B98" w:rsidRPr="00F321FC" w:rsidRDefault="00747B98" w:rsidP="00747B98">
            <w:pPr>
              <w:rPr>
                <w:rFonts w:cs="Arial"/>
              </w:rPr>
            </w:pPr>
            <w:r>
              <w:rPr>
                <w:rFonts w:eastAsia="Times New Roman" w:cstheme="minorHAnsi"/>
                <w:lang w:eastAsia="en-GB"/>
              </w:rPr>
              <w:t>Febrile illness</w:t>
            </w:r>
          </w:p>
        </w:tc>
        <w:tc>
          <w:tcPr>
            <w:tcW w:w="8080" w:type="dxa"/>
          </w:tcPr>
          <w:p w14:paraId="40988304" w14:textId="77777777" w:rsidR="00747B98" w:rsidRDefault="00747B98" w:rsidP="00747B98">
            <w:pPr>
              <w:rPr>
                <w:rFonts w:eastAsia="Times New Roman" w:cstheme="minorHAnsi"/>
                <w:lang w:eastAsia="en-GB"/>
              </w:rPr>
            </w:pPr>
          </w:p>
          <w:p w14:paraId="3EAA40C2" w14:textId="35E6FBC2" w:rsidR="00747B98" w:rsidRPr="00F321FC" w:rsidRDefault="00747B98" w:rsidP="00747B98">
            <w:pPr>
              <w:rPr>
                <w:rFonts w:cs="Arial"/>
              </w:rPr>
            </w:pPr>
            <w:r>
              <w:rPr>
                <w:rFonts w:eastAsia="Times New Roman" w:cstheme="minorHAnsi"/>
                <w:lang w:eastAsia="en-GB"/>
              </w:rPr>
              <w:t>Check WCC. Treat febrile illness according to local pathways. Arrange for immediate hospital assessment if neutropenic sepsis is suspected.</w:t>
            </w:r>
          </w:p>
        </w:tc>
      </w:tr>
      <w:tr w:rsidR="00747B98" w:rsidRPr="00F321FC" w14:paraId="7B45BBDF" w14:textId="77777777" w:rsidTr="00747B98">
        <w:trPr>
          <w:cantSplit/>
          <w:trHeight w:val="48"/>
        </w:trPr>
        <w:tc>
          <w:tcPr>
            <w:tcW w:w="2410" w:type="dxa"/>
          </w:tcPr>
          <w:p w14:paraId="742A5874" w14:textId="79550A01" w:rsidR="00747B98" w:rsidRPr="00F321FC" w:rsidRDefault="00747B98" w:rsidP="00747B98">
            <w:pPr>
              <w:rPr>
                <w:rFonts w:cs="Arial"/>
              </w:rPr>
            </w:pPr>
            <w:r>
              <w:rPr>
                <w:rFonts w:eastAsia="Times New Roman" w:cstheme="minorHAnsi"/>
                <w:b/>
                <w:bCs/>
                <w:lang w:eastAsia="en-GB"/>
              </w:rPr>
              <w:t xml:space="preserve">Confirmed neutropenia </w:t>
            </w:r>
          </w:p>
        </w:tc>
        <w:tc>
          <w:tcPr>
            <w:tcW w:w="8080" w:type="dxa"/>
          </w:tcPr>
          <w:p w14:paraId="3B5D0997" w14:textId="4E6DC1F9" w:rsidR="00747B98" w:rsidRPr="00F321FC" w:rsidRDefault="00747B98" w:rsidP="00747B98">
            <w:pPr>
              <w:rPr>
                <w:rFonts w:cs="Arial"/>
              </w:rPr>
            </w:pPr>
            <w:r>
              <w:rPr>
                <w:lang w:eastAsia="en-GB"/>
              </w:rPr>
              <w:t xml:space="preserve">Stop </w:t>
            </w:r>
            <w:proofErr w:type="spellStart"/>
            <w:r>
              <w:rPr>
                <w:lang w:eastAsia="en-GB"/>
              </w:rPr>
              <w:t>riluzole</w:t>
            </w:r>
            <w:proofErr w:type="spellEnd"/>
            <w:r>
              <w:rPr>
                <w:lang w:eastAsia="en-GB"/>
              </w:rPr>
              <w:t xml:space="preserve"> and inform specialist. Review patient for signs and symptoms of infection and treat or refer according to local pathways, as appropriate. Arrange for immediate hospital assessment if neutropenic sepsis is suspected.</w:t>
            </w:r>
          </w:p>
        </w:tc>
      </w:tr>
      <w:tr w:rsidR="00747B98" w:rsidRPr="00F321FC" w14:paraId="6BD1EF9B" w14:textId="77777777" w:rsidTr="00747B98">
        <w:trPr>
          <w:cantSplit/>
          <w:trHeight w:val="48"/>
        </w:trPr>
        <w:tc>
          <w:tcPr>
            <w:tcW w:w="2410" w:type="dxa"/>
          </w:tcPr>
          <w:p w14:paraId="5E311FBE" w14:textId="63B73FCD" w:rsidR="00747B98" w:rsidRPr="00F321FC" w:rsidRDefault="00747B98" w:rsidP="00747B98">
            <w:pPr>
              <w:rPr>
                <w:rFonts w:cs="Arial"/>
              </w:rPr>
            </w:pPr>
            <w:r>
              <w:rPr>
                <w:rFonts w:eastAsia="Times New Roman" w:cstheme="minorHAnsi"/>
                <w:b/>
                <w:bCs/>
                <w:lang w:eastAsia="en-GB"/>
              </w:rPr>
              <w:t>Decreased WCC to below lower limit of local reference range</w:t>
            </w:r>
          </w:p>
        </w:tc>
        <w:tc>
          <w:tcPr>
            <w:tcW w:w="8080" w:type="dxa"/>
          </w:tcPr>
          <w:p w14:paraId="08178D38" w14:textId="77777777" w:rsidR="00747B98" w:rsidRDefault="00747B98" w:rsidP="00747B98">
            <w:pPr>
              <w:rPr>
                <w:lang w:eastAsia="en-GB"/>
              </w:rPr>
            </w:pPr>
            <w:r>
              <w:rPr>
                <w:lang w:eastAsia="en-GB"/>
              </w:rPr>
              <w:t xml:space="preserve">If clinical evidence of febrile illness/neutropenia, stop </w:t>
            </w:r>
            <w:proofErr w:type="spellStart"/>
            <w:r>
              <w:rPr>
                <w:lang w:eastAsia="en-GB"/>
              </w:rPr>
              <w:t>riluzole</w:t>
            </w:r>
            <w:proofErr w:type="spellEnd"/>
            <w:r>
              <w:rPr>
                <w:lang w:eastAsia="en-GB"/>
              </w:rPr>
              <w:t xml:space="preserve"> and treat or refer according to local pathways, as appropriate. Arrange for immediate hospital assessment if neutropenic sepsis is suspected.</w:t>
            </w:r>
          </w:p>
          <w:p w14:paraId="25E56149" w14:textId="0A91467C" w:rsidR="00747B98" w:rsidRPr="00F321FC" w:rsidRDefault="00747B98" w:rsidP="00747B98">
            <w:pPr>
              <w:rPr>
                <w:rFonts w:cs="Arial"/>
              </w:rPr>
            </w:pPr>
            <w:r>
              <w:rPr>
                <w:lang w:eastAsia="en-GB"/>
              </w:rPr>
              <w:t>In the absence of febrile illness or clinical signs of neutropenia, seek advice from specialist.</w:t>
            </w:r>
          </w:p>
        </w:tc>
      </w:tr>
    </w:tbl>
    <w:p w14:paraId="3D78272D" w14:textId="77777777" w:rsidR="0051526F" w:rsidRDefault="0051526F"/>
    <w:p w14:paraId="09F0CA29"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410"/>
        <w:gridCol w:w="8051"/>
      </w:tblGrid>
      <w:tr w:rsidR="00747B98" w:rsidRPr="00F321FC" w14:paraId="399D38CB" w14:textId="77777777" w:rsidTr="00747B98">
        <w:tc>
          <w:tcPr>
            <w:tcW w:w="2410" w:type="dxa"/>
          </w:tcPr>
          <w:p w14:paraId="139BFC3E" w14:textId="77777777" w:rsidR="00747B98" w:rsidRDefault="00747B98" w:rsidP="00747B98">
            <w:pPr>
              <w:pStyle w:val="Heading2"/>
              <w:rPr>
                <w:rFonts w:cs="Arial"/>
              </w:rPr>
            </w:pPr>
            <w:bookmarkStart w:id="18" w:name="eleven_patient_advice"/>
            <w:bookmarkStart w:id="19" w:name="_Toc149231795"/>
            <w:r w:rsidRPr="00F321FC">
              <w:rPr>
                <w:rFonts w:cs="Arial"/>
              </w:rPr>
              <w:t>Advice to patients and carers</w:t>
            </w:r>
            <w:bookmarkEnd w:id="18"/>
            <w:bookmarkEnd w:id="19"/>
          </w:p>
          <w:p w14:paraId="4928E953" w14:textId="77777777" w:rsidR="00747B98" w:rsidRDefault="00747B98" w:rsidP="00747B98"/>
          <w:p w14:paraId="7E51F76A" w14:textId="42531282" w:rsidR="00747B98" w:rsidRPr="005D79FA" w:rsidRDefault="00747B98" w:rsidP="00747B98">
            <w:r w:rsidRPr="00F321FC">
              <w:rPr>
                <w:rFonts w:cs="Arial"/>
              </w:rPr>
              <w:lastRenderedPageBreak/>
              <w:t>The specialist will counsel the patient with regard to the benefits and risks of treatment and will provide the patient with any relevant information and advice, including patient information leaflets on individual drugs.</w:t>
            </w:r>
          </w:p>
        </w:tc>
        <w:tc>
          <w:tcPr>
            <w:tcW w:w="8051" w:type="dxa"/>
          </w:tcPr>
          <w:p w14:paraId="5BC0BCD7" w14:textId="77777777" w:rsidR="00747B98" w:rsidRPr="00727416" w:rsidRDefault="00747B98" w:rsidP="00747B98">
            <w:pPr>
              <w:pStyle w:val="Heading4"/>
            </w:pPr>
            <w:r w:rsidRPr="00727416">
              <w:lastRenderedPageBreak/>
              <w:t xml:space="preserve">The patient should be advised to report any of the following signs or symptoms to their primary care prescriber without delay:          </w:t>
            </w:r>
          </w:p>
          <w:p w14:paraId="0C195901" w14:textId="77777777" w:rsidR="00747B98" w:rsidRPr="00727416" w:rsidRDefault="00747B98" w:rsidP="00747B98">
            <w:pPr>
              <w:pStyle w:val="ListParagraph"/>
              <w:numPr>
                <w:ilvl w:val="0"/>
                <w:numId w:val="46"/>
              </w:numPr>
              <w:rPr>
                <w:rFonts w:cs="Arial"/>
              </w:rPr>
            </w:pPr>
            <w:r w:rsidRPr="00727416">
              <w:rPr>
                <w:rFonts w:cs="Arial"/>
              </w:rPr>
              <w:t>Signs or symptoms of infection, such as fever, chills or shivering, flu-like symptoms, sore throat, rashes, or mouth ulcers.</w:t>
            </w:r>
          </w:p>
          <w:p w14:paraId="4378271F" w14:textId="77777777" w:rsidR="00747B98" w:rsidRPr="00727416" w:rsidRDefault="00747B98" w:rsidP="00747B98">
            <w:pPr>
              <w:pStyle w:val="ListParagraph"/>
              <w:numPr>
                <w:ilvl w:val="0"/>
                <w:numId w:val="46"/>
              </w:numPr>
              <w:rPr>
                <w:rFonts w:cs="Arial"/>
              </w:rPr>
            </w:pPr>
            <w:r w:rsidRPr="00727416">
              <w:rPr>
                <w:rFonts w:cs="Arial"/>
              </w:rPr>
              <w:lastRenderedPageBreak/>
              <w:t>Dry cough and/or dyspnoea.</w:t>
            </w:r>
          </w:p>
          <w:p w14:paraId="7381AD18" w14:textId="77777777" w:rsidR="00747B98" w:rsidRPr="00727416" w:rsidRDefault="00747B98" w:rsidP="00747B98">
            <w:pPr>
              <w:pStyle w:val="ListParagraph"/>
              <w:numPr>
                <w:ilvl w:val="0"/>
                <w:numId w:val="46"/>
              </w:numPr>
              <w:rPr>
                <w:rFonts w:cs="Arial"/>
              </w:rPr>
            </w:pPr>
            <w:r w:rsidRPr="00727416">
              <w:rPr>
                <w:rFonts w:cs="Arial"/>
              </w:rPr>
              <w:t>Signs or symptoms of liver problems, such as yellow skin or eyes (jaundice), itching all over, nausea or vomiting.</w:t>
            </w:r>
          </w:p>
          <w:p w14:paraId="50DA73F2" w14:textId="77777777" w:rsidR="00747B98" w:rsidRDefault="00747B98" w:rsidP="00747B98">
            <w:pPr>
              <w:rPr>
                <w:rFonts w:cs="Arial"/>
              </w:rPr>
            </w:pPr>
          </w:p>
          <w:p w14:paraId="679ED910" w14:textId="77777777" w:rsidR="00747B98" w:rsidRPr="00727416" w:rsidRDefault="00747B98" w:rsidP="00747B98">
            <w:pPr>
              <w:pStyle w:val="Heading4"/>
            </w:pPr>
            <w:r w:rsidRPr="00727416">
              <w:t>The patient should be advised:</w:t>
            </w:r>
          </w:p>
          <w:p w14:paraId="53FA25F6" w14:textId="77777777" w:rsidR="00747B98" w:rsidRPr="00727416" w:rsidRDefault="00747B98" w:rsidP="00747B98">
            <w:pPr>
              <w:pStyle w:val="ListParagraph"/>
              <w:numPr>
                <w:ilvl w:val="0"/>
                <w:numId w:val="47"/>
              </w:numPr>
              <w:rPr>
                <w:rFonts w:cs="Arial"/>
              </w:rPr>
            </w:pPr>
            <w:r w:rsidRPr="00727416">
              <w:rPr>
                <w:rFonts w:cs="Arial"/>
              </w:rPr>
              <w:t xml:space="preserve">Not to stop taking </w:t>
            </w:r>
            <w:proofErr w:type="spellStart"/>
            <w:r w:rsidRPr="00727416">
              <w:rPr>
                <w:rFonts w:cs="Arial"/>
              </w:rPr>
              <w:t>riluzole</w:t>
            </w:r>
            <w:proofErr w:type="spellEnd"/>
            <w:r w:rsidRPr="00727416">
              <w:rPr>
                <w:rFonts w:cs="Arial"/>
              </w:rPr>
              <w:t xml:space="preserve"> without talking to their doctor and not to share their medicines with anyone else. </w:t>
            </w:r>
          </w:p>
          <w:p w14:paraId="3E8F1E77" w14:textId="77777777" w:rsidR="00747B98" w:rsidRPr="00727416" w:rsidRDefault="00747B98" w:rsidP="00747B98">
            <w:pPr>
              <w:pStyle w:val="ListParagraph"/>
              <w:numPr>
                <w:ilvl w:val="0"/>
                <w:numId w:val="47"/>
              </w:numPr>
              <w:rPr>
                <w:rFonts w:cs="Arial"/>
              </w:rPr>
            </w:pPr>
            <w:r w:rsidRPr="00727416">
              <w:rPr>
                <w:rFonts w:cs="Arial"/>
              </w:rPr>
              <w:t>Tell their prescriber if their smoking status changes, since this may affect their medicine</w:t>
            </w:r>
          </w:p>
          <w:p w14:paraId="13909BBE" w14:textId="77777777" w:rsidR="00747B98" w:rsidRPr="00727416" w:rsidRDefault="00747B98" w:rsidP="00747B98">
            <w:pPr>
              <w:pStyle w:val="ListParagraph"/>
              <w:numPr>
                <w:ilvl w:val="0"/>
                <w:numId w:val="47"/>
              </w:numPr>
              <w:rPr>
                <w:rFonts w:cs="Arial"/>
              </w:rPr>
            </w:pPr>
            <w:r w:rsidRPr="00727416">
              <w:rPr>
                <w:rFonts w:cs="Arial"/>
              </w:rPr>
              <w:t xml:space="preserve">Not to drive or operate machines if </w:t>
            </w:r>
            <w:proofErr w:type="spellStart"/>
            <w:r w:rsidRPr="00727416">
              <w:rPr>
                <w:rFonts w:cs="Arial"/>
              </w:rPr>
              <w:t>riluzole</w:t>
            </w:r>
            <w:proofErr w:type="spellEnd"/>
            <w:r w:rsidRPr="00727416">
              <w:rPr>
                <w:rFonts w:cs="Arial"/>
              </w:rPr>
              <w:t xml:space="preserve"> affects their ability to do so safely, e.g. by causing dizziness or drowsiness, and to inform the DVLA if their ability to drive safely is affected. See https://www.gov.uk/driving-medical-conditions and https://www.gov.uk/motor-neurone-disease-and-driving. </w:t>
            </w:r>
          </w:p>
          <w:p w14:paraId="2DB379B4" w14:textId="77777777" w:rsidR="00747B98" w:rsidRDefault="00747B98" w:rsidP="00747B98">
            <w:pPr>
              <w:rPr>
                <w:rFonts w:cs="Arial"/>
              </w:rPr>
            </w:pPr>
          </w:p>
          <w:p w14:paraId="5950B246" w14:textId="77777777" w:rsidR="00747B98" w:rsidRPr="00727416" w:rsidRDefault="00747B98" w:rsidP="00747B98">
            <w:pPr>
              <w:rPr>
                <w:rFonts w:cs="Arial"/>
              </w:rPr>
            </w:pPr>
            <w:r w:rsidRPr="00727416">
              <w:rPr>
                <w:rFonts w:cs="Arial"/>
              </w:rPr>
              <w:t>Patient information</w:t>
            </w:r>
          </w:p>
          <w:p w14:paraId="07D41700" w14:textId="1565B673" w:rsidR="00747B98" w:rsidRPr="00727416" w:rsidRDefault="00747B98" w:rsidP="00747B98">
            <w:pPr>
              <w:pStyle w:val="ListParagraph"/>
              <w:numPr>
                <w:ilvl w:val="0"/>
                <w:numId w:val="48"/>
              </w:numPr>
              <w:rPr>
                <w:rFonts w:cs="Arial"/>
              </w:rPr>
            </w:pPr>
            <w:hyperlink r:id="rId20" w:history="1">
              <w:r w:rsidRPr="00850B78">
                <w:rPr>
                  <w:rStyle w:val="Hyperlink"/>
                  <w:rFonts w:cs="Arial"/>
                </w:rPr>
                <w:t xml:space="preserve">MND association </w:t>
              </w:r>
              <w:proofErr w:type="spellStart"/>
              <w:r w:rsidRPr="00850B78">
                <w:rPr>
                  <w:rStyle w:val="Hyperlink"/>
                  <w:rFonts w:cs="Arial"/>
                </w:rPr>
                <w:t>riluzole</w:t>
              </w:r>
              <w:proofErr w:type="spellEnd"/>
              <w:r w:rsidRPr="00850B78">
                <w:rPr>
                  <w:rStyle w:val="Hyperlink"/>
                  <w:rFonts w:cs="Arial"/>
                </w:rPr>
                <w:t xml:space="preserve"> information leaflet </w:t>
              </w:r>
            </w:hyperlink>
            <w:r w:rsidRPr="00727416">
              <w:rPr>
                <w:rFonts w:cs="Arial"/>
              </w:rPr>
              <w:t xml:space="preserve"> </w:t>
            </w:r>
          </w:p>
          <w:p w14:paraId="37787158" w14:textId="363B61A2" w:rsidR="00747B98" w:rsidRPr="00727416" w:rsidRDefault="00747B98" w:rsidP="00747B98">
            <w:pPr>
              <w:pStyle w:val="ListParagraph"/>
              <w:numPr>
                <w:ilvl w:val="0"/>
                <w:numId w:val="48"/>
              </w:numPr>
              <w:rPr>
                <w:rFonts w:cs="Arial"/>
              </w:rPr>
            </w:pPr>
            <w:hyperlink r:id="rId21" w:history="1">
              <w:r w:rsidRPr="00727416">
                <w:rPr>
                  <w:rStyle w:val="Hyperlink"/>
                  <w:rFonts w:cs="Arial"/>
                </w:rPr>
                <w:t>NHS.uk. Low white blood cell count</w:t>
              </w:r>
            </w:hyperlink>
            <w:r w:rsidRPr="00727416">
              <w:rPr>
                <w:rFonts w:cs="Arial"/>
              </w:rPr>
              <w:t xml:space="preserve"> </w:t>
            </w:r>
          </w:p>
          <w:p w14:paraId="298DA26F" w14:textId="22A104D4" w:rsidR="00747B98" w:rsidRPr="007A56FB" w:rsidRDefault="00747B98" w:rsidP="00747B98">
            <w:pPr>
              <w:rPr>
                <w:rFonts w:cs="Arial"/>
              </w:rPr>
            </w:pPr>
            <w:hyperlink r:id="rId22" w:history="1">
              <w:r w:rsidRPr="00727416">
                <w:rPr>
                  <w:rStyle w:val="Hyperlink"/>
                  <w:rFonts w:cs="Arial"/>
                </w:rPr>
                <w:t xml:space="preserve">Patient information leaflets are also available from the </w:t>
              </w:r>
              <w:proofErr w:type="spellStart"/>
              <w:r w:rsidRPr="00727416">
                <w:rPr>
                  <w:rStyle w:val="Hyperlink"/>
                  <w:rFonts w:cs="Arial"/>
                </w:rPr>
                <w:t>eMC</w:t>
              </w:r>
              <w:proofErr w:type="spellEnd"/>
            </w:hyperlink>
            <w:r>
              <w:rPr>
                <w:rFonts w:cs="Arial"/>
              </w:rPr>
              <w:t xml:space="preserve">. </w:t>
            </w:r>
            <w:r w:rsidRPr="00727416">
              <w:rPr>
                <w:rFonts w:cs="Arial"/>
              </w:rPr>
              <w:t xml:space="preserve"> </w:t>
            </w:r>
          </w:p>
        </w:tc>
      </w:tr>
      <w:tr w:rsidR="00747B98" w:rsidRPr="00F321FC" w14:paraId="317161E6" w14:textId="77777777" w:rsidTr="00747B98">
        <w:tc>
          <w:tcPr>
            <w:tcW w:w="2410" w:type="dxa"/>
          </w:tcPr>
          <w:p w14:paraId="7BADD8F8" w14:textId="77777777" w:rsidR="00747B98" w:rsidRDefault="00747B98" w:rsidP="00747B98">
            <w:pPr>
              <w:pStyle w:val="Heading2"/>
              <w:rPr>
                <w:rFonts w:cs="Arial"/>
              </w:rPr>
            </w:pPr>
            <w:bookmarkStart w:id="20" w:name="twelve_pregnancy"/>
            <w:bookmarkStart w:id="21" w:name="_Toc149231796"/>
            <w:r w:rsidRPr="00F321FC">
              <w:rPr>
                <w:rFonts w:cs="Arial"/>
              </w:rPr>
              <w:lastRenderedPageBreak/>
              <w:t>Pregnancy</w:t>
            </w:r>
            <w:r>
              <w:rPr>
                <w:rFonts w:cs="Arial"/>
              </w:rPr>
              <w:t>, paternal exposure</w:t>
            </w:r>
            <w:r w:rsidRPr="00F321FC">
              <w:rPr>
                <w:rFonts w:cs="Arial"/>
              </w:rPr>
              <w:t xml:space="preserve"> and breastfeeding</w:t>
            </w:r>
            <w:bookmarkEnd w:id="20"/>
            <w:bookmarkEnd w:id="21"/>
          </w:p>
          <w:p w14:paraId="0AE00B39" w14:textId="77777777" w:rsidR="00747B98" w:rsidRDefault="00747B98" w:rsidP="00747B98"/>
          <w:p w14:paraId="4C3ACC97" w14:textId="3495C602" w:rsidR="00747B98" w:rsidRPr="005D79FA" w:rsidRDefault="00747B98" w:rsidP="00747B98"/>
        </w:tc>
        <w:tc>
          <w:tcPr>
            <w:tcW w:w="8051" w:type="dxa"/>
          </w:tcPr>
          <w:p w14:paraId="219402A5" w14:textId="77777777" w:rsidR="00747B98" w:rsidRPr="00727416" w:rsidRDefault="00747B98" w:rsidP="00747B98">
            <w:pPr>
              <w:rPr>
                <w:rFonts w:cs="Arial"/>
              </w:rPr>
            </w:pPr>
            <w:r w:rsidRPr="00727416">
              <w:rPr>
                <w:rStyle w:val="Heading3Char"/>
              </w:rPr>
              <w:t>Pregnancy</w:t>
            </w:r>
            <w:r w:rsidRPr="00727416">
              <w:rPr>
                <w:rFonts w:cs="Arial"/>
              </w:rPr>
              <w:t>:</w:t>
            </w:r>
          </w:p>
          <w:p w14:paraId="463634FB" w14:textId="77777777" w:rsidR="00747B98" w:rsidRPr="00727416" w:rsidRDefault="00747B98" w:rsidP="00747B98">
            <w:pPr>
              <w:rPr>
                <w:rFonts w:cs="Arial"/>
              </w:rPr>
            </w:pPr>
            <w:proofErr w:type="spellStart"/>
            <w:r w:rsidRPr="00727416">
              <w:rPr>
                <w:rFonts w:cs="Arial"/>
              </w:rPr>
              <w:t>Riluzole</w:t>
            </w:r>
            <w:proofErr w:type="spellEnd"/>
            <w:r w:rsidRPr="00727416">
              <w:rPr>
                <w:rFonts w:cs="Arial"/>
              </w:rPr>
              <w:t xml:space="preserve"> is contraindicated in pregnancy.</w:t>
            </w:r>
          </w:p>
          <w:p w14:paraId="289B4E23" w14:textId="77777777" w:rsidR="00747B98" w:rsidRPr="00727416" w:rsidRDefault="00747B98" w:rsidP="00747B98">
            <w:pPr>
              <w:rPr>
                <w:rFonts w:cs="Arial"/>
              </w:rPr>
            </w:pPr>
          </w:p>
          <w:p w14:paraId="69115D18" w14:textId="77777777" w:rsidR="00747B98" w:rsidRPr="00727416" w:rsidRDefault="00747B98" w:rsidP="00747B98">
            <w:pPr>
              <w:rPr>
                <w:rFonts w:cs="Arial"/>
              </w:rPr>
            </w:pPr>
            <w:r w:rsidRPr="00727416">
              <w:rPr>
                <w:rStyle w:val="Heading3Char"/>
              </w:rPr>
              <w:t>Breastfeeding</w:t>
            </w:r>
            <w:r w:rsidRPr="00727416">
              <w:rPr>
                <w:rFonts w:cs="Arial"/>
              </w:rPr>
              <w:t>:</w:t>
            </w:r>
          </w:p>
          <w:p w14:paraId="5A2D4D64" w14:textId="77777777" w:rsidR="00747B98" w:rsidRPr="00727416" w:rsidRDefault="00747B98" w:rsidP="00747B98">
            <w:pPr>
              <w:rPr>
                <w:rFonts w:cs="Arial"/>
              </w:rPr>
            </w:pPr>
            <w:proofErr w:type="spellStart"/>
            <w:r w:rsidRPr="00727416">
              <w:rPr>
                <w:rFonts w:cs="Arial"/>
              </w:rPr>
              <w:t>Riluzole</w:t>
            </w:r>
            <w:proofErr w:type="spellEnd"/>
            <w:r w:rsidRPr="00727416">
              <w:rPr>
                <w:rFonts w:cs="Arial"/>
              </w:rPr>
              <w:t xml:space="preserve"> is contraindicated in breast-feeding women. Very limited published evidence indicates low levels in breast milk. The UK Drugs in Lactation Advisory Service recommends caution if used, and infants should be monitored for adverse effects associated with adult use. </w:t>
            </w:r>
          </w:p>
          <w:p w14:paraId="16FECFD8" w14:textId="77777777" w:rsidR="00747B98" w:rsidRPr="00727416" w:rsidRDefault="00747B98" w:rsidP="00747B98">
            <w:pPr>
              <w:rPr>
                <w:rFonts w:cs="Arial"/>
              </w:rPr>
            </w:pPr>
            <w:r w:rsidRPr="00727416">
              <w:rPr>
                <w:rFonts w:cs="Arial"/>
              </w:rPr>
              <w:t xml:space="preserve">Information for healthcare professionals: </w:t>
            </w:r>
            <w:hyperlink r:id="rId23" w:history="1">
              <w:r w:rsidRPr="00727416">
                <w:rPr>
                  <w:rStyle w:val="Hyperlink"/>
                  <w:rFonts w:cs="Arial"/>
                </w:rPr>
                <w:t>UK Drugs in Lactation Advisory Service</w:t>
              </w:r>
            </w:hyperlink>
          </w:p>
          <w:p w14:paraId="48785521" w14:textId="77777777" w:rsidR="00747B98" w:rsidRPr="00727416" w:rsidRDefault="00747B98" w:rsidP="00747B98">
            <w:pPr>
              <w:rPr>
                <w:rFonts w:cs="Arial"/>
              </w:rPr>
            </w:pPr>
          </w:p>
          <w:p w14:paraId="4B66ADA7" w14:textId="77777777" w:rsidR="00747B98" w:rsidRPr="00727416" w:rsidRDefault="00747B98" w:rsidP="00747B98">
            <w:pPr>
              <w:rPr>
                <w:rFonts w:cs="Arial"/>
              </w:rPr>
            </w:pPr>
            <w:r w:rsidRPr="00727416">
              <w:rPr>
                <w:rStyle w:val="Heading3Char"/>
              </w:rPr>
              <w:t>Paternal exposure</w:t>
            </w:r>
            <w:r w:rsidRPr="00727416">
              <w:rPr>
                <w:rFonts w:cs="Arial"/>
              </w:rPr>
              <w:t>:</w:t>
            </w:r>
          </w:p>
          <w:p w14:paraId="06C7937A" w14:textId="3D20B144" w:rsidR="00747B98" w:rsidRPr="007A56FB" w:rsidRDefault="00747B98" w:rsidP="00747B98">
            <w:pPr>
              <w:rPr>
                <w:rFonts w:cs="Arial"/>
              </w:rPr>
            </w:pPr>
            <w:r w:rsidRPr="00727416">
              <w:rPr>
                <w:rFonts w:cs="Arial"/>
              </w:rPr>
              <w:t xml:space="preserve">Fertility studies in rats indicate slight impairment of reproductive performance and fertility at doses of 15 mg/kg/day (which is higher than the therapeutic dose), probably due to sedation and lethargy. The relevance of this to human fertility is not known. </w:t>
            </w:r>
          </w:p>
        </w:tc>
      </w:tr>
      <w:tr w:rsidR="00747B98" w:rsidRPr="00F321FC" w14:paraId="6398E15E" w14:textId="77777777" w:rsidTr="00747B98">
        <w:tc>
          <w:tcPr>
            <w:tcW w:w="2410" w:type="dxa"/>
          </w:tcPr>
          <w:p w14:paraId="6BB398C7" w14:textId="6C037366" w:rsidR="00747B98" w:rsidRPr="00F321FC" w:rsidRDefault="00747B98" w:rsidP="00747B98">
            <w:pPr>
              <w:pStyle w:val="Heading2"/>
              <w:rPr>
                <w:rFonts w:cs="Arial"/>
              </w:rPr>
            </w:pPr>
            <w:bookmarkStart w:id="22" w:name="thirteen_specialist_contact"/>
            <w:bookmarkStart w:id="23" w:name="_Toc149231797"/>
            <w:r w:rsidRPr="00F321FC">
              <w:rPr>
                <w:rFonts w:cs="Arial"/>
              </w:rPr>
              <w:t>Specialist contact information</w:t>
            </w:r>
            <w:r>
              <w:rPr>
                <w:rFonts w:cs="Arial"/>
              </w:rPr>
              <w:t xml:space="preserve"> and arrangements for referral</w:t>
            </w:r>
            <w:bookmarkEnd w:id="22"/>
            <w:bookmarkEnd w:id="23"/>
          </w:p>
        </w:tc>
        <w:tc>
          <w:tcPr>
            <w:tcW w:w="8051" w:type="dxa"/>
          </w:tcPr>
          <w:p w14:paraId="63F90746" w14:textId="709A9E5D" w:rsidR="00747B98" w:rsidRPr="00B84F27" w:rsidRDefault="00981615" w:rsidP="00747B98">
            <w:pPr>
              <w:rPr>
                <w:rFonts w:cs="Arial"/>
              </w:rPr>
            </w:pPr>
            <w:r w:rsidRPr="00594D27">
              <w:rPr>
                <w:rFonts w:cs="Arial"/>
              </w:rPr>
              <w:t>Details</w:t>
            </w:r>
            <w:r w:rsidRPr="00594D27">
              <w:rPr>
                <w:rFonts w:cs="Arial"/>
                <w:i/>
                <w:iCs/>
              </w:rPr>
              <w:t xml:space="preserve"> </w:t>
            </w:r>
            <w:r w:rsidRPr="005152C4">
              <w:rPr>
                <w:rFonts w:cs="Arial"/>
              </w:rPr>
              <w:t>for contacting specialist must be included on clinic letter</w:t>
            </w:r>
            <w:r>
              <w:rPr>
                <w:rFonts w:cs="Arial"/>
              </w:rPr>
              <w:t>.</w:t>
            </w:r>
          </w:p>
        </w:tc>
      </w:tr>
      <w:tr w:rsidR="00747B98" w:rsidRPr="00F321FC" w14:paraId="207E7612" w14:textId="77777777" w:rsidTr="00747B98">
        <w:tc>
          <w:tcPr>
            <w:tcW w:w="2410" w:type="dxa"/>
          </w:tcPr>
          <w:p w14:paraId="1F87C246" w14:textId="316BF7A3" w:rsidR="00747B98" w:rsidRPr="00F321FC" w:rsidRDefault="00747B98" w:rsidP="00747B98">
            <w:pPr>
              <w:pStyle w:val="Heading2"/>
              <w:rPr>
                <w:rFonts w:cs="Arial"/>
              </w:rPr>
            </w:pPr>
            <w:bookmarkStart w:id="24" w:name="fourteen_additional_info"/>
            <w:bookmarkStart w:id="25" w:name="_Toc149231798"/>
            <w:r w:rsidRPr="00F321FC">
              <w:rPr>
                <w:rFonts w:cs="Arial"/>
              </w:rPr>
              <w:t>Additional information</w:t>
            </w:r>
            <w:bookmarkEnd w:id="24"/>
            <w:bookmarkEnd w:id="25"/>
          </w:p>
        </w:tc>
        <w:tc>
          <w:tcPr>
            <w:tcW w:w="8051" w:type="dxa"/>
          </w:tcPr>
          <w:p w14:paraId="3634BE8A" w14:textId="7AD2853D" w:rsidR="00747B98" w:rsidRPr="00F321FC" w:rsidRDefault="00747B98" w:rsidP="00747B98">
            <w:pPr>
              <w:rPr>
                <w:rFonts w:cs="Arial"/>
              </w:rPr>
            </w:pPr>
            <w:r w:rsidRPr="005D79FA">
              <w:rPr>
                <w:rFonts w:cs="Arial"/>
              </w:rPr>
              <w:t>Where patient care is transferred from one specialist service or GP practice to another, a new shared care agreement must be completed. Ensure that the specialist is informed in writing of any changes to the patient’s GP or their contact details.</w:t>
            </w:r>
          </w:p>
        </w:tc>
      </w:tr>
      <w:tr w:rsidR="00747B98" w:rsidRPr="00F321FC" w14:paraId="6B6F9FF7" w14:textId="77777777" w:rsidTr="00747B98">
        <w:tc>
          <w:tcPr>
            <w:tcW w:w="2410" w:type="dxa"/>
          </w:tcPr>
          <w:p w14:paraId="4580613D" w14:textId="3D2EB4DF" w:rsidR="00747B98" w:rsidRPr="00F321FC" w:rsidRDefault="00747B98" w:rsidP="00747B98">
            <w:pPr>
              <w:pStyle w:val="Heading2"/>
              <w:rPr>
                <w:rFonts w:cs="Arial"/>
              </w:rPr>
            </w:pPr>
            <w:bookmarkStart w:id="26" w:name="fifteen_references"/>
            <w:bookmarkStart w:id="27" w:name="_Toc149231799"/>
            <w:r w:rsidRPr="00F321FC">
              <w:rPr>
                <w:rFonts w:cs="Arial"/>
              </w:rPr>
              <w:t>References</w:t>
            </w:r>
            <w:bookmarkEnd w:id="26"/>
            <w:bookmarkEnd w:id="27"/>
          </w:p>
        </w:tc>
        <w:tc>
          <w:tcPr>
            <w:tcW w:w="8051" w:type="dxa"/>
          </w:tcPr>
          <w:p w14:paraId="794E6AA5" w14:textId="42A9179B" w:rsidR="00747B98" w:rsidRDefault="00747B98" w:rsidP="00747B98">
            <w:pPr>
              <w:pStyle w:val="ListParagraph"/>
              <w:numPr>
                <w:ilvl w:val="0"/>
                <w:numId w:val="49"/>
              </w:numPr>
              <w:rPr>
                <w:rFonts w:eastAsia="Times New Roman" w:cstheme="minorHAnsi"/>
                <w:lang w:eastAsia="en-GB"/>
              </w:rPr>
            </w:pPr>
            <w:r>
              <w:rPr>
                <w:rFonts w:eastAsia="Times New Roman" w:cstheme="minorHAnsi"/>
                <w:lang w:eastAsia="en-GB"/>
              </w:rPr>
              <w:t xml:space="preserve">MND Association accessed via: </w:t>
            </w:r>
            <w:hyperlink r:id="rId24" w:history="1">
              <w:r>
                <w:rPr>
                  <w:rStyle w:val="Hyperlink"/>
                  <w:rFonts w:eastAsia="Times New Roman" w:cstheme="minorHAnsi"/>
                  <w:lang w:eastAsia="en-GB"/>
                </w:rPr>
                <w:t>https://www.mndassociation.org/about-mnd/what-is-mnd/basic-facts-about-mnd/</w:t>
              </w:r>
            </w:hyperlink>
            <w:r>
              <w:rPr>
                <w:rFonts w:eastAsia="Times New Roman" w:cstheme="minorHAnsi"/>
                <w:lang w:eastAsia="en-GB"/>
              </w:rPr>
              <w:t xml:space="preserve"> on 12/10/23.</w:t>
            </w:r>
          </w:p>
          <w:p w14:paraId="505E34F3" w14:textId="6BFB66FA" w:rsidR="00747B98" w:rsidRDefault="00747B98" w:rsidP="00747B98">
            <w:pPr>
              <w:pStyle w:val="ListParagraph"/>
              <w:numPr>
                <w:ilvl w:val="0"/>
                <w:numId w:val="49"/>
              </w:numPr>
              <w:rPr>
                <w:rFonts w:eastAsia="Times New Roman" w:cstheme="minorHAnsi"/>
                <w:lang w:eastAsia="en-GB"/>
              </w:rPr>
            </w:pPr>
            <w:r>
              <w:rPr>
                <w:rFonts w:eastAsia="Times New Roman" w:cstheme="minorHAnsi"/>
                <w:lang w:eastAsia="en-GB"/>
              </w:rPr>
              <w:t xml:space="preserve">MND Scotland accessed via </w:t>
            </w:r>
            <w:hyperlink r:id="rId25" w:history="1">
              <w:r>
                <w:rPr>
                  <w:rStyle w:val="Hyperlink"/>
                  <w:rFonts w:eastAsia="Times New Roman" w:cstheme="minorHAnsi"/>
                  <w:lang w:eastAsia="en-GB"/>
                </w:rPr>
                <w:t>https://www.mndscotland.org.uk/</w:t>
              </w:r>
            </w:hyperlink>
            <w:r>
              <w:rPr>
                <w:rFonts w:eastAsia="Times New Roman" w:cstheme="minorHAnsi"/>
                <w:lang w:eastAsia="en-GB"/>
              </w:rPr>
              <w:t xml:space="preserve"> 12/10/23.</w:t>
            </w:r>
          </w:p>
          <w:p w14:paraId="4922359A" w14:textId="76ACC9B3" w:rsidR="00747B98" w:rsidRDefault="00747B98" w:rsidP="00747B98">
            <w:pPr>
              <w:pStyle w:val="ListParagraph"/>
              <w:numPr>
                <w:ilvl w:val="0"/>
                <w:numId w:val="49"/>
              </w:numPr>
              <w:rPr>
                <w:rFonts w:eastAsia="Times New Roman" w:cstheme="minorHAnsi"/>
                <w:lang w:eastAsia="en-GB"/>
              </w:rPr>
            </w:pPr>
            <w:r>
              <w:rPr>
                <w:rFonts w:eastAsia="Times New Roman" w:cstheme="minorHAnsi"/>
                <w:lang w:eastAsia="en-GB"/>
              </w:rPr>
              <w:lastRenderedPageBreak/>
              <w:t xml:space="preserve">British National Formulary. </w:t>
            </w:r>
            <w:proofErr w:type="spellStart"/>
            <w:r>
              <w:rPr>
                <w:rFonts w:eastAsia="Times New Roman" w:cstheme="minorHAnsi"/>
                <w:lang w:eastAsia="en-GB"/>
              </w:rPr>
              <w:t>Riluzole</w:t>
            </w:r>
            <w:proofErr w:type="spellEnd"/>
            <w:r>
              <w:rPr>
                <w:rFonts w:eastAsia="Times New Roman" w:cstheme="minorHAnsi"/>
                <w:lang w:eastAsia="en-GB"/>
              </w:rPr>
              <w:t xml:space="preserve">. Accessed via </w:t>
            </w:r>
            <w:hyperlink r:id="rId26" w:history="1">
              <w:r>
                <w:rPr>
                  <w:rStyle w:val="Hyperlink"/>
                  <w:rFonts w:eastAsia="Times New Roman" w:cstheme="minorHAnsi"/>
                  <w:lang w:eastAsia="en-GB"/>
                </w:rPr>
                <w:t>https://bnf.nice.org.uk/drug/riluzole.html</w:t>
              </w:r>
            </w:hyperlink>
            <w:r>
              <w:t xml:space="preserve"> on 12/10/23.</w:t>
            </w:r>
          </w:p>
          <w:p w14:paraId="406F414B" w14:textId="5DC2D11C" w:rsidR="00747B98" w:rsidRDefault="00747B98" w:rsidP="00747B98">
            <w:pPr>
              <w:pStyle w:val="ListParagraph"/>
              <w:numPr>
                <w:ilvl w:val="0"/>
                <w:numId w:val="49"/>
              </w:numPr>
              <w:rPr>
                <w:rFonts w:eastAsia="Times New Roman" w:cstheme="minorHAnsi"/>
                <w:lang w:eastAsia="en-GB"/>
              </w:rPr>
            </w:pPr>
            <w:r>
              <w:rPr>
                <w:rFonts w:eastAsia="Times New Roman" w:cstheme="minorHAnsi"/>
                <w:lang w:eastAsia="en-GB"/>
              </w:rPr>
              <w:t xml:space="preserve">NICE TA20: Guidance on the use of </w:t>
            </w:r>
            <w:proofErr w:type="spellStart"/>
            <w:r>
              <w:rPr>
                <w:rFonts w:eastAsia="Times New Roman" w:cstheme="minorHAnsi"/>
                <w:lang w:eastAsia="en-GB"/>
              </w:rPr>
              <w:t>Riluzole</w:t>
            </w:r>
            <w:proofErr w:type="spellEnd"/>
            <w:r>
              <w:rPr>
                <w:rFonts w:eastAsia="Times New Roman" w:cstheme="minorHAnsi"/>
                <w:lang w:eastAsia="en-GB"/>
              </w:rPr>
              <w:t xml:space="preserve"> (</w:t>
            </w:r>
            <w:proofErr w:type="spellStart"/>
            <w:r>
              <w:rPr>
                <w:rFonts w:eastAsia="Times New Roman" w:cstheme="minorHAnsi"/>
                <w:lang w:eastAsia="en-GB"/>
              </w:rPr>
              <w:t>Rilutek</w:t>
            </w:r>
            <w:proofErr w:type="spellEnd"/>
            <w:r>
              <w:rPr>
                <w:rFonts w:eastAsia="Times New Roman" w:cstheme="minorHAnsi"/>
                <w:lang w:eastAsia="en-GB"/>
              </w:rPr>
              <w:t xml:space="preserve">) for the treatment of Motor Neurone Disease. January 2001. Accessed via </w:t>
            </w:r>
            <w:hyperlink r:id="rId27" w:history="1">
              <w:r>
                <w:rPr>
                  <w:rStyle w:val="Hyperlink"/>
                  <w:rFonts w:eastAsia="Times New Roman" w:cstheme="minorHAnsi"/>
                  <w:lang w:eastAsia="en-GB"/>
                </w:rPr>
                <w:t>https://www.nice.org.uk/guidance/ta20</w:t>
              </w:r>
            </w:hyperlink>
            <w:r>
              <w:rPr>
                <w:rFonts w:eastAsia="Times New Roman" w:cstheme="minorHAnsi"/>
                <w:lang w:eastAsia="en-GB"/>
              </w:rPr>
              <w:t xml:space="preserve"> on 12/10/23.</w:t>
            </w:r>
          </w:p>
          <w:p w14:paraId="0728A6C0" w14:textId="15DD0D65" w:rsidR="00747B98" w:rsidRDefault="00747B98" w:rsidP="00747B98">
            <w:pPr>
              <w:pStyle w:val="ListParagraph"/>
              <w:numPr>
                <w:ilvl w:val="0"/>
                <w:numId w:val="49"/>
              </w:numPr>
              <w:rPr>
                <w:rFonts w:eastAsia="Times New Roman" w:cstheme="minorHAnsi"/>
                <w:lang w:eastAsia="en-GB"/>
              </w:rPr>
            </w:pPr>
            <w:r>
              <w:rPr>
                <w:rFonts w:eastAsia="Times New Roman" w:cstheme="minorHAnsi"/>
                <w:lang w:eastAsia="en-GB"/>
              </w:rPr>
              <w:t xml:space="preserve">NICE NG42: Motor neurone disease: assessment and management. Last updated July 2019. Accessed via </w:t>
            </w:r>
            <w:hyperlink r:id="rId28" w:history="1">
              <w:r>
                <w:rPr>
                  <w:rStyle w:val="Hyperlink"/>
                  <w:rFonts w:eastAsia="Times New Roman" w:cstheme="minorHAnsi"/>
                  <w:lang w:eastAsia="en-GB"/>
                </w:rPr>
                <w:t>https://www.nice.org.uk/guidance/ng42</w:t>
              </w:r>
            </w:hyperlink>
            <w:r>
              <w:rPr>
                <w:rFonts w:eastAsia="Times New Roman" w:cstheme="minorHAnsi"/>
                <w:lang w:eastAsia="en-GB"/>
              </w:rPr>
              <w:t xml:space="preserve"> on 12/10/23.</w:t>
            </w:r>
          </w:p>
          <w:p w14:paraId="1F328F9D" w14:textId="131042BD" w:rsidR="00747B98" w:rsidRPr="00AF517D" w:rsidRDefault="00747B98" w:rsidP="00747B98">
            <w:pPr>
              <w:pStyle w:val="ListParagraph"/>
              <w:numPr>
                <w:ilvl w:val="0"/>
                <w:numId w:val="49"/>
              </w:numPr>
              <w:rPr>
                <w:rFonts w:eastAsia="Times New Roman" w:cstheme="minorHAnsi"/>
                <w:lang w:eastAsia="en-GB"/>
              </w:rPr>
            </w:pPr>
            <w:proofErr w:type="spellStart"/>
            <w:r>
              <w:rPr>
                <w:rFonts w:eastAsia="Times New Roman" w:cstheme="minorHAnsi"/>
                <w:lang w:eastAsia="en-GB"/>
              </w:rPr>
              <w:t>Riluzole</w:t>
            </w:r>
            <w:proofErr w:type="spellEnd"/>
            <w:r>
              <w:rPr>
                <w:rFonts w:eastAsia="Times New Roman" w:cstheme="minorHAnsi"/>
                <w:lang w:eastAsia="en-GB"/>
              </w:rPr>
              <w:t xml:space="preserve"> 50 mg film coated tablets. Glenmark Pharmaceuticals</w:t>
            </w:r>
            <w:r w:rsidRPr="00AF517D">
              <w:rPr>
                <w:rFonts w:eastAsia="Times New Roman" w:cstheme="minorHAnsi"/>
                <w:lang w:eastAsia="en-GB"/>
              </w:rPr>
              <w:t xml:space="preserve">. Date of revision of the text </w:t>
            </w:r>
            <w:r>
              <w:rPr>
                <w:rFonts w:eastAsia="Times New Roman" w:cstheme="minorHAnsi"/>
                <w:lang w:eastAsia="en-GB"/>
              </w:rPr>
              <w:t>11/01/23</w:t>
            </w:r>
            <w:r w:rsidRPr="00AF517D">
              <w:rPr>
                <w:rFonts w:eastAsia="Times New Roman" w:cstheme="minorHAnsi"/>
                <w:lang w:eastAsia="en-GB"/>
              </w:rPr>
              <w:t xml:space="preserve">. Accessed via </w:t>
            </w:r>
            <w:hyperlink r:id="rId29" w:history="1">
              <w:r w:rsidRPr="00E63777">
                <w:rPr>
                  <w:rStyle w:val="Hyperlink"/>
                  <w:rFonts w:eastAsia="Times New Roman" w:cstheme="minorHAnsi"/>
                  <w:lang w:eastAsia="en-GB"/>
                </w:rPr>
                <w:t>https://www.medicines.org.uk/emc/product/10060/smpc</w:t>
              </w:r>
            </w:hyperlink>
            <w:r w:rsidRPr="00AF517D">
              <w:rPr>
                <w:rFonts w:eastAsia="Times New Roman" w:cstheme="minorHAnsi"/>
                <w:lang w:eastAsia="en-GB"/>
              </w:rPr>
              <w:t xml:space="preserve"> on </w:t>
            </w:r>
            <w:r>
              <w:rPr>
                <w:rFonts w:eastAsia="Times New Roman" w:cstheme="minorHAnsi"/>
                <w:lang w:eastAsia="en-GB"/>
              </w:rPr>
              <w:t>12/10/23.</w:t>
            </w:r>
          </w:p>
          <w:p w14:paraId="5AEE6EFA" w14:textId="77777777" w:rsidR="00747B98" w:rsidRDefault="00747B98" w:rsidP="00747B98">
            <w:pPr>
              <w:pStyle w:val="ListParagraph"/>
              <w:numPr>
                <w:ilvl w:val="0"/>
                <w:numId w:val="49"/>
              </w:numPr>
              <w:rPr>
                <w:rFonts w:eastAsia="Times New Roman" w:cstheme="minorHAnsi"/>
                <w:lang w:eastAsia="en-GB"/>
              </w:rPr>
            </w:pPr>
            <w:proofErr w:type="spellStart"/>
            <w:r>
              <w:rPr>
                <w:rFonts w:eastAsia="Times New Roman" w:cstheme="minorHAnsi"/>
                <w:lang w:eastAsia="en-GB"/>
              </w:rPr>
              <w:t>Riluzole</w:t>
            </w:r>
            <w:proofErr w:type="spellEnd"/>
            <w:r>
              <w:rPr>
                <w:rFonts w:eastAsia="Times New Roman" w:cstheme="minorHAnsi"/>
                <w:lang w:eastAsia="en-GB"/>
              </w:rPr>
              <w:t xml:space="preserve"> 50 mg film-coated tablets (Ranbaxy UK Ltd). Date of revision of the text 15/02/2018. Accessed via </w:t>
            </w:r>
            <w:hyperlink r:id="rId30" w:history="1">
              <w:r>
                <w:rPr>
                  <w:rStyle w:val="Hyperlink"/>
                  <w:rFonts w:eastAsia="Times New Roman" w:cstheme="minorHAnsi"/>
                  <w:lang w:eastAsia="en-GB"/>
                </w:rPr>
                <w:t>https://www.medicines.org.uk/emc/product/5185/smpc</w:t>
              </w:r>
            </w:hyperlink>
            <w:r w:rsidRPr="00AF517D">
              <w:rPr>
                <w:rStyle w:val="Hyperlink"/>
                <w:rFonts w:eastAsia="Times New Roman" w:cstheme="minorHAnsi"/>
                <w:color w:val="000000"/>
                <w:u w:val="none"/>
                <w:lang w:eastAsia="en-GB"/>
              </w:rPr>
              <w:t xml:space="preserve"> on 21/05/21</w:t>
            </w:r>
            <w:r>
              <w:rPr>
                <w:rStyle w:val="Hyperlink"/>
                <w:rFonts w:eastAsia="Times New Roman" w:cstheme="minorHAnsi"/>
                <w:color w:val="000000"/>
                <w:u w:val="none"/>
                <w:lang w:eastAsia="en-GB"/>
              </w:rPr>
              <w:t>.</w:t>
            </w:r>
          </w:p>
          <w:p w14:paraId="7421C2C5" w14:textId="37206B22" w:rsidR="00747B98" w:rsidRDefault="00747B98" w:rsidP="00747B98">
            <w:pPr>
              <w:pStyle w:val="ListParagraph"/>
              <w:numPr>
                <w:ilvl w:val="0"/>
                <w:numId w:val="49"/>
              </w:numPr>
              <w:rPr>
                <w:rFonts w:eastAsia="Times New Roman" w:cstheme="minorHAnsi"/>
                <w:color w:val="000000"/>
                <w:lang w:eastAsia="en-GB"/>
              </w:rPr>
            </w:pPr>
            <w:proofErr w:type="spellStart"/>
            <w:r>
              <w:rPr>
                <w:rFonts w:eastAsia="Times New Roman" w:cstheme="minorHAnsi"/>
                <w:lang w:eastAsia="en-GB"/>
              </w:rPr>
              <w:t>Teglutik</w:t>
            </w:r>
            <w:proofErr w:type="spellEnd"/>
            <w:r>
              <w:rPr>
                <w:rFonts w:eastAsia="Times New Roman" w:cstheme="minorHAnsi"/>
                <w:lang w:eastAsia="en-GB"/>
              </w:rPr>
              <w:t xml:space="preserve"> 5 mg/ml oral suspension. Martindale Pharma. Date of revision of the text 10/11/2019. Accessed via </w:t>
            </w:r>
            <w:hyperlink r:id="rId31" w:history="1">
              <w:r>
                <w:rPr>
                  <w:rStyle w:val="Hyperlink"/>
                  <w:rFonts w:eastAsia="Times New Roman" w:cstheme="minorHAnsi"/>
                  <w:lang w:eastAsia="en-GB"/>
                </w:rPr>
                <w:t>https://www.medicines.org.uk/emc/product/5060/smpc</w:t>
              </w:r>
            </w:hyperlink>
            <w:r w:rsidRPr="00AF517D">
              <w:rPr>
                <w:rStyle w:val="Hyperlink"/>
                <w:rFonts w:eastAsia="Times New Roman" w:cstheme="minorHAnsi"/>
                <w:color w:val="000000"/>
                <w:u w:val="none"/>
                <w:lang w:eastAsia="en-GB"/>
              </w:rPr>
              <w:t xml:space="preserve"> on </w:t>
            </w:r>
            <w:r>
              <w:rPr>
                <w:rStyle w:val="Hyperlink"/>
                <w:rFonts w:eastAsia="Times New Roman" w:cstheme="minorHAnsi"/>
                <w:color w:val="000000"/>
                <w:u w:val="none"/>
                <w:lang w:eastAsia="en-GB"/>
              </w:rPr>
              <w:t>12/10/23.</w:t>
            </w:r>
          </w:p>
          <w:p w14:paraId="4E39EACA" w14:textId="77777777" w:rsidR="00747B98" w:rsidRDefault="00747B98" w:rsidP="00747B98">
            <w:pPr>
              <w:pStyle w:val="ListParagraph"/>
              <w:numPr>
                <w:ilvl w:val="0"/>
                <w:numId w:val="49"/>
              </w:numPr>
              <w:rPr>
                <w:rFonts w:eastAsia="Times New Roman" w:cstheme="minorHAnsi"/>
                <w:lang w:eastAsia="en-GB"/>
              </w:rPr>
            </w:pPr>
            <w:proofErr w:type="spellStart"/>
            <w:r>
              <w:rPr>
                <w:rFonts w:eastAsia="Times New Roman" w:cstheme="minorHAnsi"/>
                <w:lang w:eastAsia="en-GB"/>
              </w:rPr>
              <w:t>Emylif</w:t>
            </w:r>
            <w:proofErr w:type="spellEnd"/>
            <w:r>
              <w:rPr>
                <w:rFonts w:eastAsia="Times New Roman" w:cstheme="minorHAnsi"/>
                <w:lang w:eastAsia="en-GB"/>
              </w:rPr>
              <w:t xml:space="preserve"> 50 mg </w:t>
            </w:r>
            <w:proofErr w:type="spellStart"/>
            <w:r>
              <w:rPr>
                <w:rFonts w:eastAsia="Times New Roman" w:cstheme="minorHAnsi"/>
                <w:lang w:eastAsia="en-GB"/>
              </w:rPr>
              <w:t>orodispersible</w:t>
            </w:r>
            <w:proofErr w:type="spellEnd"/>
            <w:r>
              <w:rPr>
                <w:rFonts w:eastAsia="Times New Roman" w:cstheme="minorHAnsi"/>
                <w:lang w:eastAsia="en-GB"/>
              </w:rPr>
              <w:t xml:space="preserve"> film. Zambon UK. Date of revision of the text April 2023. Accessed via </w:t>
            </w:r>
            <w:hyperlink r:id="rId32" w:history="1">
              <w:r w:rsidRPr="00FE063B">
                <w:rPr>
                  <w:rStyle w:val="Hyperlink"/>
                  <w:rFonts w:eastAsia="Times New Roman" w:cstheme="minorHAnsi"/>
                  <w:lang w:eastAsia="en-GB"/>
                </w:rPr>
                <w:t>https://www.medicines.org.uk/emc/product/14754/smpc</w:t>
              </w:r>
            </w:hyperlink>
            <w:r>
              <w:rPr>
                <w:rFonts w:eastAsia="Times New Roman" w:cstheme="minorHAnsi"/>
                <w:lang w:eastAsia="en-GB"/>
              </w:rPr>
              <w:t xml:space="preserve"> on 12/10/23.</w:t>
            </w:r>
          </w:p>
          <w:p w14:paraId="1EF11E87" w14:textId="271A94EC" w:rsidR="00747B98" w:rsidRDefault="00747B98" w:rsidP="00747B98">
            <w:pPr>
              <w:pStyle w:val="ListParagraph"/>
              <w:numPr>
                <w:ilvl w:val="0"/>
                <w:numId w:val="49"/>
              </w:numPr>
              <w:rPr>
                <w:rFonts w:eastAsia="Times New Roman" w:cstheme="minorHAnsi"/>
                <w:lang w:eastAsia="en-GB"/>
              </w:rPr>
            </w:pPr>
            <w:r>
              <w:rPr>
                <w:rFonts w:eastAsia="Times New Roman" w:cstheme="minorHAnsi"/>
                <w:lang w:eastAsia="en-GB"/>
              </w:rPr>
              <w:t xml:space="preserve">Handbook of Drug Administration via Enteral Feeding Tubes.  Riluzole. Last updated 10/10/23. Accessed via </w:t>
            </w:r>
            <w:hyperlink r:id="rId33" w:anchor="/content/tubes/c330" w:history="1">
              <w:r>
                <w:rPr>
                  <w:rStyle w:val="Hyperlink"/>
                  <w:rFonts w:eastAsia="Times New Roman" w:cstheme="minorHAnsi"/>
                  <w:lang w:eastAsia="en-GB"/>
                </w:rPr>
                <w:t>https://www.medicinescomplete.com/#/content/tubes/c330</w:t>
              </w:r>
            </w:hyperlink>
            <w:r>
              <w:rPr>
                <w:rFonts w:eastAsia="Times New Roman" w:cstheme="minorHAnsi"/>
                <w:lang w:eastAsia="en-GB"/>
              </w:rPr>
              <w:t xml:space="preserve"> on 12/10/23. </w:t>
            </w:r>
          </w:p>
          <w:p w14:paraId="232CDE09" w14:textId="41CFF02F" w:rsidR="00747B98" w:rsidRDefault="00747B98" w:rsidP="00747B98">
            <w:pPr>
              <w:pStyle w:val="ListParagraph"/>
              <w:numPr>
                <w:ilvl w:val="0"/>
                <w:numId w:val="49"/>
              </w:numPr>
              <w:rPr>
                <w:rFonts w:eastAsia="Times New Roman" w:cstheme="minorHAnsi"/>
                <w:lang w:eastAsia="en-GB"/>
              </w:rPr>
            </w:pPr>
            <w:r>
              <w:rPr>
                <w:rFonts w:eastAsia="Times New Roman" w:cstheme="minorHAnsi"/>
                <w:lang w:eastAsia="en-GB"/>
              </w:rPr>
              <w:t xml:space="preserve">NEWT Guidelines. Riluzole. Last updated October 2020. Accessed via </w:t>
            </w:r>
            <w:hyperlink r:id="rId34" w:history="1">
              <w:r>
                <w:rPr>
                  <w:rStyle w:val="Hyperlink"/>
                  <w:rFonts w:eastAsia="Times New Roman" w:cstheme="minorHAnsi"/>
                  <w:lang w:eastAsia="en-GB"/>
                </w:rPr>
                <w:t>https://access.newtguidelines.com/R/Riluzole.html</w:t>
              </w:r>
            </w:hyperlink>
            <w:r>
              <w:rPr>
                <w:rFonts w:eastAsia="Times New Roman" w:cstheme="minorHAnsi"/>
                <w:color w:val="000000"/>
                <w:lang w:eastAsia="en-GB"/>
              </w:rPr>
              <w:t xml:space="preserve"> on 12/10/23.</w:t>
            </w:r>
          </w:p>
          <w:p w14:paraId="0B4ED391" w14:textId="613E1BBB" w:rsidR="00747B98" w:rsidRPr="00727416" w:rsidRDefault="00747B98" w:rsidP="00747B98">
            <w:pPr>
              <w:pStyle w:val="ListParagraph"/>
              <w:numPr>
                <w:ilvl w:val="0"/>
                <w:numId w:val="49"/>
              </w:numPr>
              <w:rPr>
                <w:rFonts w:cs="Arial"/>
              </w:rPr>
            </w:pPr>
            <w:r>
              <w:rPr>
                <w:rFonts w:eastAsia="Times New Roman" w:cstheme="minorHAnsi"/>
                <w:lang w:eastAsia="en-GB"/>
              </w:rPr>
              <w:t xml:space="preserve">Specialist Pharmacy Service. Riluzole Lactation Safety Information. Last updated 3 August 2020. Accessed via </w:t>
            </w:r>
            <w:hyperlink r:id="rId35" w:history="1">
              <w:r>
                <w:rPr>
                  <w:rStyle w:val="Hyperlink"/>
                  <w:rFonts w:eastAsia="Times New Roman" w:cstheme="minorHAnsi"/>
                  <w:lang w:eastAsia="en-GB"/>
                </w:rPr>
                <w:t>https://www.sps.nhs.uk/medicines/riluzole/</w:t>
              </w:r>
            </w:hyperlink>
            <w:r>
              <w:rPr>
                <w:rFonts w:eastAsia="Times New Roman" w:cstheme="minorHAnsi"/>
                <w:lang w:eastAsia="en-GB"/>
              </w:rPr>
              <w:t xml:space="preserve"> on 12/10/23.</w:t>
            </w:r>
          </w:p>
          <w:p w14:paraId="691F28DD" w14:textId="43F52561" w:rsidR="00747B98" w:rsidRPr="00F13329" w:rsidRDefault="00747B98" w:rsidP="00F13329">
            <w:pPr>
              <w:pStyle w:val="ListParagraph"/>
              <w:numPr>
                <w:ilvl w:val="0"/>
                <w:numId w:val="49"/>
              </w:numPr>
              <w:rPr>
                <w:rFonts w:cs="Arial"/>
              </w:rPr>
            </w:pPr>
            <w:r w:rsidRPr="00F13329">
              <w:rPr>
                <w:rFonts w:eastAsia="Times New Roman" w:cstheme="minorHAnsi"/>
                <w:lang w:eastAsia="en-GB"/>
              </w:rPr>
              <w:t xml:space="preserve">NICE Clinical Knowledge Summaries. Neutropenic sepsis: management. Last revised March 2020. Accessed via </w:t>
            </w:r>
            <w:hyperlink r:id="rId36" w:history="1">
              <w:r w:rsidRPr="00F13329">
                <w:rPr>
                  <w:rStyle w:val="Hyperlink"/>
                  <w:rFonts w:eastAsia="Times New Roman" w:cstheme="minorHAnsi"/>
                  <w:lang w:eastAsia="en-GB"/>
                </w:rPr>
                <w:t>https://cks.nice.org.uk/topics/neutropenic-sepsis/management/management/</w:t>
              </w:r>
            </w:hyperlink>
            <w:r w:rsidRPr="00F13329">
              <w:rPr>
                <w:rFonts w:eastAsia="Times New Roman" w:cstheme="minorHAnsi"/>
                <w:lang w:eastAsia="en-GB"/>
              </w:rPr>
              <w:t xml:space="preserve"> on 12/10/23.</w:t>
            </w:r>
          </w:p>
        </w:tc>
      </w:tr>
      <w:tr w:rsidR="00767B99" w:rsidRPr="00F321FC" w14:paraId="5BFC9044" w14:textId="77777777" w:rsidTr="00747B98">
        <w:tc>
          <w:tcPr>
            <w:tcW w:w="2410" w:type="dxa"/>
          </w:tcPr>
          <w:p w14:paraId="2578110D" w14:textId="586DDC3D" w:rsidR="00767B99" w:rsidRPr="00F321FC" w:rsidRDefault="00767B99" w:rsidP="00767B99">
            <w:pPr>
              <w:pStyle w:val="Heading2"/>
              <w:rPr>
                <w:rFonts w:cs="Arial"/>
              </w:rPr>
            </w:pPr>
            <w:bookmarkStart w:id="28" w:name="sixteen_read_with"/>
            <w:bookmarkStart w:id="29" w:name="_Toc149231800"/>
            <w:r w:rsidRPr="00F321FC">
              <w:rPr>
                <w:rFonts w:cs="Arial"/>
              </w:rPr>
              <w:lastRenderedPageBreak/>
              <w:t>To be read in conjunction with the following documents</w:t>
            </w:r>
            <w:bookmarkEnd w:id="28"/>
            <w:bookmarkEnd w:id="29"/>
          </w:p>
        </w:tc>
        <w:tc>
          <w:tcPr>
            <w:tcW w:w="8051" w:type="dxa"/>
          </w:tcPr>
          <w:p w14:paraId="1D359FBA" w14:textId="49CA6C13"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Shared Care for Medicines Guidance – A Standard Approach (RMOC). Available from </w:t>
            </w:r>
            <w:hyperlink r:id="rId37" w:history="1">
              <w:r w:rsidR="009D341E" w:rsidRPr="0099711D">
                <w:rPr>
                  <w:rStyle w:val="Hyperlink"/>
                </w:rPr>
                <w:t>https://www.medicinesresources.nhs.uk/shared-care-for-medicines-guidance-a-standard-approach-rmoc.html</w:t>
              </w:r>
            </w:hyperlink>
            <w:r w:rsidRPr="00FB404F">
              <w:rPr>
                <w:rFonts w:eastAsia="Times New Roman" w:cs="Arial"/>
                <w:lang w:eastAsia="en-GB"/>
              </w:rPr>
              <w:t xml:space="preserve"> </w:t>
            </w:r>
          </w:p>
          <w:p w14:paraId="2D3D56F2" w14:textId="77777777"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NHSE guidance – </w:t>
            </w:r>
            <w:r w:rsidRPr="00FB404F">
              <w:rPr>
                <w:rFonts w:cs="Arial"/>
              </w:rPr>
              <w:t xml:space="preserve">Responsibility for prescribing between primary &amp; secondary/tertiary care. Available from </w:t>
            </w:r>
            <w:hyperlink r:id="rId38" w:history="1">
              <w:r w:rsidRPr="00FB404F">
                <w:rPr>
                  <w:rStyle w:val="Hyperlink"/>
                  <w:rFonts w:cs="Arial"/>
                </w:rPr>
                <w:t>https://www.england.nhs.uk/publication/responsibility-for-prescribing-between-primary-and-secondary-tertiary-care/</w:t>
              </w:r>
            </w:hyperlink>
            <w:r w:rsidRPr="00FB404F">
              <w:rPr>
                <w:rFonts w:cs="Arial"/>
              </w:rPr>
              <w:t xml:space="preserve"> </w:t>
            </w:r>
          </w:p>
          <w:p w14:paraId="253D5A7B" w14:textId="77777777"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General Medical Council. Good practice in prescribing and managing medicines and devices. Shared care. Available from </w:t>
            </w:r>
            <w:hyperlink r:id="rId39" w:history="1">
              <w:r w:rsidRPr="00FB404F">
                <w:rPr>
                  <w:rStyle w:val="Hyperlink"/>
                  <w:rFonts w:eastAsia="Times New Roman" w:cs="Arial"/>
                  <w:lang w:eastAsia="en-GB"/>
                </w:rPr>
                <w:t>https://www.gmc-uk.org/ethical-guidance/ethical-guidance-for-doctors/good-practice-in-prescribing-and-managing-medicines-and-devices/shared-care</w:t>
              </w:r>
            </w:hyperlink>
            <w:r w:rsidRPr="00FB404F">
              <w:rPr>
                <w:rFonts w:eastAsia="Times New Roman" w:cs="Arial"/>
                <w:lang w:eastAsia="en-GB"/>
              </w:rPr>
              <w:t xml:space="preserve"> </w:t>
            </w:r>
          </w:p>
          <w:p w14:paraId="0A32DAB2" w14:textId="781DB999" w:rsidR="00767B99" w:rsidRPr="00FB404F" w:rsidRDefault="00FB404F" w:rsidP="00FB404F">
            <w:pPr>
              <w:pStyle w:val="References"/>
              <w:spacing w:after="60"/>
              <w:rPr>
                <w:rFonts w:cs="Arial"/>
              </w:rPr>
            </w:pPr>
            <w:r w:rsidRPr="00FB404F">
              <w:rPr>
                <w:rFonts w:eastAsia="Times New Roman" w:cs="Arial"/>
                <w:lang w:eastAsia="en-GB"/>
              </w:rPr>
              <w:t xml:space="preserve">NICE NG197: Shared decision making. Last updated June 2021. </w:t>
            </w:r>
            <w:hyperlink r:id="rId40" w:history="1">
              <w:r w:rsidRPr="00FB404F">
                <w:rPr>
                  <w:rStyle w:val="Hyperlink"/>
                  <w:rFonts w:eastAsia="Times New Roman" w:cs="Arial"/>
                  <w:lang w:eastAsia="en-GB"/>
                </w:rPr>
                <w:t>https://www.nice.org.uk/guidance/ng197/</w:t>
              </w:r>
            </w:hyperlink>
            <w:r w:rsidRPr="00FB404F">
              <w:rPr>
                <w:rFonts w:eastAsia="Times New Roman" w:cs="Arial"/>
                <w:lang w:eastAsia="en-GB"/>
              </w:rPr>
              <w:t>.</w:t>
            </w:r>
          </w:p>
        </w:tc>
      </w:tr>
    </w:tbl>
    <w:p w14:paraId="542C2C02" w14:textId="77777777" w:rsidR="00854C79" w:rsidRPr="00C72861" w:rsidRDefault="00854C79" w:rsidP="00C72861"/>
    <w:p w14:paraId="3B0B1FF8" w14:textId="39911C27" w:rsidR="003552BC" w:rsidRDefault="003552BC" w:rsidP="00F34C5E"/>
    <w:sectPr w:rsidR="003552BC" w:rsidSect="00BF1406">
      <w:footerReference w:type="default" r:id="rId41"/>
      <w:headerReference w:type="first" r:id="rId42"/>
      <w:pgSz w:w="11906" w:h="16838"/>
      <w:pgMar w:top="851" w:right="720" w:bottom="1135"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F97C6" w14:textId="77777777" w:rsidR="0030784A" w:rsidRDefault="0030784A" w:rsidP="00E83C66">
      <w:pPr>
        <w:spacing w:after="0" w:line="240" w:lineRule="auto"/>
      </w:pPr>
      <w:r>
        <w:separator/>
      </w:r>
    </w:p>
  </w:endnote>
  <w:endnote w:type="continuationSeparator" w:id="0">
    <w:p w14:paraId="09695868" w14:textId="77777777" w:rsidR="0030784A" w:rsidRDefault="0030784A" w:rsidP="00E83C66">
      <w:pPr>
        <w:spacing w:after="0" w:line="240" w:lineRule="auto"/>
      </w:pPr>
      <w:r>
        <w:continuationSeparator/>
      </w:r>
    </w:p>
  </w:endnote>
  <w:endnote w:type="continuationNotice" w:id="1">
    <w:p w14:paraId="789F359F" w14:textId="77777777" w:rsidR="0030784A" w:rsidRDefault="003078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691E" w14:textId="0936EC9B" w:rsidR="00747B98" w:rsidRPr="00003E35" w:rsidRDefault="00747B98" w:rsidP="00747B98">
    <w:pPr>
      <w:pStyle w:val="Footer"/>
    </w:pPr>
    <w:r w:rsidRPr="00003E35">
      <w:t xml:space="preserve">Shared care protocol: </w:t>
    </w:r>
    <w:proofErr w:type="spellStart"/>
    <w:r>
      <w:t>riluzole</w:t>
    </w:r>
    <w:proofErr w:type="spellEnd"/>
    <w:r w:rsidRPr="00003E35">
      <w:t xml:space="preserve"> in adults </w:t>
    </w:r>
    <w:r w:rsidRPr="00003E35">
      <w:tab/>
    </w:r>
    <w:r w:rsidRPr="00003E35">
      <w:tab/>
    </w:r>
    <w:r w:rsidR="00C64218">
      <w:t>HNY</w:t>
    </w:r>
    <w:r>
      <w:t xml:space="preserve"> </w:t>
    </w:r>
    <w:r w:rsidR="00AF517D">
      <w:t>v1.0</w:t>
    </w:r>
  </w:p>
  <w:p w14:paraId="3A0460E4" w14:textId="4B0924D1" w:rsidR="00747B98" w:rsidRDefault="00747B98" w:rsidP="00747B98">
    <w:pPr>
      <w:pStyle w:val="Footer"/>
    </w:pPr>
    <w:r w:rsidRPr="00003E35">
      <w:t xml:space="preserve">Clinical content reviewed by RDTC: </w:t>
    </w:r>
    <w:r>
      <w:t>26th October 2023</w:t>
    </w:r>
    <w:r w:rsidRPr="00003E35">
      <w:tab/>
    </w:r>
    <w:r w:rsidR="00360455">
      <w:t xml:space="preserve">                               </w:t>
    </w:r>
    <w:r w:rsidRPr="00003E35">
      <w:t xml:space="preserve">Approved by </w:t>
    </w:r>
    <w:r w:rsidR="00EC7E92">
      <w:t>HNY</w:t>
    </w:r>
    <w:r w:rsidR="00EC7E92" w:rsidRPr="00003E35">
      <w:t xml:space="preserve"> </w:t>
    </w:r>
    <w:r w:rsidRPr="00003E35">
      <w:t xml:space="preserve">ICB: </w:t>
    </w:r>
    <w:r w:rsidR="00360455">
      <w:t>02/04/2025</w:t>
    </w:r>
  </w:p>
  <w:p w14:paraId="5505DF1F" w14:textId="77777777" w:rsidR="00747B98" w:rsidRPr="00747B98" w:rsidRDefault="00747B98" w:rsidP="00747B98">
    <w:pPr>
      <w:pStyle w:val="Footer"/>
      <w:jc w:val="right"/>
    </w:pPr>
    <w:r w:rsidRPr="00747B98">
      <w:t xml:space="preserve">Page </w:t>
    </w:r>
    <w:r w:rsidRPr="00747B98">
      <w:fldChar w:fldCharType="begin"/>
    </w:r>
    <w:r w:rsidRPr="00747B98">
      <w:instrText xml:space="preserve"> PAGE  \* Arabic  \* MERGEFORMAT </w:instrText>
    </w:r>
    <w:r w:rsidRPr="00747B98">
      <w:fldChar w:fldCharType="separate"/>
    </w:r>
    <w:r w:rsidRPr="00747B98">
      <w:t>5</w:t>
    </w:r>
    <w:r w:rsidRPr="00747B98">
      <w:fldChar w:fldCharType="end"/>
    </w:r>
    <w:r w:rsidRPr="00747B98">
      <w:t xml:space="preserve"> of </w:t>
    </w:r>
    <w:fldSimple w:instr=" NUMPAGES  \* Arabic  \* MERGEFORMAT ">
      <w:r w:rsidRPr="00747B98">
        <w:t>8</w:t>
      </w:r>
    </w:fldSimple>
  </w:p>
  <w:p w14:paraId="6053BF00" w14:textId="4DF6A84D" w:rsidR="0092446D" w:rsidRPr="00747B98" w:rsidRDefault="0092446D" w:rsidP="00747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00CA8" w14:textId="77777777" w:rsidR="0030784A" w:rsidRDefault="0030784A" w:rsidP="00E83C66">
      <w:pPr>
        <w:spacing w:after="0" w:line="240" w:lineRule="auto"/>
      </w:pPr>
      <w:r>
        <w:separator/>
      </w:r>
    </w:p>
  </w:footnote>
  <w:footnote w:type="continuationSeparator" w:id="0">
    <w:p w14:paraId="357A238C" w14:textId="77777777" w:rsidR="0030784A" w:rsidRDefault="0030784A" w:rsidP="00E83C66">
      <w:pPr>
        <w:spacing w:after="0" w:line="240" w:lineRule="auto"/>
      </w:pPr>
      <w:r>
        <w:continuationSeparator/>
      </w:r>
    </w:p>
  </w:footnote>
  <w:footnote w:type="continuationNotice" w:id="1">
    <w:p w14:paraId="3F86DC24" w14:textId="77777777" w:rsidR="0030784A" w:rsidRDefault="0030784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1D332" w14:textId="07F7EBC7" w:rsidR="00415BF0" w:rsidRDefault="00415BF0" w:rsidP="003C21D1">
    <w:pPr>
      <w:pStyle w:val="Header"/>
      <w:spacing w:after="0"/>
      <w:rPr>
        <w:b/>
        <w:bCs/>
      </w:rPr>
    </w:pPr>
    <w:r w:rsidRPr="00EC13F4">
      <w:rPr>
        <w:noProof/>
        <w:lang w:eastAsia="en-GB"/>
      </w:rPr>
      <w:drawing>
        <wp:anchor distT="0" distB="0" distL="114300" distR="114300" simplePos="0" relativeHeight="251659264" behindDoc="1" locked="0" layoutInCell="1" allowOverlap="1" wp14:anchorId="3572E1F1" wp14:editId="4D1CEB36">
          <wp:simplePos x="0" y="0"/>
          <wp:positionH relativeFrom="margin">
            <wp:align>left</wp:align>
          </wp:positionH>
          <wp:positionV relativeFrom="paragraph">
            <wp:posOffset>-86360</wp:posOffset>
          </wp:positionV>
          <wp:extent cx="2209800" cy="466725"/>
          <wp:effectExtent l="0" t="0" r="0" b="9525"/>
          <wp:wrapTight wrapText="bothSides">
            <wp:wrapPolygon edited="0">
              <wp:start x="0" y="0"/>
              <wp:lineTo x="0" y="21159"/>
              <wp:lineTo x="21414" y="21159"/>
              <wp:lineTo x="21414" y="0"/>
              <wp:lineTo x="0" y="0"/>
            </wp:wrapPolygon>
          </wp:wrapTight>
          <wp:docPr id="21" name="Picture 2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1">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13F4">
      <w:rPr>
        <w:noProof/>
        <w:lang w:eastAsia="en-GB"/>
      </w:rPr>
      <w:drawing>
        <wp:anchor distT="0" distB="0" distL="114300" distR="114300" simplePos="0" relativeHeight="251661312" behindDoc="1" locked="0" layoutInCell="1" allowOverlap="1" wp14:anchorId="7F50194D" wp14:editId="3B8CBE49">
          <wp:simplePos x="0" y="0"/>
          <wp:positionH relativeFrom="margin">
            <wp:align>right</wp:align>
          </wp:positionH>
          <wp:positionV relativeFrom="paragraph">
            <wp:posOffset>-95885</wp:posOffset>
          </wp:positionV>
          <wp:extent cx="1259840" cy="766445"/>
          <wp:effectExtent l="0" t="0" r="0" b="0"/>
          <wp:wrapTight wrapText="bothSides">
            <wp:wrapPolygon edited="0">
              <wp:start x="0" y="0"/>
              <wp:lineTo x="0" y="20938"/>
              <wp:lineTo x="21230" y="20938"/>
              <wp:lineTo x="21230" y="0"/>
              <wp:lineTo x="0" y="0"/>
            </wp:wrapPolygon>
          </wp:wrapTight>
          <wp:docPr id="18" name="Picture 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003C21D1">
      <w:rPr>
        <w:b/>
        <w:bCs/>
      </w:rPr>
      <w:tab/>
    </w:r>
  </w:p>
  <w:p w14:paraId="70A01373" w14:textId="77777777" w:rsidR="00415BF0" w:rsidRDefault="00415BF0" w:rsidP="003C21D1">
    <w:pPr>
      <w:pStyle w:val="Header"/>
      <w:spacing w:after="0"/>
      <w:rPr>
        <w:b/>
        <w:bCs/>
      </w:rPr>
    </w:pPr>
  </w:p>
  <w:p w14:paraId="6EEAAA03" w14:textId="77777777" w:rsidR="00415BF0" w:rsidRDefault="00415BF0" w:rsidP="00415BF0">
    <w:pPr>
      <w:pStyle w:val="Header"/>
      <w:spacing w:after="0"/>
      <w:jc w:val="right"/>
      <w:rPr>
        <w:rStyle w:val="Heading1Char"/>
      </w:rPr>
    </w:pPr>
  </w:p>
  <w:p w14:paraId="034ABC3F" w14:textId="6286F826" w:rsidR="00CB6622" w:rsidRPr="003C21D1" w:rsidRDefault="003C21D1" w:rsidP="005152C4">
    <w:pPr>
      <w:pStyle w:val="Header"/>
      <w:spacing w:after="0"/>
      <w:jc w:val="right"/>
    </w:pPr>
    <w:r w:rsidRPr="001179FD">
      <w:rPr>
        <w:rStyle w:val="Heading1Char"/>
      </w:rPr>
      <w:t>Shared care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5CE7"/>
    <w:multiLevelType w:val="hybridMultilevel"/>
    <w:tmpl w:val="914692A0"/>
    <w:lvl w:ilvl="0" w:tplc="08090005">
      <w:start w:val="1"/>
      <w:numFmt w:val="bullet"/>
      <w:lvlText w:val=""/>
      <w:lvlJc w:val="left"/>
      <w:pPr>
        <w:ind w:left="2520" w:hanging="360"/>
      </w:pPr>
      <w:rPr>
        <w:rFonts w:ascii="Wingdings" w:hAnsi="Wingdings"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5AF464B"/>
    <w:multiLevelType w:val="hybridMultilevel"/>
    <w:tmpl w:val="51988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44F35"/>
    <w:multiLevelType w:val="hybridMultilevel"/>
    <w:tmpl w:val="B81C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D73EDF"/>
    <w:multiLevelType w:val="hybridMultilevel"/>
    <w:tmpl w:val="815C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23841"/>
    <w:multiLevelType w:val="hybridMultilevel"/>
    <w:tmpl w:val="67CEB5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E045B69"/>
    <w:multiLevelType w:val="hybridMultilevel"/>
    <w:tmpl w:val="367695B0"/>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E60A6"/>
    <w:multiLevelType w:val="hybridMultilevel"/>
    <w:tmpl w:val="0CCEB13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A3C92"/>
    <w:multiLevelType w:val="hybridMultilevel"/>
    <w:tmpl w:val="04A474C8"/>
    <w:lvl w:ilvl="0" w:tplc="E626FE08">
      <w:start w:val="1"/>
      <w:numFmt w:val="bullet"/>
      <w:lvlText w:val=""/>
      <w:lvlJc w:val="left"/>
      <w:pPr>
        <w:ind w:left="644"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84DC7B7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E6097"/>
    <w:multiLevelType w:val="hybridMultilevel"/>
    <w:tmpl w:val="4EB6247A"/>
    <w:lvl w:ilvl="0" w:tplc="AB30C4F2">
      <w:numFmt w:val="bullet"/>
      <w:lvlText w:val="•"/>
      <w:lvlJc w:val="left"/>
      <w:pPr>
        <w:ind w:left="720" w:hanging="360"/>
      </w:pPr>
      <w:rPr>
        <w:rFonts w:ascii="Arial" w:eastAsiaTheme="minorHAnsi" w:hAnsi="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61B41"/>
    <w:multiLevelType w:val="hybridMultilevel"/>
    <w:tmpl w:val="48043C8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18C150C1"/>
    <w:multiLevelType w:val="hybridMultilevel"/>
    <w:tmpl w:val="A964E8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470498"/>
    <w:multiLevelType w:val="hybridMultilevel"/>
    <w:tmpl w:val="EE6C3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E45147"/>
    <w:multiLevelType w:val="hybridMultilevel"/>
    <w:tmpl w:val="A1F23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584CB4"/>
    <w:multiLevelType w:val="hybridMultilevel"/>
    <w:tmpl w:val="95F0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941E9E"/>
    <w:multiLevelType w:val="hybridMultilevel"/>
    <w:tmpl w:val="BF3CFC7A"/>
    <w:lvl w:ilvl="0" w:tplc="F940AB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6C2BE0"/>
    <w:multiLevelType w:val="hybridMultilevel"/>
    <w:tmpl w:val="D46CD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145B37"/>
    <w:multiLevelType w:val="hybridMultilevel"/>
    <w:tmpl w:val="3CD4E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257E31"/>
    <w:multiLevelType w:val="hybridMultilevel"/>
    <w:tmpl w:val="E5822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4A2877"/>
    <w:multiLevelType w:val="hybridMultilevel"/>
    <w:tmpl w:val="979241D0"/>
    <w:lvl w:ilvl="0" w:tplc="9FB8E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C73F66"/>
    <w:multiLevelType w:val="hybridMultilevel"/>
    <w:tmpl w:val="E4449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935B69"/>
    <w:multiLevelType w:val="hybridMultilevel"/>
    <w:tmpl w:val="2C646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DE25A1"/>
    <w:multiLevelType w:val="hybridMultilevel"/>
    <w:tmpl w:val="44083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740185"/>
    <w:multiLevelType w:val="hybridMultilevel"/>
    <w:tmpl w:val="508C74FE"/>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 w15:restartNumberingAfterBreak="0">
    <w:nsid w:val="47EE2D6B"/>
    <w:multiLevelType w:val="hybridMultilevel"/>
    <w:tmpl w:val="4E8CC78E"/>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D83B6D"/>
    <w:multiLevelType w:val="hybridMultilevel"/>
    <w:tmpl w:val="E9D67A8E"/>
    <w:lvl w:ilvl="0" w:tplc="5A12B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B069E9"/>
    <w:multiLevelType w:val="hybridMultilevel"/>
    <w:tmpl w:val="97369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477811"/>
    <w:multiLevelType w:val="hybridMultilevel"/>
    <w:tmpl w:val="F17849AE"/>
    <w:lvl w:ilvl="0" w:tplc="2ECC90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1B01E5E"/>
    <w:multiLevelType w:val="hybridMultilevel"/>
    <w:tmpl w:val="7AC09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4A7FE9"/>
    <w:multiLevelType w:val="hybridMultilevel"/>
    <w:tmpl w:val="B31E1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6440DA"/>
    <w:multiLevelType w:val="hybridMultilevel"/>
    <w:tmpl w:val="5ACA7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DB005A"/>
    <w:multiLevelType w:val="hybridMultilevel"/>
    <w:tmpl w:val="770C6174"/>
    <w:lvl w:ilvl="0" w:tplc="AB30C4F2">
      <w:numFmt w:val="bullet"/>
      <w:lvlText w:val="•"/>
      <w:lvlJc w:val="left"/>
      <w:pPr>
        <w:ind w:left="1080" w:hanging="360"/>
      </w:pPr>
      <w:rPr>
        <w:rFonts w:ascii="Arial" w:eastAsiaTheme="minorHAnsi" w:hAnsi="Arial" w:hint="default"/>
        <w:b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1971A72"/>
    <w:multiLevelType w:val="hybridMultilevel"/>
    <w:tmpl w:val="6DBA08C2"/>
    <w:lvl w:ilvl="0" w:tplc="178C9B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7405FB3"/>
    <w:multiLevelType w:val="hybridMultilevel"/>
    <w:tmpl w:val="3D4E336A"/>
    <w:lvl w:ilvl="0" w:tplc="F53A632C">
      <w:start w:val="1"/>
      <w:numFmt w:val="bullet"/>
      <w:lvlText w:val=""/>
      <w:lvlJc w:val="left"/>
      <w:pPr>
        <w:ind w:left="740" w:hanging="360"/>
      </w:pPr>
      <w:rPr>
        <w:rFonts w:ascii="Symbol" w:hAnsi="Symbol"/>
      </w:rPr>
    </w:lvl>
    <w:lvl w:ilvl="1" w:tplc="0B24DABE">
      <w:start w:val="1"/>
      <w:numFmt w:val="bullet"/>
      <w:lvlText w:val=""/>
      <w:lvlJc w:val="left"/>
      <w:pPr>
        <w:ind w:left="740" w:hanging="360"/>
      </w:pPr>
      <w:rPr>
        <w:rFonts w:ascii="Symbol" w:hAnsi="Symbol"/>
      </w:rPr>
    </w:lvl>
    <w:lvl w:ilvl="2" w:tplc="3A2628B2">
      <w:start w:val="1"/>
      <w:numFmt w:val="bullet"/>
      <w:lvlText w:val=""/>
      <w:lvlJc w:val="left"/>
      <w:pPr>
        <w:ind w:left="740" w:hanging="360"/>
      </w:pPr>
      <w:rPr>
        <w:rFonts w:ascii="Symbol" w:hAnsi="Symbol"/>
      </w:rPr>
    </w:lvl>
    <w:lvl w:ilvl="3" w:tplc="985445F8">
      <w:start w:val="1"/>
      <w:numFmt w:val="bullet"/>
      <w:lvlText w:val=""/>
      <w:lvlJc w:val="left"/>
      <w:pPr>
        <w:ind w:left="740" w:hanging="360"/>
      </w:pPr>
      <w:rPr>
        <w:rFonts w:ascii="Symbol" w:hAnsi="Symbol"/>
      </w:rPr>
    </w:lvl>
    <w:lvl w:ilvl="4" w:tplc="BEE8467C">
      <w:start w:val="1"/>
      <w:numFmt w:val="bullet"/>
      <w:lvlText w:val=""/>
      <w:lvlJc w:val="left"/>
      <w:pPr>
        <w:ind w:left="740" w:hanging="360"/>
      </w:pPr>
      <w:rPr>
        <w:rFonts w:ascii="Symbol" w:hAnsi="Symbol"/>
      </w:rPr>
    </w:lvl>
    <w:lvl w:ilvl="5" w:tplc="94168FD4">
      <w:start w:val="1"/>
      <w:numFmt w:val="bullet"/>
      <w:lvlText w:val=""/>
      <w:lvlJc w:val="left"/>
      <w:pPr>
        <w:ind w:left="740" w:hanging="360"/>
      </w:pPr>
      <w:rPr>
        <w:rFonts w:ascii="Symbol" w:hAnsi="Symbol"/>
      </w:rPr>
    </w:lvl>
    <w:lvl w:ilvl="6" w:tplc="272AF04E">
      <w:start w:val="1"/>
      <w:numFmt w:val="bullet"/>
      <w:lvlText w:val=""/>
      <w:lvlJc w:val="left"/>
      <w:pPr>
        <w:ind w:left="740" w:hanging="360"/>
      </w:pPr>
      <w:rPr>
        <w:rFonts w:ascii="Symbol" w:hAnsi="Symbol"/>
      </w:rPr>
    </w:lvl>
    <w:lvl w:ilvl="7" w:tplc="62805864">
      <w:start w:val="1"/>
      <w:numFmt w:val="bullet"/>
      <w:lvlText w:val=""/>
      <w:lvlJc w:val="left"/>
      <w:pPr>
        <w:ind w:left="740" w:hanging="360"/>
      </w:pPr>
      <w:rPr>
        <w:rFonts w:ascii="Symbol" w:hAnsi="Symbol"/>
      </w:rPr>
    </w:lvl>
    <w:lvl w:ilvl="8" w:tplc="84C4C044">
      <w:start w:val="1"/>
      <w:numFmt w:val="bullet"/>
      <w:lvlText w:val=""/>
      <w:lvlJc w:val="left"/>
      <w:pPr>
        <w:ind w:left="740" w:hanging="360"/>
      </w:pPr>
      <w:rPr>
        <w:rFonts w:ascii="Symbol" w:hAnsi="Symbol"/>
      </w:rPr>
    </w:lvl>
  </w:abstractNum>
  <w:abstractNum w:abstractNumId="36" w15:restartNumberingAfterBreak="0">
    <w:nsid w:val="681E2077"/>
    <w:multiLevelType w:val="hybridMultilevel"/>
    <w:tmpl w:val="7E424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6945C6"/>
    <w:multiLevelType w:val="hybridMultilevel"/>
    <w:tmpl w:val="DB2CC392"/>
    <w:lvl w:ilvl="0" w:tplc="AB30C4F2">
      <w:numFmt w:val="bullet"/>
      <w:lvlText w:val="•"/>
      <w:lvlJc w:val="left"/>
      <w:pPr>
        <w:ind w:left="2520" w:hanging="360"/>
      </w:pPr>
      <w:rPr>
        <w:rFonts w:ascii="Arial" w:eastAsiaTheme="minorHAnsi" w:hAnsi="Arial"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8" w15:restartNumberingAfterBreak="0">
    <w:nsid w:val="68DC069E"/>
    <w:multiLevelType w:val="hybridMultilevel"/>
    <w:tmpl w:val="D5C44A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68F25D56"/>
    <w:multiLevelType w:val="hybridMultilevel"/>
    <w:tmpl w:val="F31AD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1C7514"/>
    <w:multiLevelType w:val="hybridMultilevel"/>
    <w:tmpl w:val="82E2A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98727B"/>
    <w:multiLevelType w:val="hybridMultilevel"/>
    <w:tmpl w:val="6B864AA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42641B"/>
    <w:multiLevelType w:val="hybridMultilevel"/>
    <w:tmpl w:val="3C923F64"/>
    <w:lvl w:ilvl="0" w:tplc="9D321D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36075A"/>
    <w:multiLevelType w:val="hybridMultilevel"/>
    <w:tmpl w:val="6EEAA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E574B5D"/>
    <w:multiLevelType w:val="hybridMultilevel"/>
    <w:tmpl w:val="4EA21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0BE03CA"/>
    <w:multiLevelType w:val="hybridMultilevel"/>
    <w:tmpl w:val="8DAEC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0E5AF9"/>
    <w:multiLevelType w:val="hybridMultilevel"/>
    <w:tmpl w:val="A858E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4082F82"/>
    <w:multiLevelType w:val="hybridMultilevel"/>
    <w:tmpl w:val="AC76D0C0"/>
    <w:lvl w:ilvl="0" w:tplc="178C9B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C715578"/>
    <w:multiLevelType w:val="hybridMultilevel"/>
    <w:tmpl w:val="43A48068"/>
    <w:lvl w:ilvl="0" w:tplc="32B83B1E">
      <w:start w:val="1"/>
      <w:numFmt w:val="bullet"/>
      <w:pStyle w:val="References"/>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5538373">
    <w:abstractNumId w:val="7"/>
  </w:num>
  <w:num w:numId="2" w16cid:durableId="1224100526">
    <w:abstractNumId w:val="42"/>
  </w:num>
  <w:num w:numId="3" w16cid:durableId="1269267838">
    <w:abstractNumId w:val="26"/>
  </w:num>
  <w:num w:numId="4" w16cid:durableId="1792934587">
    <w:abstractNumId w:val="7"/>
  </w:num>
  <w:num w:numId="5" w16cid:durableId="398984978">
    <w:abstractNumId w:val="20"/>
  </w:num>
  <w:num w:numId="6" w16cid:durableId="1711491000">
    <w:abstractNumId w:val="8"/>
  </w:num>
  <w:num w:numId="7" w16cid:durableId="1389835831">
    <w:abstractNumId w:val="32"/>
  </w:num>
  <w:num w:numId="8" w16cid:durableId="1581595270">
    <w:abstractNumId w:val="37"/>
  </w:num>
  <w:num w:numId="9" w16cid:durableId="971983080">
    <w:abstractNumId w:val="0"/>
  </w:num>
  <w:num w:numId="10" w16cid:durableId="1560628545">
    <w:abstractNumId w:val="45"/>
  </w:num>
  <w:num w:numId="11" w16cid:durableId="1895966269">
    <w:abstractNumId w:val="28"/>
  </w:num>
  <w:num w:numId="12" w16cid:durableId="288975919">
    <w:abstractNumId w:val="14"/>
  </w:num>
  <w:num w:numId="13" w16cid:durableId="1595825104">
    <w:abstractNumId w:val="18"/>
  </w:num>
  <w:num w:numId="14" w16cid:durableId="389427299">
    <w:abstractNumId w:val="48"/>
  </w:num>
  <w:num w:numId="15" w16cid:durableId="1326088107">
    <w:abstractNumId w:val="6"/>
  </w:num>
  <w:num w:numId="16" w16cid:durableId="1199200212">
    <w:abstractNumId w:val="33"/>
  </w:num>
  <w:num w:numId="17" w16cid:durableId="1120151965">
    <w:abstractNumId w:val="5"/>
  </w:num>
  <w:num w:numId="18" w16cid:durableId="1796174488">
    <w:abstractNumId w:val="41"/>
  </w:num>
  <w:num w:numId="19" w16cid:durableId="1552424792">
    <w:abstractNumId w:val="25"/>
  </w:num>
  <w:num w:numId="20" w16cid:durableId="1589534415">
    <w:abstractNumId w:val="28"/>
    <w:lvlOverride w:ilvl="0">
      <w:startOverride w:val="1"/>
    </w:lvlOverride>
  </w:num>
  <w:num w:numId="21" w16cid:durableId="1552962026">
    <w:abstractNumId w:val="47"/>
  </w:num>
  <w:num w:numId="22" w16cid:durableId="658383010">
    <w:abstractNumId w:val="21"/>
  </w:num>
  <w:num w:numId="23" w16cid:durableId="375591055">
    <w:abstractNumId w:val="19"/>
  </w:num>
  <w:num w:numId="24" w16cid:durableId="550772202">
    <w:abstractNumId w:val="31"/>
  </w:num>
  <w:num w:numId="25" w16cid:durableId="1276983454">
    <w:abstractNumId w:val="29"/>
  </w:num>
  <w:num w:numId="26" w16cid:durableId="730541721">
    <w:abstractNumId w:val="39"/>
  </w:num>
  <w:num w:numId="27" w16cid:durableId="1994482158">
    <w:abstractNumId w:val="13"/>
  </w:num>
  <w:num w:numId="28" w16cid:durableId="471676908">
    <w:abstractNumId w:val="3"/>
  </w:num>
  <w:num w:numId="29" w16cid:durableId="2031760162">
    <w:abstractNumId w:val="38"/>
  </w:num>
  <w:num w:numId="30" w16cid:durableId="2072149727">
    <w:abstractNumId w:val="2"/>
  </w:num>
  <w:num w:numId="31" w16cid:durableId="1777480698">
    <w:abstractNumId w:val="23"/>
  </w:num>
  <w:num w:numId="32" w16cid:durableId="1374844284">
    <w:abstractNumId w:val="46"/>
  </w:num>
  <w:num w:numId="33" w16cid:durableId="735859193">
    <w:abstractNumId w:val="1"/>
  </w:num>
  <w:num w:numId="34" w16cid:durableId="593896887">
    <w:abstractNumId w:val="4"/>
  </w:num>
  <w:num w:numId="35" w16cid:durableId="80612885">
    <w:abstractNumId w:val="44"/>
  </w:num>
  <w:num w:numId="36" w16cid:durableId="1301955089">
    <w:abstractNumId w:val="27"/>
  </w:num>
  <w:num w:numId="37" w16cid:durableId="643387427">
    <w:abstractNumId w:val="11"/>
  </w:num>
  <w:num w:numId="38" w16cid:durableId="495727423">
    <w:abstractNumId w:val="34"/>
  </w:num>
  <w:num w:numId="39" w16cid:durableId="1173447913">
    <w:abstractNumId w:val="35"/>
  </w:num>
  <w:num w:numId="40" w16cid:durableId="2037151764">
    <w:abstractNumId w:val="30"/>
  </w:num>
  <w:num w:numId="41" w16cid:durableId="612591037">
    <w:abstractNumId w:val="22"/>
  </w:num>
  <w:num w:numId="42" w16cid:durableId="1361206612">
    <w:abstractNumId w:val="9"/>
  </w:num>
  <w:num w:numId="43" w16cid:durableId="1283532017">
    <w:abstractNumId w:val="36"/>
  </w:num>
  <w:num w:numId="44" w16cid:durableId="1937322132">
    <w:abstractNumId w:val="10"/>
  </w:num>
  <w:num w:numId="45" w16cid:durableId="1618757516">
    <w:abstractNumId w:val="16"/>
  </w:num>
  <w:num w:numId="46" w16cid:durableId="1743526117">
    <w:abstractNumId w:val="12"/>
  </w:num>
  <w:num w:numId="47" w16cid:durableId="1246108874">
    <w:abstractNumId w:val="43"/>
  </w:num>
  <w:num w:numId="48" w16cid:durableId="548955941">
    <w:abstractNumId w:val="15"/>
  </w:num>
  <w:num w:numId="49" w16cid:durableId="1861044450">
    <w:abstractNumId w:val="24"/>
  </w:num>
  <w:num w:numId="50" w16cid:durableId="711422664">
    <w:abstractNumId w:val="17"/>
  </w:num>
  <w:num w:numId="51" w16cid:durableId="213660068">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zNDEwNbW0NAWS5ko6SsGpxcWZ+XkgBaa1AJeahIYsAAAA"/>
  </w:docVars>
  <w:rsids>
    <w:rsidRoot w:val="00E83C66"/>
    <w:rsid w:val="00003E35"/>
    <w:rsid w:val="00005FC7"/>
    <w:rsid w:val="00006013"/>
    <w:rsid w:val="00021009"/>
    <w:rsid w:val="0002191E"/>
    <w:rsid w:val="000231B8"/>
    <w:rsid w:val="00023A66"/>
    <w:rsid w:val="0002435C"/>
    <w:rsid w:val="00026645"/>
    <w:rsid w:val="00032724"/>
    <w:rsid w:val="00035AE8"/>
    <w:rsid w:val="00036678"/>
    <w:rsid w:val="00044DF9"/>
    <w:rsid w:val="00057CD1"/>
    <w:rsid w:val="00065512"/>
    <w:rsid w:val="000950C8"/>
    <w:rsid w:val="000A0ECA"/>
    <w:rsid w:val="000B18BF"/>
    <w:rsid w:val="000D080C"/>
    <w:rsid w:val="000E1A49"/>
    <w:rsid w:val="000E2D8B"/>
    <w:rsid w:val="000F1BE5"/>
    <w:rsid w:val="000F4219"/>
    <w:rsid w:val="000F48EC"/>
    <w:rsid w:val="000F53A2"/>
    <w:rsid w:val="000F5E8F"/>
    <w:rsid w:val="000F68E2"/>
    <w:rsid w:val="001026FB"/>
    <w:rsid w:val="001123BA"/>
    <w:rsid w:val="001179FD"/>
    <w:rsid w:val="001208FF"/>
    <w:rsid w:val="00127BC4"/>
    <w:rsid w:val="00135DDB"/>
    <w:rsid w:val="00141994"/>
    <w:rsid w:val="00142209"/>
    <w:rsid w:val="001432AE"/>
    <w:rsid w:val="00145D93"/>
    <w:rsid w:val="001479B1"/>
    <w:rsid w:val="00152265"/>
    <w:rsid w:val="00161742"/>
    <w:rsid w:val="00165BA2"/>
    <w:rsid w:val="00170656"/>
    <w:rsid w:val="00173AC1"/>
    <w:rsid w:val="0017424B"/>
    <w:rsid w:val="00180953"/>
    <w:rsid w:val="001860C1"/>
    <w:rsid w:val="00190AC9"/>
    <w:rsid w:val="00191C93"/>
    <w:rsid w:val="001939C7"/>
    <w:rsid w:val="001946BB"/>
    <w:rsid w:val="001948E2"/>
    <w:rsid w:val="0019640D"/>
    <w:rsid w:val="001A101D"/>
    <w:rsid w:val="001A4776"/>
    <w:rsid w:val="001A51F3"/>
    <w:rsid w:val="001B0E46"/>
    <w:rsid w:val="001B5F28"/>
    <w:rsid w:val="001B694A"/>
    <w:rsid w:val="001B6C1D"/>
    <w:rsid w:val="001C246F"/>
    <w:rsid w:val="001D0EF0"/>
    <w:rsid w:val="001D2CF1"/>
    <w:rsid w:val="001D5D77"/>
    <w:rsid w:val="001E4A10"/>
    <w:rsid w:val="001E5484"/>
    <w:rsid w:val="001F2BF8"/>
    <w:rsid w:val="001F4159"/>
    <w:rsid w:val="00200BBF"/>
    <w:rsid w:val="0020740C"/>
    <w:rsid w:val="00214BDA"/>
    <w:rsid w:val="00224A5C"/>
    <w:rsid w:val="00236EDC"/>
    <w:rsid w:val="002415D5"/>
    <w:rsid w:val="0024547E"/>
    <w:rsid w:val="002477FF"/>
    <w:rsid w:val="00250BA1"/>
    <w:rsid w:val="00251EF7"/>
    <w:rsid w:val="002523EC"/>
    <w:rsid w:val="00263BAB"/>
    <w:rsid w:val="0027038D"/>
    <w:rsid w:val="002719E1"/>
    <w:rsid w:val="00273B12"/>
    <w:rsid w:val="00274A7A"/>
    <w:rsid w:val="00276A41"/>
    <w:rsid w:val="00283D5E"/>
    <w:rsid w:val="0028454D"/>
    <w:rsid w:val="00291EA1"/>
    <w:rsid w:val="002A0803"/>
    <w:rsid w:val="002A0E76"/>
    <w:rsid w:val="002B0761"/>
    <w:rsid w:val="002B318E"/>
    <w:rsid w:val="002B45DB"/>
    <w:rsid w:val="002C3506"/>
    <w:rsid w:val="002C4029"/>
    <w:rsid w:val="002C5EE8"/>
    <w:rsid w:val="002D1A25"/>
    <w:rsid w:val="002D4BB4"/>
    <w:rsid w:val="002E2981"/>
    <w:rsid w:val="002E2BA7"/>
    <w:rsid w:val="002F27FD"/>
    <w:rsid w:val="002F2DEA"/>
    <w:rsid w:val="002F47EB"/>
    <w:rsid w:val="002F6F07"/>
    <w:rsid w:val="00302122"/>
    <w:rsid w:val="00303331"/>
    <w:rsid w:val="0030335E"/>
    <w:rsid w:val="003036A6"/>
    <w:rsid w:val="00306E44"/>
    <w:rsid w:val="0030784A"/>
    <w:rsid w:val="00310E09"/>
    <w:rsid w:val="00316F74"/>
    <w:rsid w:val="00320AAD"/>
    <w:rsid w:val="00323120"/>
    <w:rsid w:val="003249D2"/>
    <w:rsid w:val="003263E8"/>
    <w:rsid w:val="003268BD"/>
    <w:rsid w:val="00326BD8"/>
    <w:rsid w:val="003310A9"/>
    <w:rsid w:val="00333A28"/>
    <w:rsid w:val="0034160F"/>
    <w:rsid w:val="00341D88"/>
    <w:rsid w:val="00343C0A"/>
    <w:rsid w:val="00352F67"/>
    <w:rsid w:val="003552BC"/>
    <w:rsid w:val="003558F4"/>
    <w:rsid w:val="00357F6B"/>
    <w:rsid w:val="00360455"/>
    <w:rsid w:val="00360805"/>
    <w:rsid w:val="00360FFA"/>
    <w:rsid w:val="00361167"/>
    <w:rsid w:val="00361FB3"/>
    <w:rsid w:val="0037508C"/>
    <w:rsid w:val="00375C79"/>
    <w:rsid w:val="00375DAB"/>
    <w:rsid w:val="00377FAC"/>
    <w:rsid w:val="00386DAA"/>
    <w:rsid w:val="003931A7"/>
    <w:rsid w:val="0039379F"/>
    <w:rsid w:val="0039672B"/>
    <w:rsid w:val="003A4127"/>
    <w:rsid w:val="003A4B07"/>
    <w:rsid w:val="003B3F51"/>
    <w:rsid w:val="003B5125"/>
    <w:rsid w:val="003C21D1"/>
    <w:rsid w:val="003C2558"/>
    <w:rsid w:val="003C49B1"/>
    <w:rsid w:val="003D2022"/>
    <w:rsid w:val="003D53B2"/>
    <w:rsid w:val="003E5AD7"/>
    <w:rsid w:val="003E7840"/>
    <w:rsid w:val="003F2C46"/>
    <w:rsid w:val="003F440F"/>
    <w:rsid w:val="003F646D"/>
    <w:rsid w:val="003F7161"/>
    <w:rsid w:val="00400E02"/>
    <w:rsid w:val="0040159E"/>
    <w:rsid w:val="004024D1"/>
    <w:rsid w:val="00403F47"/>
    <w:rsid w:val="0040468F"/>
    <w:rsid w:val="0041005A"/>
    <w:rsid w:val="004114D6"/>
    <w:rsid w:val="00413F90"/>
    <w:rsid w:val="00415BF0"/>
    <w:rsid w:val="0041687B"/>
    <w:rsid w:val="00420944"/>
    <w:rsid w:val="00432CCD"/>
    <w:rsid w:val="00434CFB"/>
    <w:rsid w:val="00437D3C"/>
    <w:rsid w:val="0044347D"/>
    <w:rsid w:val="004438CF"/>
    <w:rsid w:val="00446B74"/>
    <w:rsid w:val="00447471"/>
    <w:rsid w:val="00447C21"/>
    <w:rsid w:val="00462329"/>
    <w:rsid w:val="00485359"/>
    <w:rsid w:val="004864D7"/>
    <w:rsid w:val="00490608"/>
    <w:rsid w:val="004912A2"/>
    <w:rsid w:val="00494B5D"/>
    <w:rsid w:val="004968DC"/>
    <w:rsid w:val="004A28EF"/>
    <w:rsid w:val="004A4D94"/>
    <w:rsid w:val="004A5F57"/>
    <w:rsid w:val="004A79A0"/>
    <w:rsid w:val="004B05FA"/>
    <w:rsid w:val="004B25D8"/>
    <w:rsid w:val="004B29F4"/>
    <w:rsid w:val="004B6FA7"/>
    <w:rsid w:val="004B7BBD"/>
    <w:rsid w:val="004C0D86"/>
    <w:rsid w:val="004C2598"/>
    <w:rsid w:val="004C31F8"/>
    <w:rsid w:val="004C51DC"/>
    <w:rsid w:val="004C7302"/>
    <w:rsid w:val="004D17A2"/>
    <w:rsid w:val="004D46F6"/>
    <w:rsid w:val="004D5B8A"/>
    <w:rsid w:val="004E5EB8"/>
    <w:rsid w:val="004F2781"/>
    <w:rsid w:val="00502B61"/>
    <w:rsid w:val="0051526F"/>
    <w:rsid w:val="005152C4"/>
    <w:rsid w:val="00515CB1"/>
    <w:rsid w:val="00517DC6"/>
    <w:rsid w:val="00521A7D"/>
    <w:rsid w:val="00521D64"/>
    <w:rsid w:val="005221E5"/>
    <w:rsid w:val="005228A2"/>
    <w:rsid w:val="0053459F"/>
    <w:rsid w:val="00535162"/>
    <w:rsid w:val="0053551A"/>
    <w:rsid w:val="00537F63"/>
    <w:rsid w:val="00541CF7"/>
    <w:rsid w:val="005432DD"/>
    <w:rsid w:val="00545443"/>
    <w:rsid w:val="00547308"/>
    <w:rsid w:val="00547AA5"/>
    <w:rsid w:val="0055004F"/>
    <w:rsid w:val="0055256C"/>
    <w:rsid w:val="005542EE"/>
    <w:rsid w:val="00561F39"/>
    <w:rsid w:val="00565352"/>
    <w:rsid w:val="00572DB9"/>
    <w:rsid w:val="0057400B"/>
    <w:rsid w:val="005807B0"/>
    <w:rsid w:val="00581703"/>
    <w:rsid w:val="00592565"/>
    <w:rsid w:val="0059282E"/>
    <w:rsid w:val="005A5F28"/>
    <w:rsid w:val="005A633C"/>
    <w:rsid w:val="005A7119"/>
    <w:rsid w:val="005B4BAE"/>
    <w:rsid w:val="005B7F7A"/>
    <w:rsid w:val="005D05B1"/>
    <w:rsid w:val="005D105B"/>
    <w:rsid w:val="005D27FE"/>
    <w:rsid w:val="005D416F"/>
    <w:rsid w:val="005D56F3"/>
    <w:rsid w:val="005D75B4"/>
    <w:rsid w:val="005D79FA"/>
    <w:rsid w:val="005E6901"/>
    <w:rsid w:val="005F346E"/>
    <w:rsid w:val="005F3D83"/>
    <w:rsid w:val="00610E26"/>
    <w:rsid w:val="00613294"/>
    <w:rsid w:val="006179D7"/>
    <w:rsid w:val="0062204F"/>
    <w:rsid w:val="006247FA"/>
    <w:rsid w:val="00626457"/>
    <w:rsid w:val="00641F7D"/>
    <w:rsid w:val="00643FC9"/>
    <w:rsid w:val="00644539"/>
    <w:rsid w:val="00647492"/>
    <w:rsid w:val="0065325B"/>
    <w:rsid w:val="00656044"/>
    <w:rsid w:val="00657CFB"/>
    <w:rsid w:val="00661A75"/>
    <w:rsid w:val="006706F6"/>
    <w:rsid w:val="006766FA"/>
    <w:rsid w:val="006837B0"/>
    <w:rsid w:val="00683C92"/>
    <w:rsid w:val="0068627A"/>
    <w:rsid w:val="006876AB"/>
    <w:rsid w:val="00692AD5"/>
    <w:rsid w:val="00694531"/>
    <w:rsid w:val="00696EFE"/>
    <w:rsid w:val="006A333F"/>
    <w:rsid w:val="006A6B10"/>
    <w:rsid w:val="006B7253"/>
    <w:rsid w:val="006B7712"/>
    <w:rsid w:val="006C3870"/>
    <w:rsid w:val="006D277B"/>
    <w:rsid w:val="006E062E"/>
    <w:rsid w:val="006E5307"/>
    <w:rsid w:val="006F1403"/>
    <w:rsid w:val="006F2BD8"/>
    <w:rsid w:val="006F5C79"/>
    <w:rsid w:val="006F5FA8"/>
    <w:rsid w:val="007015BE"/>
    <w:rsid w:val="00703459"/>
    <w:rsid w:val="007039EB"/>
    <w:rsid w:val="00716C9C"/>
    <w:rsid w:val="00721E7A"/>
    <w:rsid w:val="007333E4"/>
    <w:rsid w:val="0073466F"/>
    <w:rsid w:val="00743437"/>
    <w:rsid w:val="00747226"/>
    <w:rsid w:val="00747B98"/>
    <w:rsid w:val="00747D63"/>
    <w:rsid w:val="007525E6"/>
    <w:rsid w:val="00756EF7"/>
    <w:rsid w:val="00761FA3"/>
    <w:rsid w:val="00767B99"/>
    <w:rsid w:val="00776295"/>
    <w:rsid w:val="0078680E"/>
    <w:rsid w:val="0079308C"/>
    <w:rsid w:val="00794B52"/>
    <w:rsid w:val="007A2F8D"/>
    <w:rsid w:val="007A3942"/>
    <w:rsid w:val="007A4CEB"/>
    <w:rsid w:val="007A56FB"/>
    <w:rsid w:val="007A6AB9"/>
    <w:rsid w:val="007A703C"/>
    <w:rsid w:val="007C430A"/>
    <w:rsid w:val="007D0860"/>
    <w:rsid w:val="007D49ED"/>
    <w:rsid w:val="007E1483"/>
    <w:rsid w:val="007F2776"/>
    <w:rsid w:val="007F2E82"/>
    <w:rsid w:val="007F5A80"/>
    <w:rsid w:val="007F76B7"/>
    <w:rsid w:val="0080432B"/>
    <w:rsid w:val="008072B7"/>
    <w:rsid w:val="0081160F"/>
    <w:rsid w:val="00812579"/>
    <w:rsid w:val="00813FDD"/>
    <w:rsid w:val="00824D10"/>
    <w:rsid w:val="00834811"/>
    <w:rsid w:val="008354F0"/>
    <w:rsid w:val="0083681D"/>
    <w:rsid w:val="00850521"/>
    <w:rsid w:val="00850B78"/>
    <w:rsid w:val="0085244E"/>
    <w:rsid w:val="00854C79"/>
    <w:rsid w:val="00855246"/>
    <w:rsid w:val="00857AF2"/>
    <w:rsid w:val="00857D13"/>
    <w:rsid w:val="00863318"/>
    <w:rsid w:val="00864066"/>
    <w:rsid w:val="00870582"/>
    <w:rsid w:val="008875AD"/>
    <w:rsid w:val="00890C0E"/>
    <w:rsid w:val="00891257"/>
    <w:rsid w:val="0089223A"/>
    <w:rsid w:val="00893011"/>
    <w:rsid w:val="0089560C"/>
    <w:rsid w:val="008A1C28"/>
    <w:rsid w:val="008A7289"/>
    <w:rsid w:val="008C04BC"/>
    <w:rsid w:val="008C5DE7"/>
    <w:rsid w:val="008C6935"/>
    <w:rsid w:val="008C6C5D"/>
    <w:rsid w:val="008C732D"/>
    <w:rsid w:val="008C759F"/>
    <w:rsid w:val="008C7B9B"/>
    <w:rsid w:val="008D52D9"/>
    <w:rsid w:val="008D6C16"/>
    <w:rsid w:val="008E223E"/>
    <w:rsid w:val="008F6069"/>
    <w:rsid w:val="008F6407"/>
    <w:rsid w:val="008F6E45"/>
    <w:rsid w:val="008F7C48"/>
    <w:rsid w:val="009017A2"/>
    <w:rsid w:val="00904B9E"/>
    <w:rsid w:val="00913319"/>
    <w:rsid w:val="00913C81"/>
    <w:rsid w:val="00914836"/>
    <w:rsid w:val="00915E09"/>
    <w:rsid w:val="00921203"/>
    <w:rsid w:val="0092446D"/>
    <w:rsid w:val="00924D4C"/>
    <w:rsid w:val="00925D95"/>
    <w:rsid w:val="0093064C"/>
    <w:rsid w:val="009331B2"/>
    <w:rsid w:val="00934454"/>
    <w:rsid w:val="00934919"/>
    <w:rsid w:val="0094328F"/>
    <w:rsid w:val="00944F42"/>
    <w:rsid w:val="00946787"/>
    <w:rsid w:val="009510E4"/>
    <w:rsid w:val="00952F29"/>
    <w:rsid w:val="0095396C"/>
    <w:rsid w:val="00955587"/>
    <w:rsid w:val="0096376B"/>
    <w:rsid w:val="0096381D"/>
    <w:rsid w:val="0097195D"/>
    <w:rsid w:val="00971FA7"/>
    <w:rsid w:val="009727D6"/>
    <w:rsid w:val="00974382"/>
    <w:rsid w:val="00977019"/>
    <w:rsid w:val="00977956"/>
    <w:rsid w:val="00981615"/>
    <w:rsid w:val="00982165"/>
    <w:rsid w:val="009827DB"/>
    <w:rsid w:val="00983558"/>
    <w:rsid w:val="0098487D"/>
    <w:rsid w:val="00986C24"/>
    <w:rsid w:val="00987128"/>
    <w:rsid w:val="00990069"/>
    <w:rsid w:val="0099141A"/>
    <w:rsid w:val="00997659"/>
    <w:rsid w:val="009A1A10"/>
    <w:rsid w:val="009A2B89"/>
    <w:rsid w:val="009A325F"/>
    <w:rsid w:val="009B0356"/>
    <w:rsid w:val="009B21F3"/>
    <w:rsid w:val="009C34A6"/>
    <w:rsid w:val="009C3964"/>
    <w:rsid w:val="009C64D5"/>
    <w:rsid w:val="009C7155"/>
    <w:rsid w:val="009C73B6"/>
    <w:rsid w:val="009D28E8"/>
    <w:rsid w:val="009D341E"/>
    <w:rsid w:val="009D3C59"/>
    <w:rsid w:val="009D5234"/>
    <w:rsid w:val="009E2C50"/>
    <w:rsid w:val="009E48D1"/>
    <w:rsid w:val="009E7120"/>
    <w:rsid w:val="009E76E0"/>
    <w:rsid w:val="009F106E"/>
    <w:rsid w:val="009F147B"/>
    <w:rsid w:val="009F2FB2"/>
    <w:rsid w:val="009F31CF"/>
    <w:rsid w:val="009F3CD7"/>
    <w:rsid w:val="009F495B"/>
    <w:rsid w:val="009F60DF"/>
    <w:rsid w:val="00A00E16"/>
    <w:rsid w:val="00A05EBE"/>
    <w:rsid w:val="00A07375"/>
    <w:rsid w:val="00A23014"/>
    <w:rsid w:val="00A238E8"/>
    <w:rsid w:val="00A31736"/>
    <w:rsid w:val="00A34E93"/>
    <w:rsid w:val="00A34F87"/>
    <w:rsid w:val="00A44140"/>
    <w:rsid w:val="00A51C33"/>
    <w:rsid w:val="00A62C68"/>
    <w:rsid w:val="00A7445A"/>
    <w:rsid w:val="00A75F2A"/>
    <w:rsid w:val="00A7767F"/>
    <w:rsid w:val="00A866B1"/>
    <w:rsid w:val="00A87E4E"/>
    <w:rsid w:val="00A93496"/>
    <w:rsid w:val="00AA054A"/>
    <w:rsid w:val="00AA2DB4"/>
    <w:rsid w:val="00AA366B"/>
    <w:rsid w:val="00AA77AA"/>
    <w:rsid w:val="00AB5625"/>
    <w:rsid w:val="00AB5FFA"/>
    <w:rsid w:val="00AD29EE"/>
    <w:rsid w:val="00AD6E2B"/>
    <w:rsid w:val="00AE0E89"/>
    <w:rsid w:val="00AE6B64"/>
    <w:rsid w:val="00AF3702"/>
    <w:rsid w:val="00AF517D"/>
    <w:rsid w:val="00AF6D9B"/>
    <w:rsid w:val="00B00BA2"/>
    <w:rsid w:val="00B02888"/>
    <w:rsid w:val="00B03885"/>
    <w:rsid w:val="00B1162A"/>
    <w:rsid w:val="00B140AC"/>
    <w:rsid w:val="00B211F5"/>
    <w:rsid w:val="00B26BC0"/>
    <w:rsid w:val="00B32818"/>
    <w:rsid w:val="00B34E46"/>
    <w:rsid w:val="00B35BA8"/>
    <w:rsid w:val="00B37609"/>
    <w:rsid w:val="00B448FF"/>
    <w:rsid w:val="00B46A5F"/>
    <w:rsid w:val="00B57456"/>
    <w:rsid w:val="00B6330B"/>
    <w:rsid w:val="00B6423F"/>
    <w:rsid w:val="00B64632"/>
    <w:rsid w:val="00B7076B"/>
    <w:rsid w:val="00B71E59"/>
    <w:rsid w:val="00B73F57"/>
    <w:rsid w:val="00B769F3"/>
    <w:rsid w:val="00B802D9"/>
    <w:rsid w:val="00B8340C"/>
    <w:rsid w:val="00B84F27"/>
    <w:rsid w:val="00B87200"/>
    <w:rsid w:val="00B917CE"/>
    <w:rsid w:val="00BA2628"/>
    <w:rsid w:val="00BA47E9"/>
    <w:rsid w:val="00BA5689"/>
    <w:rsid w:val="00BA59D4"/>
    <w:rsid w:val="00BB4167"/>
    <w:rsid w:val="00BB50BD"/>
    <w:rsid w:val="00BC10C0"/>
    <w:rsid w:val="00BC2E0C"/>
    <w:rsid w:val="00BD117A"/>
    <w:rsid w:val="00BE0C8B"/>
    <w:rsid w:val="00BE22FC"/>
    <w:rsid w:val="00BE36F4"/>
    <w:rsid w:val="00BE5563"/>
    <w:rsid w:val="00BE765E"/>
    <w:rsid w:val="00BF1406"/>
    <w:rsid w:val="00BF174A"/>
    <w:rsid w:val="00BF634E"/>
    <w:rsid w:val="00C013FB"/>
    <w:rsid w:val="00C035A7"/>
    <w:rsid w:val="00C047D6"/>
    <w:rsid w:val="00C068F7"/>
    <w:rsid w:val="00C06D95"/>
    <w:rsid w:val="00C10A49"/>
    <w:rsid w:val="00C15C81"/>
    <w:rsid w:val="00C2040F"/>
    <w:rsid w:val="00C307C1"/>
    <w:rsid w:val="00C3123A"/>
    <w:rsid w:val="00C31FE5"/>
    <w:rsid w:val="00C3262E"/>
    <w:rsid w:val="00C54C9D"/>
    <w:rsid w:val="00C64218"/>
    <w:rsid w:val="00C64E95"/>
    <w:rsid w:val="00C72861"/>
    <w:rsid w:val="00C77A63"/>
    <w:rsid w:val="00C85274"/>
    <w:rsid w:val="00C94B7A"/>
    <w:rsid w:val="00C955D8"/>
    <w:rsid w:val="00C95FCE"/>
    <w:rsid w:val="00CA1513"/>
    <w:rsid w:val="00CA706A"/>
    <w:rsid w:val="00CB0F04"/>
    <w:rsid w:val="00CB457C"/>
    <w:rsid w:val="00CB5E9C"/>
    <w:rsid w:val="00CB5ECE"/>
    <w:rsid w:val="00CB6622"/>
    <w:rsid w:val="00CC4648"/>
    <w:rsid w:val="00CC4B76"/>
    <w:rsid w:val="00CD41C1"/>
    <w:rsid w:val="00CE22D1"/>
    <w:rsid w:val="00CF1121"/>
    <w:rsid w:val="00CF42CA"/>
    <w:rsid w:val="00CF5D14"/>
    <w:rsid w:val="00D03A33"/>
    <w:rsid w:val="00D04CA9"/>
    <w:rsid w:val="00D13A1C"/>
    <w:rsid w:val="00D24F9E"/>
    <w:rsid w:val="00D31D08"/>
    <w:rsid w:val="00D324D4"/>
    <w:rsid w:val="00D3299B"/>
    <w:rsid w:val="00D32FCD"/>
    <w:rsid w:val="00D435FB"/>
    <w:rsid w:val="00D45C2C"/>
    <w:rsid w:val="00D5030F"/>
    <w:rsid w:val="00D51C91"/>
    <w:rsid w:val="00D565E0"/>
    <w:rsid w:val="00D61801"/>
    <w:rsid w:val="00D62E9D"/>
    <w:rsid w:val="00D6465A"/>
    <w:rsid w:val="00D6471C"/>
    <w:rsid w:val="00D6535F"/>
    <w:rsid w:val="00D70261"/>
    <w:rsid w:val="00D763A0"/>
    <w:rsid w:val="00D80BC7"/>
    <w:rsid w:val="00D83656"/>
    <w:rsid w:val="00D84DEF"/>
    <w:rsid w:val="00D85A4D"/>
    <w:rsid w:val="00D91957"/>
    <w:rsid w:val="00D94606"/>
    <w:rsid w:val="00DA207D"/>
    <w:rsid w:val="00DA43EF"/>
    <w:rsid w:val="00DA50AB"/>
    <w:rsid w:val="00DA6373"/>
    <w:rsid w:val="00DA6898"/>
    <w:rsid w:val="00DB1904"/>
    <w:rsid w:val="00DB4462"/>
    <w:rsid w:val="00DB7BE4"/>
    <w:rsid w:val="00DC56F7"/>
    <w:rsid w:val="00DC5CCD"/>
    <w:rsid w:val="00DC6BC1"/>
    <w:rsid w:val="00DD1964"/>
    <w:rsid w:val="00DD3EC9"/>
    <w:rsid w:val="00DD4577"/>
    <w:rsid w:val="00DD72FD"/>
    <w:rsid w:val="00DE4EDB"/>
    <w:rsid w:val="00DE5F0F"/>
    <w:rsid w:val="00DF53DC"/>
    <w:rsid w:val="00DF546B"/>
    <w:rsid w:val="00E02748"/>
    <w:rsid w:val="00E02EB3"/>
    <w:rsid w:val="00E10D49"/>
    <w:rsid w:val="00E237BF"/>
    <w:rsid w:val="00E26932"/>
    <w:rsid w:val="00E37AA0"/>
    <w:rsid w:val="00E40774"/>
    <w:rsid w:val="00E41DC1"/>
    <w:rsid w:val="00E45F49"/>
    <w:rsid w:val="00E50676"/>
    <w:rsid w:val="00E57F18"/>
    <w:rsid w:val="00E6086E"/>
    <w:rsid w:val="00E67648"/>
    <w:rsid w:val="00E70B23"/>
    <w:rsid w:val="00E72BD0"/>
    <w:rsid w:val="00E768F3"/>
    <w:rsid w:val="00E80078"/>
    <w:rsid w:val="00E83C66"/>
    <w:rsid w:val="00E933BF"/>
    <w:rsid w:val="00E95339"/>
    <w:rsid w:val="00EA5CA5"/>
    <w:rsid w:val="00EA6E66"/>
    <w:rsid w:val="00EA78BB"/>
    <w:rsid w:val="00EB33A1"/>
    <w:rsid w:val="00EB6ECF"/>
    <w:rsid w:val="00EC0326"/>
    <w:rsid w:val="00EC3273"/>
    <w:rsid w:val="00EC32AE"/>
    <w:rsid w:val="00EC60A1"/>
    <w:rsid w:val="00EC6389"/>
    <w:rsid w:val="00EC702D"/>
    <w:rsid w:val="00EC7E92"/>
    <w:rsid w:val="00ED2366"/>
    <w:rsid w:val="00ED7060"/>
    <w:rsid w:val="00ED7968"/>
    <w:rsid w:val="00ED7C8A"/>
    <w:rsid w:val="00EE22F5"/>
    <w:rsid w:val="00EE3527"/>
    <w:rsid w:val="00EE3DFC"/>
    <w:rsid w:val="00EE51EC"/>
    <w:rsid w:val="00EE6A28"/>
    <w:rsid w:val="00EF0329"/>
    <w:rsid w:val="00EF0D5B"/>
    <w:rsid w:val="00EF1CF5"/>
    <w:rsid w:val="00EF31C2"/>
    <w:rsid w:val="00EF4A47"/>
    <w:rsid w:val="00EF71D5"/>
    <w:rsid w:val="00F02A8A"/>
    <w:rsid w:val="00F10F0C"/>
    <w:rsid w:val="00F12BB5"/>
    <w:rsid w:val="00F132AA"/>
    <w:rsid w:val="00F13329"/>
    <w:rsid w:val="00F24018"/>
    <w:rsid w:val="00F2717B"/>
    <w:rsid w:val="00F321FC"/>
    <w:rsid w:val="00F32C33"/>
    <w:rsid w:val="00F34C5E"/>
    <w:rsid w:val="00F37647"/>
    <w:rsid w:val="00F4137E"/>
    <w:rsid w:val="00F42B3C"/>
    <w:rsid w:val="00F43222"/>
    <w:rsid w:val="00F465B4"/>
    <w:rsid w:val="00F54268"/>
    <w:rsid w:val="00F556DE"/>
    <w:rsid w:val="00F57B58"/>
    <w:rsid w:val="00F600A1"/>
    <w:rsid w:val="00F66DA7"/>
    <w:rsid w:val="00F70696"/>
    <w:rsid w:val="00F71253"/>
    <w:rsid w:val="00F7127C"/>
    <w:rsid w:val="00F77AA2"/>
    <w:rsid w:val="00F863CC"/>
    <w:rsid w:val="00FA1C34"/>
    <w:rsid w:val="00FA30F5"/>
    <w:rsid w:val="00FA5C0B"/>
    <w:rsid w:val="00FB404F"/>
    <w:rsid w:val="00FB49CB"/>
    <w:rsid w:val="00FC6614"/>
    <w:rsid w:val="00FD6D26"/>
    <w:rsid w:val="00FE3EEF"/>
    <w:rsid w:val="00FE6F5A"/>
    <w:rsid w:val="00FE7024"/>
    <w:rsid w:val="00FF2DA0"/>
    <w:rsid w:val="00FF2F68"/>
    <w:rsid w:val="00FF4964"/>
    <w:rsid w:val="00FF5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B3C3"/>
  <w15:docId w15:val="{0CCAE2AD-EF65-486E-A33A-A69B786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F"/>
    <w:pPr>
      <w:spacing w:before="60" w:after="60"/>
    </w:pPr>
    <w:rPr>
      <w:rFonts w:ascii="Arial" w:hAnsi="Arial"/>
    </w:rPr>
  </w:style>
  <w:style w:type="paragraph" w:styleId="Heading1">
    <w:name w:val="heading 1"/>
    <w:basedOn w:val="Header"/>
    <w:next w:val="Normal"/>
    <w:link w:val="Heading1Char"/>
    <w:uiPriority w:val="9"/>
    <w:qFormat/>
    <w:rsid w:val="001179FD"/>
    <w:pPr>
      <w:spacing w:after="0"/>
      <w:outlineLvl w:val="0"/>
    </w:pPr>
    <w:rPr>
      <w:b/>
      <w:bCs/>
      <w:sz w:val="44"/>
      <w:szCs w:val="44"/>
    </w:rPr>
  </w:style>
  <w:style w:type="paragraph" w:styleId="Heading2">
    <w:name w:val="heading 2"/>
    <w:basedOn w:val="Normal"/>
    <w:next w:val="Normal"/>
    <w:link w:val="Heading2Char"/>
    <w:uiPriority w:val="9"/>
    <w:unhideWhenUsed/>
    <w:qFormat/>
    <w:rsid w:val="00ED2366"/>
    <w:pPr>
      <w:keepLines/>
      <w:numPr>
        <w:numId w:val="11"/>
      </w:numPr>
      <w:spacing w:before="40" w:after="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725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6B7253"/>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07"/>
    <w:pPr>
      <w:tabs>
        <w:tab w:val="right" w:pos="10433"/>
      </w:tabs>
      <w:spacing w:after="120" w:line="240" w:lineRule="auto"/>
    </w:pPr>
  </w:style>
  <w:style w:type="character" w:customStyle="1" w:styleId="HeaderChar">
    <w:name w:val="Header Char"/>
    <w:basedOn w:val="DefaultParagraphFont"/>
    <w:link w:val="Header"/>
    <w:uiPriority w:val="99"/>
    <w:rsid w:val="008F6407"/>
  </w:style>
  <w:style w:type="paragraph" w:styleId="Footer">
    <w:name w:val="footer"/>
    <w:basedOn w:val="Normal"/>
    <w:link w:val="FooterChar"/>
    <w:uiPriority w:val="99"/>
    <w:unhideWhenUsed/>
    <w:rsid w:val="00003E35"/>
    <w:pPr>
      <w:tabs>
        <w:tab w:val="center" w:pos="8051"/>
        <w:tab w:val="right" w:pos="10433"/>
      </w:tabs>
      <w:spacing w:before="120" w:after="0" w:line="240" w:lineRule="auto"/>
      <w:contextualSpacing/>
    </w:pPr>
    <w:rPr>
      <w:sz w:val="20"/>
      <w:szCs w:val="20"/>
    </w:rPr>
  </w:style>
  <w:style w:type="character" w:customStyle="1" w:styleId="FooterChar">
    <w:name w:val="Footer Char"/>
    <w:basedOn w:val="DefaultParagraphFont"/>
    <w:link w:val="Footer"/>
    <w:uiPriority w:val="99"/>
    <w:rsid w:val="00003E35"/>
    <w:rPr>
      <w:rFonts w:ascii="Arial" w:hAnsi="Arial"/>
      <w:sz w:val="20"/>
      <w:szCs w:val="20"/>
    </w:rPr>
  </w:style>
  <w:style w:type="paragraph" w:customStyle="1" w:styleId="References">
    <w:name w:val="References"/>
    <w:basedOn w:val="ListParagraph"/>
    <w:qFormat/>
    <w:rsid w:val="00A34F87"/>
    <w:pPr>
      <w:numPr>
        <w:numId w:val="14"/>
      </w:numPr>
      <w:spacing w:after="0" w:line="240" w:lineRule="auto"/>
    </w:pPr>
  </w:style>
  <w:style w:type="character" w:styleId="Strong">
    <w:name w:val="Strong"/>
    <w:basedOn w:val="DefaultParagraphFont"/>
    <w:uiPriority w:val="22"/>
    <w:qFormat/>
    <w:rsid w:val="00E83C66"/>
    <w:rPr>
      <w:b/>
      <w:bCs/>
    </w:rPr>
  </w:style>
  <w:style w:type="character" w:styleId="FollowedHyperlink">
    <w:name w:val="FollowedHyperlink"/>
    <w:basedOn w:val="DefaultParagraphFont"/>
    <w:uiPriority w:val="99"/>
    <w:semiHidden/>
    <w:unhideWhenUsed/>
    <w:rsid w:val="00747226"/>
    <w:rPr>
      <w:color w:val="954F72" w:themeColor="followedHyperlink"/>
      <w:u w:val="single"/>
    </w:rPr>
  </w:style>
  <w:style w:type="table" w:styleId="TableGrid">
    <w:name w:val="Table Grid"/>
    <w:basedOn w:val="TableNormal"/>
    <w:uiPriority w:val="39"/>
    <w:rsid w:val="00BB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366"/>
    <w:rPr>
      <w:rFonts w:eastAsiaTheme="majorEastAsia" w:cstheme="majorBidi"/>
      <w:b/>
      <w:szCs w:val="26"/>
    </w:rPr>
  </w:style>
  <w:style w:type="character" w:customStyle="1" w:styleId="Heading1Char">
    <w:name w:val="Heading 1 Char"/>
    <w:basedOn w:val="DefaultParagraphFont"/>
    <w:link w:val="Heading1"/>
    <w:uiPriority w:val="9"/>
    <w:rsid w:val="001179FD"/>
    <w:rPr>
      <w:b/>
      <w:bCs/>
      <w:sz w:val="44"/>
      <w:szCs w:val="44"/>
    </w:rPr>
  </w:style>
  <w:style w:type="character" w:customStyle="1" w:styleId="Heading3Char">
    <w:name w:val="Heading 3 Char"/>
    <w:basedOn w:val="DefaultParagraphFont"/>
    <w:link w:val="Heading3"/>
    <w:uiPriority w:val="9"/>
    <w:rsid w:val="006B7253"/>
    <w:rPr>
      <w:rFonts w:ascii="Arial" w:eastAsiaTheme="majorEastAsia" w:hAnsi="Arial" w:cstheme="majorBidi"/>
      <w:b/>
      <w:szCs w:val="24"/>
      <w:u w:val="single"/>
    </w:rPr>
  </w:style>
  <w:style w:type="paragraph" w:styleId="Title">
    <w:name w:val="Title"/>
    <w:basedOn w:val="Normal"/>
    <w:next w:val="Normal"/>
    <w:link w:val="TitleChar"/>
    <w:uiPriority w:val="10"/>
    <w:qFormat/>
    <w:rsid w:val="00152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A25"/>
    <w:rPr>
      <w:color w:val="0563C1" w:themeColor="hyperlink"/>
      <w:u w:val="single"/>
    </w:rPr>
  </w:style>
  <w:style w:type="character" w:customStyle="1" w:styleId="UnresolvedMention1">
    <w:name w:val="Unresolved Mention1"/>
    <w:basedOn w:val="DefaultParagraphFont"/>
    <w:uiPriority w:val="99"/>
    <w:semiHidden/>
    <w:unhideWhenUsed/>
    <w:rsid w:val="002D1A25"/>
    <w:rPr>
      <w:color w:val="605E5C"/>
      <w:shd w:val="clear" w:color="auto" w:fill="E1DFDD"/>
    </w:rPr>
  </w:style>
  <w:style w:type="character" w:styleId="CommentReference">
    <w:name w:val="annotation reference"/>
    <w:basedOn w:val="DefaultParagraphFont"/>
    <w:uiPriority w:val="99"/>
    <w:semiHidden/>
    <w:unhideWhenUsed/>
    <w:rsid w:val="00592565"/>
    <w:rPr>
      <w:sz w:val="16"/>
      <w:szCs w:val="16"/>
    </w:rPr>
  </w:style>
  <w:style w:type="paragraph" w:styleId="CommentText">
    <w:name w:val="annotation text"/>
    <w:basedOn w:val="Normal"/>
    <w:link w:val="CommentTextChar"/>
    <w:uiPriority w:val="99"/>
    <w:unhideWhenUsed/>
    <w:rsid w:val="00592565"/>
    <w:pPr>
      <w:spacing w:line="240" w:lineRule="auto"/>
    </w:pPr>
    <w:rPr>
      <w:sz w:val="20"/>
      <w:szCs w:val="20"/>
    </w:rPr>
  </w:style>
  <w:style w:type="character" w:customStyle="1" w:styleId="CommentTextChar">
    <w:name w:val="Comment Text Char"/>
    <w:basedOn w:val="DefaultParagraphFont"/>
    <w:link w:val="CommentText"/>
    <w:uiPriority w:val="99"/>
    <w:rsid w:val="00592565"/>
    <w:rPr>
      <w:sz w:val="20"/>
      <w:szCs w:val="20"/>
    </w:rPr>
  </w:style>
  <w:style w:type="paragraph" w:styleId="CommentSubject">
    <w:name w:val="annotation subject"/>
    <w:basedOn w:val="CommentText"/>
    <w:next w:val="CommentText"/>
    <w:link w:val="CommentSubjectChar"/>
    <w:uiPriority w:val="99"/>
    <w:semiHidden/>
    <w:unhideWhenUsed/>
    <w:rsid w:val="00592565"/>
    <w:rPr>
      <w:b/>
      <w:bCs/>
    </w:rPr>
  </w:style>
  <w:style w:type="character" w:customStyle="1" w:styleId="CommentSubjectChar">
    <w:name w:val="Comment Subject Char"/>
    <w:basedOn w:val="CommentTextChar"/>
    <w:link w:val="CommentSubject"/>
    <w:uiPriority w:val="99"/>
    <w:semiHidden/>
    <w:rsid w:val="00592565"/>
    <w:rPr>
      <w:b/>
      <w:bCs/>
      <w:sz w:val="20"/>
      <w:szCs w:val="20"/>
    </w:rPr>
  </w:style>
  <w:style w:type="paragraph" w:styleId="ListParagraph">
    <w:name w:val="List Paragraph"/>
    <w:basedOn w:val="Normal"/>
    <w:uiPriority w:val="34"/>
    <w:qFormat/>
    <w:rsid w:val="00694531"/>
    <w:pPr>
      <w:ind w:left="720"/>
    </w:pPr>
  </w:style>
  <w:style w:type="paragraph" w:customStyle="1" w:styleId="Default">
    <w:name w:val="Default"/>
    <w:rsid w:val="00DA50AB"/>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C72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7F"/>
    <w:rPr>
      <w:rFonts w:ascii="Tahoma" w:hAnsi="Tahoma" w:cs="Tahoma"/>
      <w:sz w:val="16"/>
      <w:szCs w:val="16"/>
    </w:rPr>
  </w:style>
  <w:style w:type="character" w:styleId="UnresolvedMention">
    <w:name w:val="Unresolved Mention"/>
    <w:basedOn w:val="DefaultParagraphFont"/>
    <w:uiPriority w:val="99"/>
    <w:semiHidden/>
    <w:unhideWhenUsed/>
    <w:rsid w:val="00904B9E"/>
    <w:rPr>
      <w:color w:val="605E5C"/>
      <w:shd w:val="clear" w:color="auto" w:fill="E1DFDD"/>
    </w:rPr>
  </w:style>
  <w:style w:type="character" w:customStyle="1" w:styleId="Heading4Char">
    <w:name w:val="Heading 4 Char"/>
    <w:basedOn w:val="DefaultParagraphFont"/>
    <w:link w:val="Heading4"/>
    <w:uiPriority w:val="9"/>
    <w:rsid w:val="006B7253"/>
    <w:rPr>
      <w:rFonts w:ascii="Arial" w:eastAsiaTheme="majorEastAsia" w:hAnsi="Arial" w:cstheme="majorBidi"/>
      <w:b/>
      <w:iCs/>
    </w:rPr>
  </w:style>
  <w:style w:type="paragraph" w:styleId="Revision">
    <w:name w:val="Revision"/>
    <w:hidden/>
    <w:uiPriority w:val="99"/>
    <w:semiHidden/>
    <w:rsid w:val="00E41DC1"/>
    <w:pPr>
      <w:spacing w:after="0" w:line="240" w:lineRule="auto"/>
    </w:pPr>
    <w:rPr>
      <w:rFonts w:ascii="Arial" w:hAnsi="Arial"/>
    </w:rPr>
  </w:style>
  <w:style w:type="paragraph" w:styleId="TOCHeading">
    <w:name w:val="TOC Heading"/>
    <w:basedOn w:val="Heading1"/>
    <w:next w:val="Normal"/>
    <w:uiPriority w:val="39"/>
    <w:unhideWhenUsed/>
    <w:qFormat/>
    <w:rsid w:val="00BF174A"/>
    <w:pPr>
      <w:keepNext/>
      <w:keepLines/>
      <w:tabs>
        <w:tab w:val="clear" w:pos="10433"/>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BF174A"/>
    <w:pPr>
      <w:spacing w:after="100"/>
      <w:ind w:left="220"/>
    </w:pPr>
  </w:style>
  <w:style w:type="paragraph" w:styleId="TOC3">
    <w:name w:val="toc 3"/>
    <w:basedOn w:val="Normal"/>
    <w:next w:val="Normal"/>
    <w:autoRedefine/>
    <w:uiPriority w:val="39"/>
    <w:unhideWhenUsed/>
    <w:rsid w:val="00BF174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76">
      <w:bodyDiv w:val="1"/>
      <w:marLeft w:val="0"/>
      <w:marRight w:val="0"/>
      <w:marTop w:val="0"/>
      <w:marBottom w:val="0"/>
      <w:divBdr>
        <w:top w:val="none" w:sz="0" w:space="0" w:color="auto"/>
        <w:left w:val="none" w:sz="0" w:space="0" w:color="auto"/>
        <w:bottom w:val="none" w:sz="0" w:space="0" w:color="auto"/>
        <w:right w:val="none" w:sz="0" w:space="0" w:color="auto"/>
      </w:divBdr>
    </w:div>
    <w:div w:id="98724605">
      <w:bodyDiv w:val="1"/>
      <w:marLeft w:val="0"/>
      <w:marRight w:val="0"/>
      <w:marTop w:val="0"/>
      <w:marBottom w:val="0"/>
      <w:divBdr>
        <w:top w:val="none" w:sz="0" w:space="0" w:color="auto"/>
        <w:left w:val="none" w:sz="0" w:space="0" w:color="auto"/>
        <w:bottom w:val="none" w:sz="0" w:space="0" w:color="auto"/>
        <w:right w:val="none" w:sz="0" w:space="0" w:color="auto"/>
      </w:divBdr>
    </w:div>
    <w:div w:id="392434290">
      <w:bodyDiv w:val="1"/>
      <w:marLeft w:val="0"/>
      <w:marRight w:val="0"/>
      <w:marTop w:val="0"/>
      <w:marBottom w:val="0"/>
      <w:divBdr>
        <w:top w:val="none" w:sz="0" w:space="0" w:color="auto"/>
        <w:left w:val="none" w:sz="0" w:space="0" w:color="auto"/>
        <w:bottom w:val="none" w:sz="0" w:space="0" w:color="auto"/>
        <w:right w:val="none" w:sz="0" w:space="0" w:color="auto"/>
      </w:divBdr>
    </w:div>
    <w:div w:id="442118525">
      <w:bodyDiv w:val="1"/>
      <w:marLeft w:val="0"/>
      <w:marRight w:val="0"/>
      <w:marTop w:val="0"/>
      <w:marBottom w:val="0"/>
      <w:divBdr>
        <w:top w:val="none" w:sz="0" w:space="0" w:color="auto"/>
        <w:left w:val="none" w:sz="0" w:space="0" w:color="auto"/>
        <w:bottom w:val="none" w:sz="0" w:space="0" w:color="auto"/>
        <w:right w:val="none" w:sz="0" w:space="0" w:color="auto"/>
      </w:divBdr>
    </w:div>
    <w:div w:id="611598489">
      <w:bodyDiv w:val="1"/>
      <w:marLeft w:val="0"/>
      <w:marRight w:val="0"/>
      <w:marTop w:val="0"/>
      <w:marBottom w:val="0"/>
      <w:divBdr>
        <w:top w:val="none" w:sz="0" w:space="0" w:color="auto"/>
        <w:left w:val="none" w:sz="0" w:space="0" w:color="auto"/>
        <w:bottom w:val="none" w:sz="0" w:space="0" w:color="auto"/>
        <w:right w:val="none" w:sz="0" w:space="0" w:color="auto"/>
      </w:divBdr>
    </w:div>
    <w:div w:id="758213889">
      <w:bodyDiv w:val="1"/>
      <w:marLeft w:val="0"/>
      <w:marRight w:val="0"/>
      <w:marTop w:val="0"/>
      <w:marBottom w:val="0"/>
      <w:divBdr>
        <w:top w:val="none" w:sz="0" w:space="0" w:color="auto"/>
        <w:left w:val="none" w:sz="0" w:space="0" w:color="auto"/>
        <w:bottom w:val="none" w:sz="0" w:space="0" w:color="auto"/>
        <w:right w:val="none" w:sz="0" w:space="0" w:color="auto"/>
      </w:divBdr>
    </w:div>
    <w:div w:id="788476080">
      <w:bodyDiv w:val="1"/>
      <w:marLeft w:val="0"/>
      <w:marRight w:val="0"/>
      <w:marTop w:val="0"/>
      <w:marBottom w:val="0"/>
      <w:divBdr>
        <w:top w:val="none" w:sz="0" w:space="0" w:color="auto"/>
        <w:left w:val="none" w:sz="0" w:space="0" w:color="auto"/>
        <w:bottom w:val="none" w:sz="0" w:space="0" w:color="auto"/>
        <w:right w:val="none" w:sz="0" w:space="0" w:color="auto"/>
      </w:divBdr>
    </w:div>
    <w:div w:id="831526969">
      <w:bodyDiv w:val="1"/>
      <w:marLeft w:val="0"/>
      <w:marRight w:val="0"/>
      <w:marTop w:val="0"/>
      <w:marBottom w:val="0"/>
      <w:divBdr>
        <w:top w:val="none" w:sz="0" w:space="0" w:color="auto"/>
        <w:left w:val="none" w:sz="0" w:space="0" w:color="auto"/>
        <w:bottom w:val="none" w:sz="0" w:space="0" w:color="auto"/>
        <w:right w:val="none" w:sz="0" w:space="0" w:color="auto"/>
      </w:divBdr>
    </w:div>
    <w:div w:id="967393288">
      <w:bodyDiv w:val="1"/>
      <w:marLeft w:val="0"/>
      <w:marRight w:val="0"/>
      <w:marTop w:val="0"/>
      <w:marBottom w:val="0"/>
      <w:divBdr>
        <w:top w:val="none" w:sz="0" w:space="0" w:color="auto"/>
        <w:left w:val="none" w:sz="0" w:space="0" w:color="auto"/>
        <w:bottom w:val="none" w:sz="0" w:space="0" w:color="auto"/>
        <w:right w:val="none" w:sz="0" w:space="0" w:color="auto"/>
      </w:divBdr>
    </w:div>
    <w:div w:id="1046831858">
      <w:bodyDiv w:val="1"/>
      <w:marLeft w:val="0"/>
      <w:marRight w:val="0"/>
      <w:marTop w:val="0"/>
      <w:marBottom w:val="0"/>
      <w:divBdr>
        <w:top w:val="none" w:sz="0" w:space="0" w:color="auto"/>
        <w:left w:val="none" w:sz="0" w:space="0" w:color="auto"/>
        <w:bottom w:val="none" w:sz="0" w:space="0" w:color="auto"/>
        <w:right w:val="none" w:sz="0" w:space="0" w:color="auto"/>
      </w:divBdr>
    </w:div>
    <w:div w:id="1260218562">
      <w:bodyDiv w:val="1"/>
      <w:marLeft w:val="0"/>
      <w:marRight w:val="0"/>
      <w:marTop w:val="0"/>
      <w:marBottom w:val="0"/>
      <w:divBdr>
        <w:top w:val="none" w:sz="0" w:space="0" w:color="auto"/>
        <w:left w:val="none" w:sz="0" w:space="0" w:color="auto"/>
        <w:bottom w:val="none" w:sz="0" w:space="0" w:color="auto"/>
        <w:right w:val="none" w:sz="0" w:space="0" w:color="auto"/>
      </w:divBdr>
    </w:div>
    <w:div w:id="1312754261">
      <w:bodyDiv w:val="1"/>
      <w:marLeft w:val="0"/>
      <w:marRight w:val="0"/>
      <w:marTop w:val="0"/>
      <w:marBottom w:val="0"/>
      <w:divBdr>
        <w:top w:val="none" w:sz="0" w:space="0" w:color="auto"/>
        <w:left w:val="none" w:sz="0" w:space="0" w:color="auto"/>
        <w:bottom w:val="none" w:sz="0" w:space="0" w:color="auto"/>
        <w:right w:val="none" w:sz="0" w:space="0" w:color="auto"/>
      </w:divBdr>
    </w:div>
    <w:div w:id="1434281738">
      <w:bodyDiv w:val="1"/>
      <w:marLeft w:val="0"/>
      <w:marRight w:val="0"/>
      <w:marTop w:val="0"/>
      <w:marBottom w:val="0"/>
      <w:divBdr>
        <w:top w:val="none" w:sz="0" w:space="0" w:color="auto"/>
        <w:left w:val="none" w:sz="0" w:space="0" w:color="auto"/>
        <w:bottom w:val="none" w:sz="0" w:space="0" w:color="auto"/>
        <w:right w:val="none" w:sz="0" w:space="0" w:color="auto"/>
      </w:divBdr>
    </w:div>
    <w:div w:id="14688874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922">
          <w:marLeft w:val="0"/>
          <w:marRight w:val="0"/>
          <w:marTop w:val="480"/>
          <w:marBottom w:val="480"/>
          <w:divBdr>
            <w:top w:val="none" w:sz="0" w:space="0" w:color="auto"/>
            <w:left w:val="none" w:sz="0" w:space="0" w:color="auto"/>
            <w:bottom w:val="none" w:sz="0" w:space="0" w:color="auto"/>
            <w:right w:val="none" w:sz="0" w:space="0" w:color="auto"/>
          </w:divBdr>
        </w:div>
      </w:divsChild>
    </w:div>
    <w:div w:id="1583103760">
      <w:bodyDiv w:val="1"/>
      <w:marLeft w:val="0"/>
      <w:marRight w:val="0"/>
      <w:marTop w:val="0"/>
      <w:marBottom w:val="0"/>
      <w:divBdr>
        <w:top w:val="none" w:sz="0" w:space="0" w:color="auto"/>
        <w:left w:val="none" w:sz="0" w:space="0" w:color="auto"/>
        <w:bottom w:val="none" w:sz="0" w:space="0" w:color="auto"/>
        <w:right w:val="none" w:sz="0" w:space="0" w:color="auto"/>
      </w:divBdr>
    </w:div>
    <w:div w:id="1733887725">
      <w:bodyDiv w:val="1"/>
      <w:marLeft w:val="0"/>
      <w:marRight w:val="0"/>
      <w:marTop w:val="0"/>
      <w:marBottom w:val="0"/>
      <w:divBdr>
        <w:top w:val="none" w:sz="0" w:space="0" w:color="auto"/>
        <w:left w:val="none" w:sz="0" w:space="0" w:color="auto"/>
        <w:bottom w:val="none" w:sz="0" w:space="0" w:color="auto"/>
        <w:right w:val="none" w:sz="0" w:space="0" w:color="auto"/>
      </w:divBdr>
    </w:div>
    <w:div w:id="1868445490">
      <w:bodyDiv w:val="1"/>
      <w:marLeft w:val="0"/>
      <w:marRight w:val="0"/>
      <w:marTop w:val="0"/>
      <w:marBottom w:val="0"/>
      <w:divBdr>
        <w:top w:val="none" w:sz="0" w:space="0" w:color="auto"/>
        <w:left w:val="none" w:sz="0" w:space="0" w:color="auto"/>
        <w:bottom w:val="none" w:sz="0" w:space="0" w:color="auto"/>
        <w:right w:val="none" w:sz="0" w:space="0" w:color="auto"/>
      </w:divBdr>
    </w:div>
    <w:div w:id="1890533152">
      <w:bodyDiv w:val="1"/>
      <w:marLeft w:val="0"/>
      <w:marRight w:val="0"/>
      <w:marTop w:val="0"/>
      <w:marBottom w:val="0"/>
      <w:divBdr>
        <w:top w:val="none" w:sz="0" w:space="0" w:color="auto"/>
        <w:left w:val="none" w:sz="0" w:space="0" w:color="auto"/>
        <w:bottom w:val="none" w:sz="0" w:space="0" w:color="auto"/>
        <w:right w:val="none" w:sz="0" w:space="0" w:color="auto"/>
      </w:divBdr>
    </w:div>
    <w:div w:id="21138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dtc.nhs.uk/publication-type/shared-care/" TargetMode="External"/><Relationship Id="rId18" Type="http://schemas.openxmlformats.org/officeDocument/2006/relationships/hyperlink" Target="https://www.medicines.org.uk/emc/search?q=riluzole" TargetMode="External"/><Relationship Id="rId26" Type="http://schemas.openxmlformats.org/officeDocument/2006/relationships/hyperlink" Target="https://bnf.nice.org.uk/drug/riluzole.html" TargetMode="External"/><Relationship Id="rId39" Type="http://schemas.openxmlformats.org/officeDocument/2006/relationships/hyperlink" Target="https://www.gmc-uk.org/ethical-guidance/ethical-guidance-for-doctors/good-practice-in-prescribing-and-managing-medicines-and-devices/shared-care" TargetMode="External"/><Relationship Id="rId21" Type="http://schemas.openxmlformats.org/officeDocument/2006/relationships/hyperlink" Target="https://www.nhs.uk/conditions/low-white-blood-cell-count/" TargetMode="External"/><Relationship Id="rId34" Type="http://schemas.openxmlformats.org/officeDocument/2006/relationships/hyperlink" Target="https://access.newtguidelines.com/R/Riluzole.html"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dicines.org.uk/emc/search?q=riluzole" TargetMode="External"/><Relationship Id="rId20" Type="http://schemas.openxmlformats.org/officeDocument/2006/relationships/hyperlink" Target="https://www.mndassociation.org/sites/default/files/2023-11/5A-Riluzole.pdf" TargetMode="External"/><Relationship Id="rId29" Type="http://schemas.openxmlformats.org/officeDocument/2006/relationships/hyperlink" Target="https://www.medicines.org.uk/emc/product/10060/smpc"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wp-content/uploads/2018/03/responsibility-prescribing-between-primary-secondary-care-v2.pdf" TargetMode="External"/><Relationship Id="rId24" Type="http://schemas.openxmlformats.org/officeDocument/2006/relationships/hyperlink" Target="https://www.mndassociation.org/about-mnd/what-is-mnd/basic-facts-about-mnd/" TargetMode="External"/><Relationship Id="rId32" Type="http://schemas.openxmlformats.org/officeDocument/2006/relationships/hyperlink" Target="https://www.medicines.org.uk/emc/product/14754/smpc" TargetMode="External"/><Relationship Id="rId37" Type="http://schemas.openxmlformats.org/officeDocument/2006/relationships/hyperlink" Target="https://www.medicinesresources.nhs.uk/shared-care-for-medicines-guidance-a-standard-approach-rmoc.html" TargetMode="External"/><Relationship Id="rId40" Type="http://schemas.openxmlformats.org/officeDocument/2006/relationships/hyperlink" Target="https://www.nice.org.uk/guidance/ng197/" TargetMode="External"/><Relationship Id="rId5" Type="http://schemas.openxmlformats.org/officeDocument/2006/relationships/numbering" Target="numbering.xml"/><Relationship Id="rId15" Type="http://schemas.openxmlformats.org/officeDocument/2006/relationships/hyperlink" Target="https://bnf.nice.org.uk/drugs/riluzole/" TargetMode="External"/><Relationship Id="rId23" Type="http://schemas.openxmlformats.org/officeDocument/2006/relationships/hyperlink" Target="https://www.sps.nhs.uk/medicines/riluzole/%20" TargetMode="External"/><Relationship Id="rId28" Type="http://schemas.openxmlformats.org/officeDocument/2006/relationships/hyperlink" Target="https://www.nice.org.uk/guidance/ng42" TargetMode="External"/><Relationship Id="rId36" Type="http://schemas.openxmlformats.org/officeDocument/2006/relationships/hyperlink" Target="https://cks.nice.org.uk/topics/neutropenic-sepsis/management/management/" TargetMode="External"/><Relationship Id="rId10" Type="http://schemas.openxmlformats.org/officeDocument/2006/relationships/endnotes" Target="endnotes.xml"/><Relationship Id="rId19" Type="http://schemas.openxmlformats.org/officeDocument/2006/relationships/hyperlink" Target="http://www.mhra.gov.uk/yellowcard" TargetMode="External"/><Relationship Id="rId31" Type="http://schemas.openxmlformats.org/officeDocument/2006/relationships/hyperlink" Target="https://www.medicines.org.uk/emc/product/5060/smp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ta20" TargetMode="External"/><Relationship Id="rId22" Type="http://schemas.openxmlformats.org/officeDocument/2006/relationships/hyperlink" Target="https://www.medicines.org.uk/emc/search?q=riluzole" TargetMode="External"/><Relationship Id="rId27" Type="http://schemas.openxmlformats.org/officeDocument/2006/relationships/hyperlink" Target="https://www.nice.org.uk/guidance/ta20" TargetMode="External"/><Relationship Id="rId30" Type="http://schemas.openxmlformats.org/officeDocument/2006/relationships/hyperlink" Target="https://www.medicines.org.uk/emc/product/5185/smpc" TargetMode="External"/><Relationship Id="rId35" Type="http://schemas.openxmlformats.org/officeDocument/2006/relationships/hyperlink" Target="https://www.sps.nhs.uk/medicines/riluzol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ndassociation.org/sites/default/files/2023-11/5A-Riluzole.pdf" TargetMode="External"/><Relationship Id="rId17" Type="http://schemas.openxmlformats.org/officeDocument/2006/relationships/hyperlink" Target="https://bnf.nice.org.uk/drugs/riluzole/" TargetMode="External"/><Relationship Id="rId25" Type="http://schemas.openxmlformats.org/officeDocument/2006/relationships/hyperlink" Target="https://www.mndscotland.org.uk/" TargetMode="External"/><Relationship Id="rId33" Type="http://schemas.openxmlformats.org/officeDocument/2006/relationships/hyperlink" Target="https://www.medicinescomplete.com/" TargetMode="External"/><Relationship Id="rId38" Type="http://schemas.openxmlformats.org/officeDocument/2006/relationships/hyperlink" Target="https://www.england.nhs.uk/publication/responsibility-for-prescribing-between-primary-and-secondary-tertiary-c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f8bb99-f63a-4e33-b200-ec62ac311639" xsi:nil="true"/>
    <lcf76f155ced4ddcb4097134ff3c332f xmlns="f20c8ee1-5c4d-4fe6-a884-671ceaf5210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9" ma:contentTypeDescription="Create a new document." ma:contentTypeScope="" ma:versionID="8c534e726c896b57c82b5b99f4f319a2">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27677d382d494c3cc9cf583fe71f4b5e"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31231-6f43-4857-8242-87355a4339e9}"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0F89DA-698B-430F-9822-AD922465335C}">
  <ds:schemaRefs>
    <ds:schemaRef ds:uri="http://schemas.microsoft.com/office/2006/metadata/properties"/>
    <ds:schemaRef ds:uri="http://schemas.microsoft.com/office/infopath/2007/PartnerControls"/>
    <ds:schemaRef ds:uri="daf8bb99-f63a-4e33-b200-ec62ac311639"/>
    <ds:schemaRef ds:uri="f20c8ee1-5c4d-4fe6-a884-671ceaf52101"/>
    <ds:schemaRef ds:uri="http://schemas.microsoft.com/sharepoint/v3"/>
  </ds:schemaRefs>
</ds:datastoreItem>
</file>

<file path=customXml/itemProps2.xml><?xml version="1.0" encoding="utf-8"?>
<ds:datastoreItem xmlns:ds="http://schemas.openxmlformats.org/officeDocument/2006/customXml" ds:itemID="{093E9162-DEC7-44E8-8273-8CB87F1B73B5}">
  <ds:schemaRefs>
    <ds:schemaRef ds:uri="http://schemas.openxmlformats.org/officeDocument/2006/bibliography"/>
  </ds:schemaRefs>
</ds:datastoreItem>
</file>

<file path=customXml/itemProps3.xml><?xml version="1.0" encoding="utf-8"?>
<ds:datastoreItem xmlns:ds="http://schemas.openxmlformats.org/officeDocument/2006/customXml" ds:itemID="{AA3DE018-83F3-4133-9BDA-16643A117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AB882-76C8-4C3A-80F2-A88BAF8090B7}">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2876</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19232</CharactersWithSpaces>
  <SharedDoc>false</SharedDoc>
  <HLinks>
    <vt:vector size="186" baseType="variant">
      <vt:variant>
        <vt:i4>6553641</vt:i4>
      </vt:variant>
      <vt:variant>
        <vt:i4>87</vt:i4>
      </vt:variant>
      <vt:variant>
        <vt:i4>0</vt:i4>
      </vt:variant>
      <vt:variant>
        <vt:i4>5</vt:i4>
      </vt:variant>
      <vt:variant>
        <vt:lpwstr>https://www.nice.org.uk/guidance/ng197/</vt:lpwstr>
      </vt:variant>
      <vt:variant>
        <vt:lpwstr/>
      </vt:variant>
      <vt:variant>
        <vt:i4>4390932</vt:i4>
      </vt:variant>
      <vt:variant>
        <vt:i4>84</vt:i4>
      </vt:variant>
      <vt:variant>
        <vt:i4>0</vt:i4>
      </vt:variant>
      <vt:variant>
        <vt:i4>5</vt:i4>
      </vt:variant>
      <vt:variant>
        <vt:lpwstr>https://www.gmc-uk.org/ethical-guidance/ethical-guidance-for-doctors/good-practice-in-prescribing-and-managing-medicines-and-devices/shared-care</vt:lpwstr>
      </vt:variant>
      <vt:variant>
        <vt:lpwstr/>
      </vt:variant>
      <vt:variant>
        <vt:i4>4128875</vt:i4>
      </vt:variant>
      <vt:variant>
        <vt:i4>81</vt:i4>
      </vt:variant>
      <vt:variant>
        <vt:i4>0</vt:i4>
      </vt:variant>
      <vt:variant>
        <vt:i4>5</vt:i4>
      </vt:variant>
      <vt:variant>
        <vt:lpwstr>https://www.england.nhs.uk/publication/responsibility-for-prescribing-between-primary-and-secondary-tertiary-care/</vt:lpwstr>
      </vt:variant>
      <vt:variant>
        <vt:lpwstr/>
      </vt:variant>
      <vt:variant>
        <vt:i4>7602283</vt:i4>
      </vt:variant>
      <vt:variant>
        <vt:i4>78</vt:i4>
      </vt:variant>
      <vt:variant>
        <vt:i4>0</vt:i4>
      </vt:variant>
      <vt:variant>
        <vt:i4>5</vt:i4>
      </vt:variant>
      <vt:variant>
        <vt:lpwstr>https://www.sps.nhs.uk/articles/rmoc-shared-care-guidance/</vt:lpwstr>
      </vt:variant>
      <vt:variant>
        <vt:lpwstr/>
      </vt:variant>
      <vt:variant>
        <vt:i4>1179658</vt:i4>
      </vt:variant>
      <vt:variant>
        <vt:i4>75</vt:i4>
      </vt:variant>
      <vt:variant>
        <vt:i4>0</vt:i4>
      </vt:variant>
      <vt:variant>
        <vt:i4>5</vt:i4>
      </vt:variant>
      <vt:variant>
        <vt:lpwstr>https://cks.nice.org.uk/topics/neutropenic-sepsis/management/management/</vt:lpwstr>
      </vt:variant>
      <vt:variant>
        <vt:lpwstr/>
      </vt:variant>
      <vt:variant>
        <vt:i4>7012414</vt:i4>
      </vt:variant>
      <vt:variant>
        <vt:i4>72</vt:i4>
      </vt:variant>
      <vt:variant>
        <vt:i4>0</vt:i4>
      </vt:variant>
      <vt:variant>
        <vt:i4>5</vt:i4>
      </vt:variant>
      <vt:variant>
        <vt:lpwstr>https://www.sps.nhs.uk/medicines/riluzole/</vt:lpwstr>
      </vt:variant>
      <vt:variant>
        <vt:lpwstr/>
      </vt:variant>
      <vt:variant>
        <vt:i4>4718656</vt:i4>
      </vt:variant>
      <vt:variant>
        <vt:i4>69</vt:i4>
      </vt:variant>
      <vt:variant>
        <vt:i4>0</vt:i4>
      </vt:variant>
      <vt:variant>
        <vt:i4>5</vt:i4>
      </vt:variant>
      <vt:variant>
        <vt:lpwstr>https://access.newtguidelines.com/R/Riluzole.html</vt:lpwstr>
      </vt:variant>
      <vt:variant>
        <vt:lpwstr/>
      </vt:variant>
      <vt:variant>
        <vt:i4>1638495</vt:i4>
      </vt:variant>
      <vt:variant>
        <vt:i4>66</vt:i4>
      </vt:variant>
      <vt:variant>
        <vt:i4>0</vt:i4>
      </vt:variant>
      <vt:variant>
        <vt:i4>5</vt:i4>
      </vt:variant>
      <vt:variant>
        <vt:lpwstr>https://www.medicinescomplete.com/</vt:lpwstr>
      </vt:variant>
      <vt:variant>
        <vt:lpwstr>/content/tubes/c330</vt:lpwstr>
      </vt:variant>
      <vt:variant>
        <vt:i4>7864382</vt:i4>
      </vt:variant>
      <vt:variant>
        <vt:i4>63</vt:i4>
      </vt:variant>
      <vt:variant>
        <vt:i4>0</vt:i4>
      </vt:variant>
      <vt:variant>
        <vt:i4>5</vt:i4>
      </vt:variant>
      <vt:variant>
        <vt:lpwstr>https://www.medicines.org.uk/emc/product/14754/smpc</vt:lpwstr>
      </vt:variant>
      <vt:variant>
        <vt:lpwstr/>
      </vt:variant>
      <vt:variant>
        <vt:i4>7012478</vt:i4>
      </vt:variant>
      <vt:variant>
        <vt:i4>60</vt:i4>
      </vt:variant>
      <vt:variant>
        <vt:i4>0</vt:i4>
      </vt:variant>
      <vt:variant>
        <vt:i4>5</vt:i4>
      </vt:variant>
      <vt:variant>
        <vt:lpwstr>https://www.medicines.org.uk/emc/product/5060/smpc</vt:lpwstr>
      </vt:variant>
      <vt:variant>
        <vt:lpwstr/>
      </vt:variant>
      <vt:variant>
        <vt:i4>6619258</vt:i4>
      </vt:variant>
      <vt:variant>
        <vt:i4>57</vt:i4>
      </vt:variant>
      <vt:variant>
        <vt:i4>0</vt:i4>
      </vt:variant>
      <vt:variant>
        <vt:i4>5</vt:i4>
      </vt:variant>
      <vt:variant>
        <vt:lpwstr>https://www.medicines.org.uk/emc/product/5185/smpc</vt:lpwstr>
      </vt:variant>
      <vt:variant>
        <vt:lpwstr/>
      </vt:variant>
      <vt:variant>
        <vt:i4>8060985</vt:i4>
      </vt:variant>
      <vt:variant>
        <vt:i4>54</vt:i4>
      </vt:variant>
      <vt:variant>
        <vt:i4>0</vt:i4>
      </vt:variant>
      <vt:variant>
        <vt:i4>5</vt:i4>
      </vt:variant>
      <vt:variant>
        <vt:lpwstr>https://www.medicines.org.uk/emc/product/10060/smpc</vt:lpwstr>
      </vt:variant>
      <vt:variant>
        <vt:lpwstr/>
      </vt:variant>
      <vt:variant>
        <vt:i4>6881406</vt:i4>
      </vt:variant>
      <vt:variant>
        <vt:i4>51</vt:i4>
      </vt:variant>
      <vt:variant>
        <vt:i4>0</vt:i4>
      </vt:variant>
      <vt:variant>
        <vt:i4>5</vt:i4>
      </vt:variant>
      <vt:variant>
        <vt:lpwstr>https://www.medicines.org.uk/emc/product/1101/smpc</vt:lpwstr>
      </vt:variant>
      <vt:variant>
        <vt:lpwstr/>
      </vt:variant>
      <vt:variant>
        <vt:i4>5636112</vt:i4>
      </vt:variant>
      <vt:variant>
        <vt:i4>48</vt:i4>
      </vt:variant>
      <vt:variant>
        <vt:i4>0</vt:i4>
      </vt:variant>
      <vt:variant>
        <vt:i4>5</vt:i4>
      </vt:variant>
      <vt:variant>
        <vt:lpwstr>https://www.nice.org.uk/guidance/ng42</vt:lpwstr>
      </vt:variant>
      <vt:variant>
        <vt:lpwstr/>
      </vt:variant>
      <vt:variant>
        <vt:i4>4849686</vt:i4>
      </vt:variant>
      <vt:variant>
        <vt:i4>45</vt:i4>
      </vt:variant>
      <vt:variant>
        <vt:i4>0</vt:i4>
      </vt:variant>
      <vt:variant>
        <vt:i4>5</vt:i4>
      </vt:variant>
      <vt:variant>
        <vt:lpwstr>https://www.nice.org.uk/guidance/ta20</vt:lpwstr>
      </vt:variant>
      <vt:variant>
        <vt:lpwstr/>
      </vt:variant>
      <vt:variant>
        <vt:i4>2359421</vt:i4>
      </vt:variant>
      <vt:variant>
        <vt:i4>42</vt:i4>
      </vt:variant>
      <vt:variant>
        <vt:i4>0</vt:i4>
      </vt:variant>
      <vt:variant>
        <vt:i4>5</vt:i4>
      </vt:variant>
      <vt:variant>
        <vt:lpwstr>https://bnf.nice.org.uk/drug/riluzole.html</vt:lpwstr>
      </vt:variant>
      <vt:variant>
        <vt:lpwstr/>
      </vt:variant>
      <vt:variant>
        <vt:i4>2162726</vt:i4>
      </vt:variant>
      <vt:variant>
        <vt:i4>39</vt:i4>
      </vt:variant>
      <vt:variant>
        <vt:i4>0</vt:i4>
      </vt:variant>
      <vt:variant>
        <vt:i4>5</vt:i4>
      </vt:variant>
      <vt:variant>
        <vt:lpwstr>https://www.mndscotland.org.uk/</vt:lpwstr>
      </vt:variant>
      <vt:variant>
        <vt:lpwstr/>
      </vt:variant>
      <vt:variant>
        <vt:i4>8126591</vt:i4>
      </vt:variant>
      <vt:variant>
        <vt:i4>36</vt:i4>
      </vt:variant>
      <vt:variant>
        <vt:i4>0</vt:i4>
      </vt:variant>
      <vt:variant>
        <vt:i4>5</vt:i4>
      </vt:variant>
      <vt:variant>
        <vt:lpwstr>https://www.mndassociation.org/about-mnd/what-is-mnd/basic-facts-about-mnd/</vt:lpwstr>
      </vt:variant>
      <vt:variant>
        <vt:lpwstr/>
      </vt:variant>
      <vt:variant>
        <vt:i4>7012414</vt:i4>
      </vt:variant>
      <vt:variant>
        <vt:i4>33</vt:i4>
      </vt:variant>
      <vt:variant>
        <vt:i4>0</vt:i4>
      </vt:variant>
      <vt:variant>
        <vt:i4>5</vt:i4>
      </vt:variant>
      <vt:variant>
        <vt:lpwstr>https://www.sps.nhs.uk/medicines/riluzole/</vt:lpwstr>
      </vt:variant>
      <vt:variant>
        <vt:lpwstr/>
      </vt:variant>
      <vt:variant>
        <vt:i4>3276833</vt:i4>
      </vt:variant>
      <vt:variant>
        <vt:i4>30</vt:i4>
      </vt:variant>
      <vt:variant>
        <vt:i4>0</vt:i4>
      </vt:variant>
      <vt:variant>
        <vt:i4>5</vt:i4>
      </vt:variant>
      <vt:variant>
        <vt:lpwstr>https://www.medicines.org.uk/emc/search?q=riluzole</vt:lpwstr>
      </vt:variant>
      <vt:variant>
        <vt:lpwstr/>
      </vt:variant>
      <vt:variant>
        <vt:i4>2031694</vt:i4>
      </vt:variant>
      <vt:variant>
        <vt:i4>27</vt:i4>
      </vt:variant>
      <vt:variant>
        <vt:i4>0</vt:i4>
      </vt:variant>
      <vt:variant>
        <vt:i4>5</vt:i4>
      </vt:variant>
      <vt:variant>
        <vt:lpwstr>https://www.nhs.uk/conditions/low-white-blood-cell-count/</vt:lpwstr>
      </vt:variant>
      <vt:variant>
        <vt:lpwstr/>
      </vt:variant>
      <vt:variant>
        <vt:i4>3342381</vt:i4>
      </vt:variant>
      <vt:variant>
        <vt:i4>24</vt:i4>
      </vt:variant>
      <vt:variant>
        <vt:i4>0</vt:i4>
      </vt:variant>
      <vt:variant>
        <vt:i4>5</vt:i4>
      </vt:variant>
      <vt:variant>
        <vt:lpwstr>https://www.mndassociation.org/sites/default/files/2023-11/5A-Riluzole.pdf</vt:lpwstr>
      </vt:variant>
      <vt:variant>
        <vt:lpwstr/>
      </vt:variant>
      <vt:variant>
        <vt:i4>5963789</vt:i4>
      </vt:variant>
      <vt:variant>
        <vt:i4>21</vt:i4>
      </vt:variant>
      <vt:variant>
        <vt:i4>0</vt:i4>
      </vt:variant>
      <vt:variant>
        <vt:i4>5</vt:i4>
      </vt:variant>
      <vt:variant>
        <vt:lpwstr>http://www.mhra.gov.uk/yellowcard</vt:lpwstr>
      </vt:variant>
      <vt:variant>
        <vt:lpwstr/>
      </vt:variant>
      <vt:variant>
        <vt:i4>3276833</vt:i4>
      </vt:variant>
      <vt:variant>
        <vt:i4>18</vt:i4>
      </vt:variant>
      <vt:variant>
        <vt:i4>0</vt:i4>
      </vt:variant>
      <vt:variant>
        <vt:i4>5</vt:i4>
      </vt:variant>
      <vt:variant>
        <vt:lpwstr>https://www.medicines.org.uk/emc/search?q=riluzole</vt:lpwstr>
      </vt:variant>
      <vt:variant>
        <vt:lpwstr/>
      </vt:variant>
      <vt:variant>
        <vt:i4>2293818</vt:i4>
      </vt:variant>
      <vt:variant>
        <vt:i4>15</vt:i4>
      </vt:variant>
      <vt:variant>
        <vt:i4>0</vt:i4>
      </vt:variant>
      <vt:variant>
        <vt:i4>5</vt:i4>
      </vt:variant>
      <vt:variant>
        <vt:lpwstr>https://bnf.nice.org.uk/drugs/riluzole/</vt:lpwstr>
      </vt:variant>
      <vt:variant>
        <vt:lpwstr/>
      </vt:variant>
      <vt:variant>
        <vt:i4>3276833</vt:i4>
      </vt:variant>
      <vt:variant>
        <vt:i4>12</vt:i4>
      </vt:variant>
      <vt:variant>
        <vt:i4>0</vt:i4>
      </vt:variant>
      <vt:variant>
        <vt:i4>5</vt:i4>
      </vt:variant>
      <vt:variant>
        <vt:lpwstr>https://www.medicines.org.uk/emc/search?q=riluzole</vt:lpwstr>
      </vt:variant>
      <vt:variant>
        <vt:lpwstr/>
      </vt:variant>
      <vt:variant>
        <vt:i4>2293818</vt:i4>
      </vt:variant>
      <vt:variant>
        <vt:i4>9</vt:i4>
      </vt:variant>
      <vt:variant>
        <vt:i4>0</vt:i4>
      </vt:variant>
      <vt:variant>
        <vt:i4>5</vt:i4>
      </vt:variant>
      <vt:variant>
        <vt:lpwstr>https://bnf.nice.org.uk/drugs/riluzole/</vt:lpwstr>
      </vt:variant>
      <vt:variant>
        <vt:lpwstr/>
      </vt:variant>
      <vt:variant>
        <vt:i4>5308512</vt:i4>
      </vt:variant>
      <vt:variant>
        <vt:i4>6</vt:i4>
      </vt:variant>
      <vt:variant>
        <vt:i4>0</vt:i4>
      </vt:variant>
      <vt:variant>
        <vt:i4>5</vt:i4>
      </vt:variant>
      <vt:variant>
        <vt:lpwstr/>
      </vt:variant>
      <vt:variant>
        <vt:lpwstr>six_monitoring</vt:lpwstr>
      </vt:variant>
      <vt:variant>
        <vt:i4>4849686</vt:i4>
      </vt:variant>
      <vt:variant>
        <vt:i4>3</vt:i4>
      </vt:variant>
      <vt:variant>
        <vt:i4>0</vt:i4>
      </vt:variant>
      <vt:variant>
        <vt:i4>5</vt:i4>
      </vt:variant>
      <vt:variant>
        <vt:lpwstr>https://www.nice.org.uk/guidance/ta20</vt:lpwstr>
      </vt:variant>
      <vt:variant>
        <vt:lpwstr/>
      </vt:variant>
      <vt:variant>
        <vt:i4>6225948</vt:i4>
      </vt:variant>
      <vt:variant>
        <vt:i4>0</vt:i4>
      </vt:variant>
      <vt:variant>
        <vt:i4>0</vt:i4>
      </vt:variant>
      <vt:variant>
        <vt:i4>5</vt:i4>
      </vt:variant>
      <vt:variant>
        <vt:lpwstr>https://rdtc.nhs.uk/publication-type/shared-care/</vt:lpwstr>
      </vt:variant>
      <vt:variant>
        <vt:lpwstr/>
      </vt:variant>
      <vt:variant>
        <vt:i4>8126579</vt:i4>
      </vt:variant>
      <vt:variant>
        <vt:i4>0</vt:i4>
      </vt:variant>
      <vt:variant>
        <vt:i4>0</vt:i4>
      </vt:variant>
      <vt:variant>
        <vt:i4>5</vt:i4>
      </vt:variant>
      <vt:variant>
        <vt:lpwstr>https://www.england.nhs.uk/wp-content/uploads/2018/03/responsibility-prescribing-between-primary-secondary-care-v2.pdf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Donlon Kieron (MLCSU)</dc:creator>
  <cp:lastModifiedBy>STANIFORTH, Rachel (NHS HUMBER AND NORTH YORKSHIRE ICB - 42D)</cp:lastModifiedBy>
  <cp:revision>5</cp:revision>
  <cp:lastPrinted>2022-03-11T14:19:00Z</cp:lastPrinted>
  <dcterms:created xsi:type="dcterms:W3CDTF">2025-04-03T15:52:00Z</dcterms:created>
  <dcterms:modified xsi:type="dcterms:W3CDTF">2025-04-04T10:28:00Z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_dlc_DocIdItemGuid">
    <vt:lpwstr>51b1480d-bcbe-4409-8965-5d4ba7a1fe1a</vt:lpwstr>
  </property>
  <property fmtid="{D5CDD505-2E9C-101B-9397-08002B2CF9AE}" pid="4" name="MediaServiceImageTags">
    <vt:lpwstr/>
  </property>
</Properties>
</file>