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EB5B4" w14:textId="0D741A23" w:rsidR="00560ADF" w:rsidRDefault="001C7976" w:rsidP="007909C3">
      <w:pPr>
        <w:pStyle w:val="BodyText"/>
      </w:pPr>
      <w:r w:rsidRPr="00F661F8">
        <w:rPr>
          <w:noProof/>
          <w:szCs w:val="21"/>
          <w:lang w:eastAsia="en-GB"/>
        </w:rPr>
        <w:drawing>
          <wp:anchor distT="0" distB="0" distL="114300" distR="114300" simplePos="0" relativeHeight="251661312" behindDoc="1" locked="0" layoutInCell="1" allowOverlap="1" wp14:anchorId="4B430088" wp14:editId="5306C8A4">
            <wp:simplePos x="0" y="0"/>
            <wp:positionH relativeFrom="column">
              <wp:posOffset>-635</wp:posOffset>
            </wp:positionH>
            <wp:positionV relativeFrom="paragraph">
              <wp:posOffset>71755</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8969E5" w14:textId="1BE7E414" w:rsidR="001C7976" w:rsidRDefault="001C7976" w:rsidP="001C7976">
      <w:pPr>
        <w:spacing w:before="195" w:after="0"/>
        <w:ind w:right="321"/>
        <w:jc w:val="right"/>
        <w:rPr>
          <w:rFonts w:ascii="Helvetica" w:hAnsi="Helvetica" w:cs="Helvetica"/>
          <w:b/>
          <w:color w:val="404040" w:themeColor="text1" w:themeTint="BF"/>
          <w:sz w:val="40"/>
          <w:szCs w:val="22"/>
        </w:rPr>
      </w:pPr>
      <w:r>
        <w:rPr>
          <w:rFonts w:ascii="Helvetica" w:hAnsi="Helvetica" w:cs="Helvetica"/>
          <w:b/>
          <w:color w:val="404040" w:themeColor="text1" w:themeTint="BF"/>
          <w:sz w:val="40"/>
          <w:szCs w:val="22"/>
        </w:rPr>
        <w:t>SUMMARY OF DECISIONS</w:t>
      </w:r>
    </w:p>
    <w:p w14:paraId="1AD8D030" w14:textId="77777777" w:rsidR="00C966D9" w:rsidRDefault="00C966D9" w:rsidP="007909C3">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E0F8"/>
        <w:tblLook w:val="01E0" w:firstRow="1" w:lastRow="1" w:firstColumn="1" w:lastColumn="1" w:noHBand="0" w:noVBand="0"/>
      </w:tblPr>
      <w:tblGrid>
        <w:gridCol w:w="8501"/>
        <w:gridCol w:w="2977"/>
        <w:gridCol w:w="4406"/>
      </w:tblGrid>
      <w:tr w:rsidR="00C966D9" w:rsidRPr="00172933" w14:paraId="104D1E88" w14:textId="77777777" w:rsidTr="005C0229">
        <w:trPr>
          <w:cantSplit/>
          <w:trHeight w:val="567"/>
          <w:tblHeader/>
        </w:trPr>
        <w:tc>
          <w:tcPr>
            <w:tcW w:w="2676" w:type="pct"/>
            <w:tcBorders>
              <w:top w:val="single" w:sz="4" w:space="0" w:color="auto"/>
              <w:left w:val="single" w:sz="4" w:space="0" w:color="auto"/>
              <w:bottom w:val="single" w:sz="4" w:space="0" w:color="auto"/>
              <w:right w:val="single" w:sz="4" w:space="0" w:color="auto"/>
            </w:tcBorders>
            <w:shd w:val="clear" w:color="auto" w:fill="C9ECFB"/>
            <w:vAlign w:val="center"/>
          </w:tcPr>
          <w:p w14:paraId="2806832D" w14:textId="59AA606C" w:rsidR="00C966D9" w:rsidRPr="00172933" w:rsidRDefault="00C966D9" w:rsidP="005C0229">
            <w:pPr>
              <w:tabs>
                <w:tab w:val="left" w:pos="720"/>
              </w:tabs>
              <w:autoSpaceDE/>
              <w:rPr>
                <w:rFonts w:ascii="Helvetica" w:eastAsia="Calibri" w:hAnsi="Helvetica" w:cs="Helvetica"/>
                <w:b/>
                <w:sz w:val="24"/>
                <w:szCs w:val="24"/>
                <w:lang w:val="en-US"/>
              </w:rPr>
            </w:pPr>
            <w:r w:rsidRPr="00172933">
              <w:rPr>
                <w:rFonts w:ascii="Helvetica" w:eastAsia="Calibri" w:hAnsi="Helvetica" w:cs="Helvetica"/>
                <w:b/>
                <w:sz w:val="24"/>
                <w:szCs w:val="24"/>
                <w:lang w:val="en-US"/>
              </w:rPr>
              <w:t xml:space="preserve">Recommendations made by </w:t>
            </w:r>
            <w:r w:rsidR="001C7976" w:rsidRPr="00172933">
              <w:rPr>
                <w:rFonts w:ascii="Helvetica" w:eastAsia="Calibri" w:hAnsi="Helvetica" w:cs="Helvetica"/>
                <w:b/>
                <w:sz w:val="24"/>
                <w:szCs w:val="24"/>
                <w:lang w:val="en-US"/>
              </w:rPr>
              <w:t>HNY APC</w:t>
            </w:r>
            <w:r w:rsidRPr="00172933">
              <w:rPr>
                <w:rFonts w:ascii="Helvetica" w:eastAsia="Calibri" w:hAnsi="Helvetica" w:cs="Helvetica"/>
                <w:b/>
                <w:sz w:val="24"/>
                <w:szCs w:val="24"/>
                <w:lang w:val="en-US"/>
              </w:rPr>
              <w:t xml:space="preserve"> subgroups</w:t>
            </w:r>
          </w:p>
        </w:tc>
        <w:tc>
          <w:tcPr>
            <w:tcW w:w="937" w:type="pct"/>
            <w:tcBorders>
              <w:top w:val="single" w:sz="4" w:space="0" w:color="auto"/>
              <w:left w:val="single" w:sz="4" w:space="0" w:color="auto"/>
              <w:bottom w:val="single" w:sz="4" w:space="0" w:color="auto"/>
              <w:right w:val="single" w:sz="4" w:space="0" w:color="auto"/>
            </w:tcBorders>
            <w:shd w:val="clear" w:color="auto" w:fill="C9ECFB"/>
            <w:hideMark/>
          </w:tcPr>
          <w:p w14:paraId="1CE3290C" w14:textId="75CFB322" w:rsidR="00C966D9" w:rsidRPr="00172933" w:rsidRDefault="00830A05" w:rsidP="005C0229">
            <w:pPr>
              <w:tabs>
                <w:tab w:val="left" w:pos="720"/>
              </w:tabs>
              <w:autoSpaceDE/>
              <w:rPr>
                <w:rFonts w:ascii="Helvetica" w:eastAsia="Calibri" w:hAnsi="Helvetica" w:cs="Helvetica"/>
                <w:b/>
                <w:sz w:val="24"/>
                <w:szCs w:val="24"/>
                <w:lang w:val="en-US"/>
              </w:rPr>
            </w:pPr>
            <w:r w:rsidRPr="00172933">
              <w:rPr>
                <w:rFonts w:ascii="Helvetica" w:eastAsia="Calibri" w:hAnsi="Helvetica" w:cs="Helvetica"/>
                <w:b/>
                <w:sz w:val="24"/>
                <w:szCs w:val="24"/>
                <w:lang w:val="en-US"/>
              </w:rPr>
              <w:t>March</w:t>
            </w:r>
            <w:r w:rsidR="001C7976" w:rsidRPr="00172933">
              <w:rPr>
                <w:rFonts w:ascii="Helvetica" w:eastAsia="Calibri" w:hAnsi="Helvetica" w:cs="Helvetica"/>
                <w:b/>
                <w:sz w:val="24"/>
                <w:szCs w:val="24"/>
                <w:lang w:val="en-US"/>
              </w:rPr>
              <w:t xml:space="preserve"> 2025</w:t>
            </w:r>
          </w:p>
        </w:tc>
        <w:tc>
          <w:tcPr>
            <w:tcW w:w="1387" w:type="pct"/>
            <w:vMerge w:val="restart"/>
            <w:tcBorders>
              <w:top w:val="single" w:sz="4" w:space="0" w:color="auto"/>
              <w:left w:val="single" w:sz="4" w:space="0" w:color="auto"/>
              <w:bottom w:val="single" w:sz="4" w:space="0" w:color="auto"/>
              <w:right w:val="single" w:sz="4" w:space="0" w:color="auto"/>
            </w:tcBorders>
            <w:shd w:val="clear" w:color="auto" w:fill="C9ECFB"/>
            <w:hideMark/>
          </w:tcPr>
          <w:p w14:paraId="51AA60B7" w14:textId="01C8BFD6" w:rsidR="00C966D9" w:rsidRPr="00172933" w:rsidRDefault="001C7976" w:rsidP="001C7976">
            <w:pPr>
              <w:tabs>
                <w:tab w:val="left" w:pos="720"/>
              </w:tabs>
              <w:autoSpaceDE/>
              <w:spacing w:before="0" w:after="0"/>
              <w:rPr>
                <w:rFonts w:ascii="Helvetica" w:eastAsia="Calibri" w:hAnsi="Helvetica" w:cs="Helvetica"/>
                <w:b/>
                <w:sz w:val="24"/>
                <w:szCs w:val="24"/>
                <w:lang w:val="en-US"/>
              </w:rPr>
            </w:pPr>
            <w:r w:rsidRPr="00172933">
              <w:rPr>
                <w:noProof/>
                <w:sz w:val="24"/>
                <w:szCs w:val="24"/>
                <w:lang w:eastAsia="en-GB"/>
              </w:rPr>
              <w:drawing>
                <wp:anchor distT="0" distB="0" distL="114300" distR="114300" simplePos="0" relativeHeight="251659264" behindDoc="1" locked="0" layoutInCell="1" allowOverlap="1" wp14:anchorId="2CFE8275" wp14:editId="4B897185">
                  <wp:simplePos x="0" y="0"/>
                  <wp:positionH relativeFrom="column">
                    <wp:posOffset>575310</wp:posOffset>
                  </wp:positionH>
                  <wp:positionV relativeFrom="paragraph">
                    <wp:posOffset>15240</wp:posOffset>
                  </wp:positionV>
                  <wp:extent cx="1478915" cy="899795"/>
                  <wp:effectExtent l="0" t="0" r="6985" b="0"/>
                  <wp:wrapTight wrapText="bothSides">
                    <wp:wrapPolygon edited="0">
                      <wp:start x="0" y="0"/>
                      <wp:lineTo x="0" y="21036"/>
                      <wp:lineTo x="21424" y="21036"/>
                      <wp:lineTo x="21424"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8915" cy="899795"/>
                          </a:xfrm>
                          <a:prstGeom prst="rect">
                            <a:avLst/>
                          </a:prstGeom>
                        </pic:spPr>
                      </pic:pic>
                    </a:graphicData>
                  </a:graphic>
                  <wp14:sizeRelH relativeFrom="margin">
                    <wp14:pctWidth>0</wp14:pctWidth>
                  </wp14:sizeRelH>
                  <wp14:sizeRelV relativeFrom="margin">
                    <wp14:pctHeight>0</wp14:pctHeight>
                  </wp14:sizeRelV>
                </wp:anchor>
              </w:drawing>
            </w:r>
          </w:p>
        </w:tc>
      </w:tr>
      <w:tr w:rsidR="00C966D9" w:rsidRPr="00172933" w14:paraId="7F66C268" w14:textId="77777777" w:rsidTr="005C0229">
        <w:trPr>
          <w:cantSplit/>
          <w:trHeight w:val="567"/>
          <w:tblHeader/>
        </w:trPr>
        <w:tc>
          <w:tcPr>
            <w:tcW w:w="2676" w:type="pct"/>
            <w:tcBorders>
              <w:top w:val="single" w:sz="4" w:space="0" w:color="auto"/>
              <w:left w:val="single" w:sz="4" w:space="0" w:color="auto"/>
              <w:bottom w:val="single" w:sz="4" w:space="0" w:color="auto"/>
              <w:right w:val="single" w:sz="4" w:space="0" w:color="auto"/>
            </w:tcBorders>
            <w:shd w:val="clear" w:color="auto" w:fill="C9ECFB"/>
            <w:vAlign w:val="center"/>
            <w:hideMark/>
          </w:tcPr>
          <w:p w14:paraId="7998F6E8" w14:textId="62A2A4CA" w:rsidR="00C966D9" w:rsidRPr="00172933" w:rsidRDefault="00C966D9" w:rsidP="005C0229">
            <w:pPr>
              <w:tabs>
                <w:tab w:val="left" w:pos="720"/>
              </w:tabs>
              <w:autoSpaceDE/>
              <w:rPr>
                <w:rFonts w:ascii="Helvetica" w:eastAsia="Calibri" w:hAnsi="Helvetica" w:cs="Helvetica"/>
                <w:b/>
                <w:sz w:val="24"/>
                <w:szCs w:val="24"/>
                <w:lang w:val="en-US"/>
              </w:rPr>
            </w:pPr>
            <w:r w:rsidRPr="00172933">
              <w:rPr>
                <w:rFonts w:ascii="Helvetica" w:eastAsia="Calibri" w:hAnsi="Helvetica" w:cs="Helvetica"/>
                <w:b/>
                <w:sz w:val="24"/>
                <w:szCs w:val="24"/>
                <w:lang w:val="en-US"/>
              </w:rPr>
              <w:t xml:space="preserve">Approved by: </w:t>
            </w:r>
            <w:r w:rsidR="001C7976" w:rsidRPr="00172933">
              <w:rPr>
                <w:rFonts w:ascii="Helvetica" w:eastAsia="Calibri" w:hAnsi="Helvetica" w:cs="Helvetica"/>
                <w:b/>
                <w:sz w:val="24"/>
                <w:szCs w:val="24"/>
                <w:lang w:val="en-US"/>
              </w:rPr>
              <w:t>HNY APC</w:t>
            </w:r>
          </w:p>
        </w:tc>
        <w:tc>
          <w:tcPr>
            <w:tcW w:w="937" w:type="pct"/>
            <w:tcBorders>
              <w:top w:val="single" w:sz="4" w:space="0" w:color="auto"/>
              <w:left w:val="single" w:sz="4" w:space="0" w:color="auto"/>
              <w:bottom w:val="single" w:sz="4" w:space="0" w:color="auto"/>
              <w:right w:val="single" w:sz="4" w:space="0" w:color="auto"/>
            </w:tcBorders>
            <w:shd w:val="clear" w:color="auto" w:fill="C9ECFB"/>
          </w:tcPr>
          <w:p w14:paraId="04347631" w14:textId="7F8186A3" w:rsidR="00C966D9" w:rsidRPr="00172933" w:rsidRDefault="00830A05" w:rsidP="005C0229">
            <w:pPr>
              <w:tabs>
                <w:tab w:val="left" w:pos="720"/>
              </w:tabs>
              <w:autoSpaceDE/>
              <w:rPr>
                <w:rFonts w:ascii="Helvetica" w:eastAsia="Calibri" w:hAnsi="Helvetica" w:cs="Helvetica"/>
                <w:b/>
                <w:sz w:val="24"/>
                <w:szCs w:val="24"/>
                <w:lang w:val="en-US"/>
              </w:rPr>
            </w:pPr>
            <w:r w:rsidRPr="00172933">
              <w:rPr>
                <w:rFonts w:ascii="Helvetica" w:eastAsia="Calibri" w:hAnsi="Helvetica" w:cs="Helvetica"/>
                <w:b/>
                <w:sz w:val="24"/>
                <w:szCs w:val="24"/>
                <w:lang w:val="en-US"/>
              </w:rPr>
              <w:t>2</w:t>
            </w:r>
            <w:r w:rsidRPr="00172933">
              <w:rPr>
                <w:rFonts w:ascii="Helvetica" w:eastAsia="Calibri" w:hAnsi="Helvetica" w:cs="Helvetica"/>
                <w:b/>
                <w:sz w:val="24"/>
                <w:szCs w:val="24"/>
                <w:vertAlign w:val="superscript"/>
                <w:lang w:val="en-US"/>
              </w:rPr>
              <w:t>nd</w:t>
            </w:r>
            <w:r w:rsidRPr="00172933">
              <w:rPr>
                <w:rFonts w:ascii="Helvetica" w:eastAsia="Calibri" w:hAnsi="Helvetica" w:cs="Helvetica"/>
                <w:b/>
                <w:sz w:val="24"/>
                <w:szCs w:val="24"/>
                <w:lang w:val="en-US"/>
              </w:rPr>
              <w:t xml:space="preserve"> April </w:t>
            </w:r>
            <w:r w:rsidR="001C7976" w:rsidRPr="00172933">
              <w:rPr>
                <w:rFonts w:ascii="Helvetica" w:eastAsia="Calibri" w:hAnsi="Helvetica" w:cs="Helvetica"/>
                <w:b/>
                <w:sz w:val="24"/>
                <w:szCs w:val="24"/>
                <w:lang w:val="en-US"/>
              </w:rPr>
              <w:t>2025</w:t>
            </w:r>
          </w:p>
        </w:tc>
        <w:tc>
          <w:tcPr>
            <w:tcW w:w="1387" w:type="pct"/>
            <w:vMerge/>
            <w:tcBorders>
              <w:top w:val="single" w:sz="4" w:space="0" w:color="auto"/>
              <w:left w:val="single" w:sz="4" w:space="0" w:color="auto"/>
              <w:bottom w:val="single" w:sz="4" w:space="0" w:color="auto"/>
              <w:right w:val="single" w:sz="4" w:space="0" w:color="auto"/>
            </w:tcBorders>
            <w:shd w:val="clear" w:color="auto" w:fill="AAE0F8"/>
            <w:vAlign w:val="center"/>
            <w:hideMark/>
          </w:tcPr>
          <w:p w14:paraId="6BA6F736" w14:textId="77777777" w:rsidR="00C966D9" w:rsidRPr="00172933" w:rsidRDefault="00C966D9" w:rsidP="005777CA">
            <w:pPr>
              <w:tabs>
                <w:tab w:val="clear" w:pos="975"/>
              </w:tabs>
              <w:spacing w:before="0" w:after="0"/>
              <w:rPr>
                <w:rFonts w:ascii="Helvetica" w:eastAsia="Calibri" w:hAnsi="Helvetica" w:cs="Helvetica"/>
                <w:b/>
                <w:sz w:val="24"/>
                <w:szCs w:val="24"/>
                <w:lang w:val="en-US"/>
              </w:rPr>
            </w:pPr>
          </w:p>
        </w:tc>
      </w:tr>
      <w:tr w:rsidR="001C7976" w:rsidRPr="00172933" w14:paraId="02EC6D31" w14:textId="77777777" w:rsidTr="005C0229">
        <w:trPr>
          <w:cantSplit/>
          <w:trHeight w:val="567"/>
          <w:tblHeader/>
        </w:trPr>
        <w:tc>
          <w:tcPr>
            <w:tcW w:w="2676" w:type="pct"/>
            <w:tcBorders>
              <w:top w:val="single" w:sz="4" w:space="0" w:color="auto"/>
              <w:left w:val="single" w:sz="4" w:space="0" w:color="auto"/>
              <w:right w:val="single" w:sz="4" w:space="0" w:color="auto"/>
            </w:tcBorders>
            <w:shd w:val="clear" w:color="auto" w:fill="C9ECFB"/>
          </w:tcPr>
          <w:p w14:paraId="243D1049" w14:textId="6A0CB675" w:rsidR="001C7976" w:rsidRPr="00172933" w:rsidRDefault="00C4153E" w:rsidP="005C0229">
            <w:pPr>
              <w:tabs>
                <w:tab w:val="left" w:pos="720"/>
              </w:tabs>
              <w:autoSpaceDE/>
              <w:rPr>
                <w:rFonts w:ascii="Helvetica" w:eastAsia="Calibri" w:hAnsi="Helvetica" w:cs="Helvetica"/>
                <w:b/>
                <w:sz w:val="24"/>
                <w:szCs w:val="24"/>
                <w:lang w:val="en-US"/>
              </w:rPr>
            </w:pPr>
            <w:r w:rsidRPr="00172933">
              <w:rPr>
                <w:rFonts w:ascii="Helvetica" w:eastAsia="Calibri" w:hAnsi="Helvetica" w:cs="Helvetica"/>
                <w:b/>
                <w:sz w:val="24"/>
                <w:szCs w:val="24"/>
                <w:lang w:val="en-US"/>
              </w:rPr>
              <w:t xml:space="preserve">Reviewed </w:t>
            </w:r>
            <w:r w:rsidR="001C7976" w:rsidRPr="00172933">
              <w:rPr>
                <w:rFonts w:ascii="Helvetica" w:eastAsia="Calibri" w:hAnsi="Helvetica" w:cs="Helvetica"/>
                <w:b/>
                <w:sz w:val="24"/>
                <w:szCs w:val="24"/>
                <w:lang w:val="en-US"/>
              </w:rPr>
              <w:t xml:space="preserve">by: </w:t>
            </w:r>
            <w:r w:rsidR="008D6DE1" w:rsidRPr="00172933">
              <w:rPr>
                <w:rFonts w:ascii="Helvetica" w:eastAsia="Calibri" w:hAnsi="Helvetica" w:cs="Helvetica"/>
                <w:b/>
                <w:sz w:val="24"/>
                <w:szCs w:val="24"/>
                <w:lang w:val="en-US"/>
              </w:rPr>
              <w:t>CPC</w:t>
            </w:r>
          </w:p>
          <w:p w14:paraId="55A687C6" w14:textId="413EE863" w:rsidR="001C7976" w:rsidRPr="00172933" w:rsidRDefault="008D6DE1" w:rsidP="005C0229">
            <w:pPr>
              <w:tabs>
                <w:tab w:val="left" w:pos="720"/>
              </w:tabs>
              <w:autoSpaceDE/>
              <w:rPr>
                <w:rFonts w:ascii="Helvetica" w:eastAsia="Calibri" w:hAnsi="Helvetica" w:cs="Helvetica"/>
                <w:sz w:val="24"/>
                <w:szCs w:val="24"/>
                <w:lang w:val="en-US"/>
              </w:rPr>
            </w:pPr>
            <w:r w:rsidRPr="00172933">
              <w:rPr>
                <w:rFonts w:ascii="Helvetica" w:eastAsia="Calibri" w:hAnsi="Helvetica" w:cs="Helvetica"/>
                <w:sz w:val="24"/>
                <w:szCs w:val="24"/>
                <w:lang w:val="en-US"/>
              </w:rPr>
              <w:t xml:space="preserve">NB: HNY APC is a decision-making group. Decisions are submitted to CPC for information. </w:t>
            </w:r>
          </w:p>
        </w:tc>
        <w:tc>
          <w:tcPr>
            <w:tcW w:w="937" w:type="pct"/>
            <w:tcBorders>
              <w:top w:val="single" w:sz="4" w:space="0" w:color="auto"/>
              <w:left w:val="single" w:sz="4" w:space="0" w:color="auto"/>
              <w:right w:val="single" w:sz="4" w:space="0" w:color="auto"/>
            </w:tcBorders>
            <w:shd w:val="clear" w:color="auto" w:fill="C9ECFB"/>
          </w:tcPr>
          <w:p w14:paraId="70B3AD2A" w14:textId="67AB3967" w:rsidR="001C7976" w:rsidRPr="00172933" w:rsidRDefault="001C7976" w:rsidP="005C0229">
            <w:pPr>
              <w:tabs>
                <w:tab w:val="left" w:pos="720"/>
              </w:tabs>
              <w:autoSpaceDE/>
              <w:rPr>
                <w:rFonts w:ascii="Helvetica" w:eastAsia="Calibri" w:hAnsi="Helvetica" w:cs="Helvetica"/>
                <w:bCs/>
                <w:iCs/>
                <w:sz w:val="24"/>
                <w:szCs w:val="24"/>
                <w:lang w:val="en-US"/>
              </w:rPr>
            </w:pPr>
            <w:r w:rsidRPr="00172933">
              <w:rPr>
                <w:rFonts w:ascii="Helvetica" w:eastAsia="Calibri" w:hAnsi="Helvetica" w:cs="Helvetica"/>
                <w:bCs/>
                <w:i/>
                <w:iCs/>
                <w:sz w:val="24"/>
                <w:szCs w:val="24"/>
                <w:lang w:val="en-US"/>
              </w:rPr>
              <w:t>pending</w:t>
            </w:r>
          </w:p>
        </w:tc>
        <w:tc>
          <w:tcPr>
            <w:tcW w:w="1387" w:type="pct"/>
            <w:vMerge/>
            <w:tcBorders>
              <w:top w:val="single" w:sz="4" w:space="0" w:color="auto"/>
              <w:left w:val="single" w:sz="4" w:space="0" w:color="auto"/>
              <w:bottom w:val="single" w:sz="4" w:space="0" w:color="auto"/>
              <w:right w:val="single" w:sz="4" w:space="0" w:color="auto"/>
            </w:tcBorders>
            <w:shd w:val="clear" w:color="auto" w:fill="AAE0F8"/>
            <w:vAlign w:val="center"/>
            <w:hideMark/>
          </w:tcPr>
          <w:p w14:paraId="38071639" w14:textId="77777777" w:rsidR="001C7976" w:rsidRPr="00172933" w:rsidRDefault="001C7976" w:rsidP="005777CA">
            <w:pPr>
              <w:tabs>
                <w:tab w:val="clear" w:pos="975"/>
              </w:tabs>
              <w:spacing w:before="0" w:after="0"/>
              <w:rPr>
                <w:rFonts w:ascii="Helvetica" w:eastAsia="Calibri" w:hAnsi="Helvetica" w:cs="Helvetica"/>
                <w:b/>
                <w:sz w:val="24"/>
                <w:szCs w:val="24"/>
                <w:lang w:val="en-US"/>
              </w:rPr>
            </w:pPr>
          </w:p>
        </w:tc>
      </w:tr>
      <w:tr w:rsidR="00C966D9" w:rsidRPr="00172933" w14:paraId="44B0920B" w14:textId="77777777" w:rsidTr="005777CA">
        <w:trPr>
          <w:cantSplit/>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C9ECFB"/>
          </w:tcPr>
          <w:p w14:paraId="49F70009" w14:textId="77777777" w:rsidR="00C966D9" w:rsidRPr="00172933" w:rsidRDefault="00C966D9" w:rsidP="001C7976">
            <w:pPr>
              <w:tabs>
                <w:tab w:val="left" w:pos="720"/>
              </w:tabs>
              <w:autoSpaceDE/>
              <w:rPr>
                <w:rFonts w:eastAsia="Arial"/>
                <w:b/>
                <w:noProof/>
                <w:color w:val="000000" w:themeColor="text1"/>
                <w:sz w:val="24"/>
                <w:szCs w:val="24"/>
                <w:lang w:val="en-US" w:eastAsia="en-GB"/>
              </w:rPr>
            </w:pPr>
            <w:r w:rsidRPr="00172933">
              <w:rPr>
                <w:rFonts w:eastAsia="Arial"/>
                <w:b/>
                <w:noProof/>
                <w:color w:val="000000" w:themeColor="text1"/>
                <w:sz w:val="24"/>
                <w:szCs w:val="24"/>
                <w:lang w:val="en-US" w:eastAsia="en-GB"/>
              </w:rPr>
              <w:t>The NHS is legally obliged to fund and resource medicines and treatments recommended by NICE's technology appraisals. When NICE recommends a treatment 'as an option', the NHS must make sure it is available within 90 days (unless otherwise specified) of its date of publication. This means that, if a patient has a disease or condition and the doctor responsible for their care thinks that the technology is the right treatment, it should be available for use, in line with NICE's recommendations.</w:t>
            </w:r>
          </w:p>
          <w:p w14:paraId="5151A840" w14:textId="0C43F78C" w:rsidR="00172933" w:rsidRPr="00172933" w:rsidRDefault="00172933" w:rsidP="001C7976">
            <w:pPr>
              <w:tabs>
                <w:tab w:val="left" w:pos="720"/>
              </w:tabs>
              <w:autoSpaceDE/>
              <w:rPr>
                <w:rFonts w:eastAsia="Arial"/>
                <w:b/>
                <w:noProof/>
                <w:color w:val="000000" w:themeColor="text1"/>
                <w:sz w:val="24"/>
                <w:szCs w:val="24"/>
                <w:lang w:val="en-US" w:eastAsia="en-GB"/>
              </w:rPr>
            </w:pPr>
            <w:r w:rsidRPr="00172933">
              <w:rPr>
                <w:rFonts w:eastAsia="MS Mincho"/>
                <w:bCs/>
                <w:sz w:val="24"/>
                <w:szCs w:val="24"/>
                <w:lang w:eastAsia="ja-JP"/>
              </w:rPr>
              <w:t xml:space="preserve">For copies of current HNY APC minutes and decisions, please visit </w:t>
            </w:r>
            <w:hyperlink r:id="rId10" w:history="1">
              <w:r w:rsidRPr="00172933">
                <w:rPr>
                  <w:rFonts w:eastAsia="MS Mincho"/>
                  <w:bCs/>
                  <w:color w:val="0000FF"/>
                  <w:sz w:val="24"/>
                  <w:szCs w:val="24"/>
                  <w:u w:val="single"/>
                  <w:lang w:eastAsia="ja-JP"/>
                </w:rPr>
                <w:t>https://humberandnorthyorkshire.org.uk/area-prescribing-committee-apc-minutes-from-meetings/</w:t>
              </w:r>
            </w:hyperlink>
            <w:r w:rsidRPr="00172933">
              <w:rPr>
                <w:rFonts w:eastAsia="MS Mincho"/>
                <w:bCs/>
                <w:sz w:val="24"/>
                <w:szCs w:val="24"/>
                <w:lang w:eastAsia="ja-JP"/>
              </w:rPr>
              <w:t>.</w:t>
            </w:r>
          </w:p>
        </w:tc>
      </w:tr>
    </w:tbl>
    <w:p w14:paraId="3BE1BD1C" w14:textId="77777777" w:rsidR="00C966D9" w:rsidRPr="00FD45B9" w:rsidRDefault="00C966D9" w:rsidP="007909C3">
      <w:pPr>
        <w:pStyle w:val="BodyText"/>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B4247C" w:rsidRPr="00383A54" w14:paraId="5F6A2C11" w14:textId="77777777" w:rsidTr="00383A54">
        <w:trPr>
          <w:cantSplit/>
        </w:trPr>
        <w:tc>
          <w:tcPr>
            <w:tcW w:w="5000" w:type="pct"/>
            <w:shd w:val="clear" w:color="auto" w:fill="auto"/>
          </w:tcPr>
          <w:p w14:paraId="280B9544" w14:textId="7C9E55B0" w:rsidR="00B4247C"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 xml:space="preserve">DECISIONS WITH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2E891FA4" w14:textId="77777777" w:rsidR="001F28EB" w:rsidRDefault="001F28EB" w:rsidP="00383A54">
      <w:pPr>
        <w:spacing w:before="0" w:after="0"/>
        <w:rPr>
          <w:sz w:val="20"/>
          <w:lang w:val="en-US" w:eastAsia="ja-JP"/>
        </w:rPr>
      </w:pPr>
    </w:p>
    <w:p w14:paraId="6BC62169" w14:textId="0D3111EB" w:rsidR="00383A54" w:rsidRPr="00383A54" w:rsidRDefault="00383A54" w:rsidP="00383A54">
      <w:pPr>
        <w:spacing w:before="0" w:after="0"/>
        <w:rPr>
          <w:sz w:val="10"/>
          <w:szCs w:val="10"/>
          <w:lang w:val="en-US" w:eastAsia="ja-JP"/>
        </w:rPr>
        <w:sectPr w:rsidR="00383A54" w:rsidRPr="00383A54" w:rsidSect="00C8733F">
          <w:headerReference w:type="even" r:id="rId11"/>
          <w:headerReference w:type="default" r:id="rId12"/>
          <w:footerReference w:type="even" r:id="rId13"/>
          <w:footerReference w:type="default" r:id="rId14"/>
          <w:headerReference w:type="first" r:id="rId15"/>
          <w:footerReference w:type="first" r:id="rId16"/>
          <w:pgSz w:w="16840" w:h="11910" w:orient="landscape"/>
          <w:pgMar w:top="284" w:right="520" w:bottom="993" w:left="426" w:header="11" w:footer="179"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835"/>
        <w:gridCol w:w="2268"/>
        <w:gridCol w:w="6096"/>
        <w:gridCol w:w="1852"/>
      </w:tblGrid>
      <w:tr w:rsidR="001C7976" w:rsidRPr="00172933" w14:paraId="58618552" w14:textId="77777777" w:rsidTr="00493A22">
        <w:trPr>
          <w:cantSplit/>
          <w:trHeight w:val="548"/>
          <w:tblHeader/>
        </w:trPr>
        <w:tc>
          <w:tcPr>
            <w:tcW w:w="2830" w:type="dxa"/>
            <w:tcBorders>
              <w:bottom w:val="single" w:sz="4" w:space="0" w:color="auto"/>
            </w:tcBorders>
            <w:shd w:val="clear" w:color="auto" w:fill="B6DDE8"/>
          </w:tcPr>
          <w:p w14:paraId="465998DD" w14:textId="4656542C" w:rsidR="001C7976" w:rsidRPr="00172933" w:rsidRDefault="001C7976" w:rsidP="007909C3">
            <w:pPr>
              <w:tabs>
                <w:tab w:val="clear" w:pos="975"/>
              </w:tabs>
              <w:rPr>
                <w:rFonts w:eastAsia="Calibri"/>
                <w:b/>
                <w:sz w:val="24"/>
                <w:szCs w:val="24"/>
              </w:rPr>
            </w:pPr>
            <w:r w:rsidRPr="00172933">
              <w:rPr>
                <w:rFonts w:eastAsia="Calibri"/>
                <w:b/>
                <w:sz w:val="24"/>
                <w:szCs w:val="24"/>
              </w:rPr>
              <w:t xml:space="preserve">Drug and indication </w:t>
            </w:r>
          </w:p>
        </w:tc>
        <w:tc>
          <w:tcPr>
            <w:tcW w:w="2835" w:type="dxa"/>
            <w:tcBorders>
              <w:bottom w:val="single" w:sz="4" w:space="0" w:color="auto"/>
            </w:tcBorders>
            <w:shd w:val="clear" w:color="auto" w:fill="B6DDE8"/>
          </w:tcPr>
          <w:p w14:paraId="764A3AC3" w14:textId="20E2B955" w:rsidR="001C7976" w:rsidRPr="00172933" w:rsidRDefault="001C7976" w:rsidP="007909C3">
            <w:pPr>
              <w:tabs>
                <w:tab w:val="clear" w:pos="975"/>
              </w:tabs>
              <w:rPr>
                <w:rFonts w:eastAsia="Calibri"/>
                <w:b/>
                <w:sz w:val="24"/>
                <w:szCs w:val="24"/>
              </w:rPr>
            </w:pPr>
            <w:r w:rsidRPr="00172933">
              <w:rPr>
                <w:rFonts w:eastAsia="Calibri"/>
                <w:b/>
                <w:sz w:val="24"/>
                <w:szCs w:val="24"/>
              </w:rPr>
              <w:t>Status and formulary position assigned</w:t>
            </w:r>
          </w:p>
        </w:tc>
        <w:tc>
          <w:tcPr>
            <w:tcW w:w="2268" w:type="dxa"/>
            <w:tcBorders>
              <w:bottom w:val="single" w:sz="4" w:space="0" w:color="auto"/>
            </w:tcBorders>
            <w:shd w:val="clear" w:color="auto" w:fill="B6DDE8"/>
          </w:tcPr>
          <w:p w14:paraId="18BD51F0" w14:textId="3CED56E6" w:rsidR="001C7976" w:rsidRPr="00172933" w:rsidRDefault="001C7976" w:rsidP="007909C3">
            <w:pPr>
              <w:tabs>
                <w:tab w:val="clear" w:pos="975"/>
              </w:tabs>
              <w:rPr>
                <w:rFonts w:eastAsia="Calibri"/>
                <w:b/>
                <w:sz w:val="24"/>
                <w:szCs w:val="24"/>
              </w:rPr>
            </w:pPr>
            <w:r w:rsidRPr="00172933">
              <w:rPr>
                <w:rFonts w:eastAsia="Calibri"/>
                <w:b/>
                <w:sz w:val="24"/>
                <w:szCs w:val="24"/>
              </w:rPr>
              <w:t>Notes on decision</w:t>
            </w:r>
          </w:p>
        </w:tc>
        <w:tc>
          <w:tcPr>
            <w:tcW w:w="6096" w:type="dxa"/>
            <w:tcBorders>
              <w:bottom w:val="single" w:sz="4" w:space="0" w:color="auto"/>
            </w:tcBorders>
            <w:shd w:val="clear" w:color="auto" w:fill="B6DDE8"/>
          </w:tcPr>
          <w:p w14:paraId="63DF0E3F" w14:textId="3D0072C2" w:rsidR="001C7976" w:rsidRPr="00172933" w:rsidRDefault="001C7976" w:rsidP="00EA5257">
            <w:pPr>
              <w:tabs>
                <w:tab w:val="clear" w:pos="975"/>
              </w:tabs>
              <w:rPr>
                <w:rFonts w:eastAsia="Calibri"/>
                <w:b/>
                <w:sz w:val="24"/>
                <w:szCs w:val="24"/>
              </w:rPr>
            </w:pPr>
            <w:r w:rsidRPr="00172933">
              <w:rPr>
                <w:rFonts w:eastAsia="Calibri"/>
                <w:b/>
                <w:sz w:val="24"/>
                <w:szCs w:val="24"/>
              </w:rPr>
              <w:t>Cost impact and commissioning / service implications</w:t>
            </w:r>
          </w:p>
        </w:tc>
        <w:tc>
          <w:tcPr>
            <w:tcW w:w="1852" w:type="dxa"/>
            <w:tcBorders>
              <w:bottom w:val="single" w:sz="4" w:space="0" w:color="auto"/>
            </w:tcBorders>
            <w:shd w:val="clear" w:color="auto" w:fill="B6DDE8"/>
          </w:tcPr>
          <w:p w14:paraId="31FD2AD9" w14:textId="09BAE99D" w:rsidR="001C7976" w:rsidRPr="00172933" w:rsidRDefault="001C7976" w:rsidP="001C7976">
            <w:pPr>
              <w:tabs>
                <w:tab w:val="clear" w:pos="975"/>
              </w:tabs>
              <w:rPr>
                <w:rFonts w:eastAsia="Calibri"/>
                <w:b/>
                <w:sz w:val="24"/>
                <w:szCs w:val="24"/>
              </w:rPr>
            </w:pPr>
            <w:r w:rsidRPr="00172933">
              <w:rPr>
                <w:rFonts w:eastAsia="Calibri"/>
                <w:b/>
                <w:sz w:val="24"/>
                <w:szCs w:val="24"/>
              </w:rPr>
              <w:t>Recommendation from HNY APC</w:t>
            </w:r>
          </w:p>
        </w:tc>
      </w:tr>
      <w:tr w:rsidR="00493A22" w:rsidRPr="00172933" w14:paraId="064DF8BD" w14:textId="77777777" w:rsidTr="00493A22">
        <w:trPr>
          <w:cantSplit/>
          <w:trHeight w:val="548"/>
        </w:trPr>
        <w:tc>
          <w:tcPr>
            <w:tcW w:w="2830" w:type="dxa"/>
            <w:shd w:val="clear" w:color="auto" w:fill="auto"/>
          </w:tcPr>
          <w:p w14:paraId="2E889E27" w14:textId="77777777" w:rsidR="00493A22" w:rsidRPr="00172933" w:rsidRDefault="00F53774" w:rsidP="00493A22">
            <w:pPr>
              <w:rPr>
                <w:b/>
                <w:bCs/>
                <w:sz w:val="24"/>
                <w:szCs w:val="24"/>
              </w:rPr>
            </w:pPr>
            <w:hyperlink r:id="rId17" w:tgtFrame="_blank" w:history="1">
              <w:r w:rsidR="00493A22" w:rsidRPr="00172933">
                <w:rPr>
                  <w:rStyle w:val="Hyperlink"/>
                  <w:b/>
                  <w:bCs/>
                  <w:sz w:val="24"/>
                  <w:szCs w:val="24"/>
                  <w:lang w:val="en-US" w:eastAsia="en-GB"/>
                </w:rPr>
                <w:t>TA1022: Bevacizumab gamma for treating wet age-related macular degeneration</w:t>
              </w:r>
            </w:hyperlink>
            <w:r w:rsidR="00493A22" w:rsidRPr="00172933">
              <w:rPr>
                <w:b/>
                <w:bCs/>
                <w:sz w:val="24"/>
                <w:szCs w:val="24"/>
                <w:lang w:eastAsia="en-GB"/>
              </w:rPr>
              <w:t> </w:t>
            </w:r>
          </w:p>
          <w:p w14:paraId="4A281D40" w14:textId="77777777" w:rsidR="00493A22" w:rsidRPr="00172933" w:rsidRDefault="00493A22" w:rsidP="00493A22">
            <w:pPr>
              <w:rPr>
                <w:sz w:val="24"/>
                <w:szCs w:val="24"/>
                <w:lang w:eastAsia="en-GB"/>
              </w:rPr>
            </w:pPr>
            <w:r w:rsidRPr="00172933">
              <w:rPr>
                <w:sz w:val="24"/>
                <w:szCs w:val="24"/>
                <w:lang w:val="en-US" w:eastAsia="en-GB"/>
              </w:rPr>
              <w:t>04 December 2024</w:t>
            </w:r>
            <w:r w:rsidRPr="00172933">
              <w:rPr>
                <w:sz w:val="24"/>
                <w:szCs w:val="24"/>
                <w:lang w:eastAsia="en-GB"/>
              </w:rPr>
              <w:t> </w:t>
            </w:r>
          </w:p>
          <w:p w14:paraId="2F474B26" w14:textId="6A2BC6C2" w:rsidR="00493A22" w:rsidRPr="00172933" w:rsidRDefault="00493A22" w:rsidP="00493A22">
            <w:pPr>
              <w:rPr>
                <w:sz w:val="24"/>
                <w:szCs w:val="24"/>
                <w:lang w:eastAsia="en-GB"/>
              </w:rPr>
            </w:pPr>
            <w:r w:rsidRPr="00172933">
              <w:rPr>
                <w:sz w:val="24"/>
                <w:szCs w:val="24"/>
                <w:lang w:val="en-US" w:eastAsia="en-GB"/>
              </w:rPr>
              <w:t>Commissioning: ICS, 30-day TA, tariff-excluded</w:t>
            </w:r>
            <w:r w:rsidRPr="00172933">
              <w:rPr>
                <w:sz w:val="24"/>
                <w:szCs w:val="24"/>
                <w:lang w:eastAsia="en-GB"/>
              </w:rPr>
              <w:t> </w:t>
            </w:r>
          </w:p>
        </w:tc>
        <w:tc>
          <w:tcPr>
            <w:tcW w:w="2835" w:type="dxa"/>
            <w:shd w:val="clear" w:color="auto" w:fill="auto"/>
          </w:tcPr>
          <w:p w14:paraId="43C7D4CA" w14:textId="77777777" w:rsidR="00493A22" w:rsidRPr="00172933" w:rsidRDefault="00493A22" w:rsidP="00493A22">
            <w:pPr>
              <w:pStyle w:val="paragraph"/>
              <w:shd w:val="clear" w:color="auto" w:fill="FF0000"/>
              <w:spacing w:before="60" w:beforeAutospacing="0" w:after="60" w:afterAutospacing="0"/>
              <w:textAlignment w:val="baseline"/>
              <w:rPr>
                <w:rFonts w:ascii="Segoe UI" w:hAnsi="Segoe UI" w:cs="Segoe UI"/>
              </w:rPr>
            </w:pPr>
            <w:r w:rsidRPr="00172933">
              <w:rPr>
                <w:rStyle w:val="normaltextrun"/>
                <w:rFonts w:ascii="Arial" w:hAnsi="Arial" w:cs="Arial"/>
                <w:lang w:val="en-US"/>
              </w:rPr>
              <w:t>Add to formulary as a RED drug, with links to TA1022. </w:t>
            </w:r>
            <w:r w:rsidRPr="00172933">
              <w:rPr>
                <w:rStyle w:val="eop"/>
                <w:rFonts w:ascii="Arial" w:hAnsi="Arial" w:cs="Arial"/>
              </w:rPr>
              <w:t> </w:t>
            </w:r>
          </w:p>
          <w:p w14:paraId="5D1ACDDD" w14:textId="643B31E8" w:rsidR="00493A22" w:rsidRPr="00172933" w:rsidRDefault="00493A22" w:rsidP="00493A22">
            <w:pPr>
              <w:rPr>
                <w:sz w:val="24"/>
                <w:szCs w:val="24"/>
              </w:rPr>
            </w:pPr>
            <w:r w:rsidRPr="00172933">
              <w:rPr>
                <w:rStyle w:val="eop"/>
                <w:sz w:val="24"/>
                <w:szCs w:val="24"/>
              </w:rPr>
              <w:t> </w:t>
            </w:r>
          </w:p>
        </w:tc>
        <w:tc>
          <w:tcPr>
            <w:tcW w:w="2268" w:type="dxa"/>
            <w:shd w:val="clear" w:color="auto" w:fill="auto"/>
          </w:tcPr>
          <w:p w14:paraId="6858880D" w14:textId="4DF67A08" w:rsidR="00493A22" w:rsidRPr="00172933" w:rsidRDefault="00493A22" w:rsidP="00493A22">
            <w:pPr>
              <w:tabs>
                <w:tab w:val="clear" w:pos="975"/>
              </w:tabs>
              <w:ind w:left="20"/>
              <w:rPr>
                <w:i/>
                <w:sz w:val="24"/>
                <w:szCs w:val="24"/>
              </w:rPr>
            </w:pPr>
            <w:r w:rsidRPr="00172933">
              <w:rPr>
                <w:rStyle w:val="normaltextrun"/>
                <w:sz w:val="24"/>
                <w:szCs w:val="24"/>
              </w:rPr>
              <w:t>Updated NHSE commissioning recommendations for wet AMD are expected in 2025. Place in therapy for this medicine will be influenced by those recommendations. </w:t>
            </w:r>
            <w:r w:rsidRPr="00172933">
              <w:rPr>
                <w:rStyle w:val="eop"/>
                <w:sz w:val="24"/>
                <w:szCs w:val="24"/>
              </w:rPr>
              <w:t> </w:t>
            </w:r>
          </w:p>
        </w:tc>
        <w:tc>
          <w:tcPr>
            <w:tcW w:w="6096" w:type="dxa"/>
          </w:tcPr>
          <w:p w14:paraId="03B45C34" w14:textId="77777777" w:rsidR="00493A22" w:rsidRPr="00172933" w:rsidRDefault="00493A22" w:rsidP="00493A22">
            <w:pPr>
              <w:rPr>
                <w:rStyle w:val="eop"/>
                <w:sz w:val="24"/>
                <w:szCs w:val="24"/>
              </w:rPr>
            </w:pPr>
            <w:r w:rsidRPr="00172933">
              <w:rPr>
                <w:rStyle w:val="normaltextrun"/>
                <w:sz w:val="24"/>
                <w:szCs w:val="24"/>
                <w:lang w:val="en-US"/>
              </w:rPr>
              <w:t xml:space="preserve">Cost: </w:t>
            </w:r>
            <w:r w:rsidRPr="00172933">
              <w:rPr>
                <w:rStyle w:val="normaltextrun"/>
                <w:sz w:val="24"/>
                <w:szCs w:val="24"/>
              </w:rPr>
              <w:t>Low impact expected. Place in therapy will determine the exact impact and will be reviewed once NHSE commissioning recommendations are available. </w:t>
            </w:r>
            <w:r w:rsidRPr="00172933">
              <w:rPr>
                <w:rStyle w:val="eop"/>
                <w:sz w:val="24"/>
                <w:szCs w:val="24"/>
              </w:rPr>
              <w:t> </w:t>
            </w:r>
          </w:p>
          <w:p w14:paraId="65D4918A" w14:textId="3941DB75" w:rsidR="00493A22" w:rsidRPr="00172933" w:rsidRDefault="00493A22" w:rsidP="00493A22">
            <w:pPr>
              <w:rPr>
                <w:sz w:val="24"/>
                <w:szCs w:val="24"/>
              </w:rPr>
            </w:pPr>
            <w:r w:rsidRPr="00172933">
              <w:rPr>
                <w:rStyle w:val="eop"/>
                <w:sz w:val="24"/>
                <w:szCs w:val="24"/>
              </w:rPr>
              <w:t xml:space="preserve">Commissioning / Service: </w:t>
            </w:r>
            <w:r w:rsidRPr="00172933">
              <w:rPr>
                <w:sz w:val="24"/>
                <w:szCs w:val="24"/>
              </w:rPr>
              <w:t>None expected; bevacizumab gamma is another treatment option for an existing population. </w:t>
            </w:r>
          </w:p>
        </w:tc>
        <w:tc>
          <w:tcPr>
            <w:tcW w:w="1852" w:type="dxa"/>
            <w:shd w:val="clear" w:color="auto" w:fill="FFFFFF"/>
          </w:tcPr>
          <w:p w14:paraId="2E8CE38F" w14:textId="77777777" w:rsidR="00493A22" w:rsidRPr="00172933" w:rsidRDefault="00493A22" w:rsidP="00493A22">
            <w:pPr>
              <w:rPr>
                <w:iCs/>
                <w:sz w:val="24"/>
                <w:szCs w:val="24"/>
                <w:lang w:val="en-US"/>
              </w:rPr>
            </w:pPr>
            <w:r w:rsidRPr="00172933">
              <w:rPr>
                <w:iCs/>
                <w:sz w:val="24"/>
                <w:szCs w:val="24"/>
                <w:lang w:val="en-US"/>
              </w:rPr>
              <w:t>Approve addition to formulary</w:t>
            </w:r>
          </w:p>
          <w:p w14:paraId="26E04F46" w14:textId="6473BED4" w:rsidR="00493A22" w:rsidRPr="00172933" w:rsidRDefault="00493A22" w:rsidP="00493A22">
            <w:pPr>
              <w:rPr>
                <w:sz w:val="24"/>
                <w:szCs w:val="24"/>
              </w:rPr>
            </w:pPr>
          </w:p>
        </w:tc>
      </w:tr>
      <w:tr w:rsidR="00493A22" w:rsidRPr="00172933" w14:paraId="0C619745" w14:textId="77777777" w:rsidTr="00493A22">
        <w:trPr>
          <w:cantSplit/>
          <w:trHeight w:val="548"/>
        </w:trPr>
        <w:tc>
          <w:tcPr>
            <w:tcW w:w="2830" w:type="dxa"/>
            <w:shd w:val="clear" w:color="auto" w:fill="auto"/>
          </w:tcPr>
          <w:p w14:paraId="61D3E686" w14:textId="77777777" w:rsidR="00493A22" w:rsidRPr="00172933" w:rsidRDefault="00F53774" w:rsidP="00493A22">
            <w:pPr>
              <w:rPr>
                <w:b/>
                <w:bCs/>
                <w:sz w:val="24"/>
                <w:szCs w:val="24"/>
                <w:lang w:eastAsia="en-GB"/>
              </w:rPr>
            </w:pPr>
            <w:hyperlink r:id="rId18" w:tgtFrame="_blank" w:history="1">
              <w:r w:rsidR="00493A22" w:rsidRPr="00172933">
                <w:rPr>
                  <w:rStyle w:val="Hyperlink"/>
                  <w:sz w:val="24"/>
                  <w:szCs w:val="24"/>
                </w:rPr>
                <w:t>TA1026: Tirzepatide for managing overweight and obesity</w:t>
              </w:r>
            </w:hyperlink>
            <w:r w:rsidR="00493A22" w:rsidRPr="00172933">
              <w:rPr>
                <w:b/>
                <w:bCs/>
                <w:sz w:val="24"/>
                <w:szCs w:val="24"/>
                <w:lang w:eastAsia="en-GB"/>
              </w:rPr>
              <w:t> </w:t>
            </w:r>
          </w:p>
          <w:p w14:paraId="193F97F2" w14:textId="77777777" w:rsidR="00493A22" w:rsidRPr="00172933" w:rsidRDefault="00493A22" w:rsidP="00493A22">
            <w:pPr>
              <w:rPr>
                <w:sz w:val="24"/>
                <w:szCs w:val="24"/>
                <w:lang w:eastAsia="en-GB"/>
              </w:rPr>
            </w:pPr>
            <w:r w:rsidRPr="00172933">
              <w:rPr>
                <w:sz w:val="24"/>
                <w:szCs w:val="24"/>
                <w:lang w:val="en-US" w:eastAsia="en-GB"/>
              </w:rPr>
              <w:t>23 December 2024</w:t>
            </w:r>
            <w:r w:rsidRPr="00172933">
              <w:rPr>
                <w:sz w:val="24"/>
                <w:szCs w:val="24"/>
                <w:lang w:eastAsia="en-GB"/>
              </w:rPr>
              <w:t> </w:t>
            </w:r>
          </w:p>
          <w:p w14:paraId="37B4DCA8" w14:textId="77777777" w:rsidR="00493A22" w:rsidRPr="00172933" w:rsidRDefault="00493A22" w:rsidP="00493A22">
            <w:pPr>
              <w:rPr>
                <w:sz w:val="24"/>
                <w:szCs w:val="24"/>
                <w:lang w:eastAsia="en-GB"/>
              </w:rPr>
            </w:pPr>
            <w:r w:rsidRPr="00172933">
              <w:rPr>
                <w:sz w:val="24"/>
                <w:szCs w:val="24"/>
                <w:lang w:val="en-US" w:eastAsia="en-GB"/>
              </w:rPr>
              <w:t>Commissioning: ICS</w:t>
            </w:r>
            <w:r w:rsidRPr="00172933">
              <w:rPr>
                <w:sz w:val="24"/>
                <w:szCs w:val="24"/>
                <w:lang w:eastAsia="en-GB"/>
              </w:rPr>
              <w:t> </w:t>
            </w:r>
          </w:p>
          <w:p w14:paraId="3081E649" w14:textId="77777777" w:rsidR="00493A22" w:rsidRPr="00172933" w:rsidRDefault="00493A22" w:rsidP="00493A22">
            <w:pPr>
              <w:rPr>
                <w:sz w:val="24"/>
                <w:szCs w:val="24"/>
                <w:lang w:eastAsia="en-GB"/>
              </w:rPr>
            </w:pPr>
            <w:r w:rsidRPr="00172933">
              <w:rPr>
                <w:sz w:val="24"/>
                <w:szCs w:val="24"/>
                <w:lang w:eastAsia="en-GB"/>
              </w:rPr>
              <w:t>For the funding variation cohort identified: 90 days in specialist weight management settings, 180 days in non-specialist settings</w:t>
            </w:r>
          </w:p>
          <w:p w14:paraId="2FC8AD4F" w14:textId="669216F5" w:rsidR="00493A22" w:rsidRPr="00172933" w:rsidRDefault="00493A22" w:rsidP="00493A22">
            <w:pPr>
              <w:rPr>
                <w:sz w:val="24"/>
                <w:szCs w:val="24"/>
                <w:lang w:eastAsia="en-GB"/>
              </w:rPr>
            </w:pPr>
            <w:r w:rsidRPr="00172933">
              <w:rPr>
                <w:sz w:val="24"/>
                <w:szCs w:val="24"/>
                <w:lang w:val="en-US" w:eastAsia="en-GB"/>
              </w:rPr>
              <w:t>Tirzepatide is a further treatment option and is the first GLP-1 receptor agonist to be recommended for use outside a specialist weight management setting. It is recommended for use in all settings.</w:t>
            </w:r>
            <w:r w:rsidRPr="00172933">
              <w:rPr>
                <w:sz w:val="24"/>
                <w:szCs w:val="24"/>
                <w:lang w:eastAsia="en-GB"/>
              </w:rPr>
              <w:t> </w:t>
            </w:r>
          </w:p>
        </w:tc>
        <w:tc>
          <w:tcPr>
            <w:tcW w:w="2835" w:type="dxa"/>
            <w:shd w:val="clear" w:color="auto" w:fill="auto"/>
          </w:tcPr>
          <w:p w14:paraId="0D566356" w14:textId="77777777" w:rsidR="00493A22" w:rsidRPr="00172933" w:rsidRDefault="00493A22" w:rsidP="00493A22">
            <w:pPr>
              <w:pStyle w:val="paragraph"/>
              <w:shd w:val="clear" w:color="auto" w:fill="FF0000"/>
              <w:spacing w:before="60" w:beforeAutospacing="0" w:after="60" w:afterAutospacing="0"/>
              <w:textAlignment w:val="baseline"/>
              <w:rPr>
                <w:rFonts w:ascii="Arial" w:hAnsi="Arial" w:cs="Arial"/>
              </w:rPr>
            </w:pPr>
            <w:r w:rsidRPr="00172933">
              <w:rPr>
                <w:rStyle w:val="normaltextrun"/>
                <w:rFonts w:ascii="Arial" w:hAnsi="Arial" w:cs="Arial"/>
              </w:rPr>
              <w:t>Interim RED status to facilitate prescribing in specialist services during the initial implementation period. </w:t>
            </w:r>
            <w:r w:rsidRPr="00172933">
              <w:rPr>
                <w:rStyle w:val="eop"/>
                <w:rFonts w:ascii="Arial" w:hAnsi="Arial" w:cs="Arial"/>
              </w:rPr>
              <w:t> </w:t>
            </w:r>
          </w:p>
          <w:p w14:paraId="462D8FE5" w14:textId="77777777" w:rsidR="00493A22" w:rsidRPr="00172933" w:rsidRDefault="00493A22" w:rsidP="00493A22">
            <w:pPr>
              <w:pStyle w:val="paragraph"/>
              <w:spacing w:before="60" w:beforeAutospacing="0" w:after="60" w:afterAutospacing="0"/>
              <w:textAlignment w:val="baseline"/>
              <w:rPr>
                <w:rFonts w:ascii="Arial" w:hAnsi="Arial" w:cs="Arial"/>
              </w:rPr>
            </w:pPr>
            <w:r w:rsidRPr="00172933">
              <w:rPr>
                <w:rStyle w:val="eop"/>
                <w:rFonts w:ascii="Arial" w:hAnsi="Arial" w:cs="Arial"/>
              </w:rPr>
              <w:t> </w:t>
            </w:r>
          </w:p>
          <w:p w14:paraId="7253D61B" w14:textId="0EA2A9DD" w:rsidR="00493A22" w:rsidRPr="00172933" w:rsidRDefault="00493A22" w:rsidP="00493A22">
            <w:pPr>
              <w:rPr>
                <w:rStyle w:val="normaltextrun"/>
                <w:sz w:val="24"/>
                <w:szCs w:val="24"/>
              </w:rPr>
            </w:pPr>
            <w:r w:rsidRPr="00172933">
              <w:rPr>
                <w:rStyle w:val="normaltextrun"/>
                <w:sz w:val="24"/>
                <w:szCs w:val="24"/>
              </w:rPr>
              <w:t xml:space="preserve">Formulary entry to be annotated: </w:t>
            </w:r>
            <w:bookmarkStart w:id="0" w:name="_Hlk194505731"/>
            <w:r w:rsidRPr="00172933">
              <w:rPr>
                <w:rStyle w:val="normaltextrun"/>
                <w:sz w:val="24"/>
                <w:szCs w:val="24"/>
              </w:rPr>
              <w:t xml:space="preserve">“tirzepatide for management of overweight and obesity will be provided by specialists only during the initial implementation period from March 2025. Please note that services are at capacity and referrals should not be made purely to access medicines. </w:t>
            </w:r>
          </w:p>
          <w:p w14:paraId="40AD766F" w14:textId="75A266EF" w:rsidR="00493A22" w:rsidRPr="00172933" w:rsidRDefault="00493A22" w:rsidP="00493A22">
            <w:pPr>
              <w:rPr>
                <w:sz w:val="24"/>
                <w:szCs w:val="24"/>
              </w:rPr>
            </w:pPr>
            <w:r w:rsidRPr="00172933">
              <w:rPr>
                <w:rStyle w:val="normaltextrun"/>
                <w:sz w:val="24"/>
                <w:szCs w:val="24"/>
              </w:rPr>
              <w:t>Preparations for primary care implementation are underway.”</w:t>
            </w:r>
            <w:r w:rsidRPr="00172933">
              <w:rPr>
                <w:rStyle w:val="eop"/>
                <w:sz w:val="24"/>
                <w:szCs w:val="24"/>
              </w:rPr>
              <w:t> </w:t>
            </w:r>
            <w:bookmarkEnd w:id="0"/>
          </w:p>
        </w:tc>
        <w:tc>
          <w:tcPr>
            <w:tcW w:w="2268" w:type="dxa"/>
            <w:shd w:val="clear" w:color="auto" w:fill="auto"/>
          </w:tcPr>
          <w:p w14:paraId="59A545C8" w14:textId="34B006E2" w:rsidR="00493A22" w:rsidRPr="00172933" w:rsidRDefault="00493A22" w:rsidP="00493A22">
            <w:pPr>
              <w:tabs>
                <w:tab w:val="clear" w:pos="975"/>
              </w:tabs>
              <w:ind w:left="20"/>
              <w:rPr>
                <w:i/>
                <w:sz w:val="24"/>
                <w:szCs w:val="24"/>
              </w:rPr>
            </w:pPr>
            <w:r w:rsidRPr="00172933">
              <w:rPr>
                <w:rStyle w:val="normaltextrun"/>
                <w:sz w:val="24"/>
                <w:szCs w:val="24"/>
              </w:rPr>
              <w:t xml:space="preserve">The RAG and formulary status for implementation in primary care are under review now that NHSE commissioning recommendations have been published; advice will be published as soon as possible. </w:t>
            </w:r>
          </w:p>
        </w:tc>
        <w:tc>
          <w:tcPr>
            <w:tcW w:w="6096" w:type="dxa"/>
          </w:tcPr>
          <w:p w14:paraId="4ABCF152" w14:textId="77777777" w:rsidR="00493A22" w:rsidRPr="00172933" w:rsidRDefault="00493A22" w:rsidP="00493A22">
            <w:pPr>
              <w:rPr>
                <w:sz w:val="24"/>
                <w:szCs w:val="24"/>
              </w:rPr>
            </w:pPr>
            <w:r w:rsidRPr="00172933">
              <w:rPr>
                <w:sz w:val="24"/>
                <w:szCs w:val="24"/>
              </w:rPr>
              <w:t>Additional information is required to estimate the cost impact of tirzepatide, including the NHS England commissioning guidance, cost of commissioned services, and proportion of patients accessing services. The anticipated costs of implementing the recommendation exceed the budget impact test of £20 million in England in each of the first 3 years.  </w:t>
            </w:r>
          </w:p>
          <w:p w14:paraId="4D82AC22" w14:textId="77777777" w:rsidR="00493A22" w:rsidRPr="00172933" w:rsidRDefault="00493A22" w:rsidP="00493A22">
            <w:pPr>
              <w:rPr>
                <w:sz w:val="24"/>
                <w:szCs w:val="24"/>
              </w:rPr>
            </w:pPr>
            <w:r w:rsidRPr="00172933">
              <w:rPr>
                <w:sz w:val="24"/>
                <w:szCs w:val="24"/>
              </w:rPr>
              <w:t>NHS England requested a delay of 6 months to the funding requirement for all eligible patients. Considering the responses from the consultation, NICE recommends mandated funding of tirzepatide: </w:t>
            </w:r>
          </w:p>
          <w:p w14:paraId="03F8E42E" w14:textId="77777777" w:rsidR="00493A22" w:rsidRPr="00172933" w:rsidRDefault="00493A22" w:rsidP="00245872">
            <w:pPr>
              <w:pStyle w:val="ListParagraph"/>
              <w:numPr>
                <w:ilvl w:val="0"/>
                <w:numId w:val="3"/>
              </w:numPr>
              <w:rPr>
                <w:sz w:val="24"/>
                <w:szCs w:val="24"/>
              </w:rPr>
            </w:pPr>
            <w:r w:rsidRPr="00172933">
              <w:rPr>
                <w:sz w:val="24"/>
                <w:szCs w:val="24"/>
              </w:rPr>
              <w:t>within 3 months from final guidance publication for all patients accessing specialist weight management services at that time and subsequently, since these services and the associated wraparound care is already established </w:t>
            </w:r>
          </w:p>
          <w:p w14:paraId="3472F21B" w14:textId="6EADB67B" w:rsidR="00493A22" w:rsidRPr="00172933" w:rsidRDefault="00493A22" w:rsidP="00245872">
            <w:pPr>
              <w:pStyle w:val="ListParagraph"/>
              <w:numPr>
                <w:ilvl w:val="0"/>
                <w:numId w:val="3"/>
              </w:numPr>
              <w:rPr>
                <w:sz w:val="24"/>
                <w:szCs w:val="24"/>
              </w:rPr>
            </w:pPr>
            <w:r w:rsidRPr="00172933">
              <w:rPr>
                <w:sz w:val="24"/>
                <w:szCs w:val="24"/>
              </w:rPr>
              <w:t>must be made available from 6 months of final guidance publication for a phased introduction of delivery to eligible cohorts, at a minimum, in line with NHS England's interim commissioning policy, since NICE accepts that it will take time for commissioners to establish effective services in primary care. </w:t>
            </w:r>
          </w:p>
        </w:tc>
        <w:tc>
          <w:tcPr>
            <w:tcW w:w="1852" w:type="dxa"/>
            <w:shd w:val="clear" w:color="auto" w:fill="FFFFFF"/>
          </w:tcPr>
          <w:p w14:paraId="4E88AA94" w14:textId="77777777" w:rsidR="00493A22" w:rsidRPr="00172933" w:rsidRDefault="00493A22" w:rsidP="00493A22">
            <w:pPr>
              <w:rPr>
                <w:iCs/>
                <w:sz w:val="24"/>
                <w:szCs w:val="24"/>
                <w:lang w:val="en-US"/>
              </w:rPr>
            </w:pPr>
            <w:r w:rsidRPr="00172933">
              <w:rPr>
                <w:iCs/>
                <w:sz w:val="24"/>
                <w:szCs w:val="24"/>
                <w:lang w:val="en-US"/>
              </w:rPr>
              <w:t>Approve addition to formulary</w:t>
            </w:r>
          </w:p>
          <w:p w14:paraId="38BED797" w14:textId="77777777" w:rsidR="00493A22" w:rsidRPr="00172933" w:rsidRDefault="00493A22" w:rsidP="00493A22">
            <w:pPr>
              <w:rPr>
                <w:iCs/>
                <w:sz w:val="24"/>
                <w:szCs w:val="24"/>
              </w:rPr>
            </w:pPr>
          </w:p>
        </w:tc>
      </w:tr>
    </w:tbl>
    <w:p w14:paraId="2E52DA50" w14:textId="7979E096" w:rsidR="00172933" w:rsidRDefault="00172933" w:rsidP="00383A54">
      <w:pPr>
        <w:spacing w:before="0" w:after="0"/>
        <w:rPr>
          <w:sz w:val="20"/>
          <w:lang w:val="en-US" w:eastAsia="ja-JP"/>
        </w:rPr>
      </w:pPr>
    </w:p>
    <w:p w14:paraId="53A9D2E7" w14:textId="77777777" w:rsidR="00172933" w:rsidRDefault="00172933">
      <w:pPr>
        <w:tabs>
          <w:tab w:val="clear" w:pos="975"/>
        </w:tabs>
        <w:spacing w:before="0" w:after="0"/>
        <w:rPr>
          <w:sz w:val="20"/>
          <w:lang w:val="en-US" w:eastAsia="ja-JP"/>
        </w:rPr>
      </w:pPr>
      <w:r>
        <w:rPr>
          <w:sz w:val="20"/>
          <w:lang w:val="en-US" w:eastAsia="ja-JP"/>
        </w:rPr>
        <w:br w:type="page"/>
      </w:r>
    </w:p>
    <w:p w14:paraId="5BBCEA6B" w14:textId="77777777" w:rsidR="005C0229" w:rsidRPr="00383A54" w:rsidRDefault="005C0229" w:rsidP="00383A54">
      <w:pPr>
        <w:spacing w:before="0" w:after="0"/>
        <w:rPr>
          <w:sz w:val="20"/>
          <w:lang w:val="en-US" w:eastAsia="ja-JP"/>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383A54" w:rsidRPr="00383A54" w14:paraId="473BE708" w14:textId="77777777" w:rsidTr="00063CFB">
        <w:trPr>
          <w:cantSplit/>
        </w:trPr>
        <w:tc>
          <w:tcPr>
            <w:tcW w:w="5000" w:type="pct"/>
            <w:shd w:val="clear" w:color="auto" w:fill="auto"/>
          </w:tcPr>
          <w:p w14:paraId="6DC8B104" w14:textId="78D45245" w:rsidR="00383A54"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DECISIONS WITH</w:t>
            </w:r>
            <w:r w:rsidR="00C97823">
              <w:rPr>
                <w:rFonts w:eastAsia="Calibri"/>
                <w:b/>
                <w:color w:val="1F497D"/>
                <w:sz w:val="24"/>
                <w:szCs w:val="24"/>
              </w:rPr>
              <w:t>OUT</w:t>
            </w:r>
            <w:r w:rsidRPr="00383A54">
              <w:rPr>
                <w:rFonts w:eastAsia="Calibri"/>
                <w:b/>
                <w:color w:val="1F497D"/>
                <w:sz w:val="24"/>
                <w:szCs w:val="24"/>
              </w:rPr>
              <w:t xml:space="preserve">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601AEC0E" w14:textId="77777777" w:rsidR="00383A54" w:rsidRPr="00383A54" w:rsidRDefault="00383A54" w:rsidP="00383A54">
      <w:pPr>
        <w:spacing w:before="0" w:after="0"/>
        <w:rPr>
          <w:sz w:val="20"/>
          <w:lang w:val="en-US" w:eastAsia="ja-JP"/>
        </w:rPr>
      </w:pPr>
    </w:p>
    <w:p w14:paraId="03DEC03D" w14:textId="77777777" w:rsidR="00383A54" w:rsidRPr="00383A54" w:rsidRDefault="00383A54" w:rsidP="00383A54">
      <w:pPr>
        <w:spacing w:before="0" w:after="0"/>
        <w:rPr>
          <w:sz w:val="10"/>
          <w:szCs w:val="10"/>
          <w:lang w:val="en-US" w:eastAsia="ja-JP"/>
        </w:rPr>
        <w:sectPr w:rsidR="00383A54" w:rsidRPr="00383A54" w:rsidSect="00040A7D">
          <w:headerReference w:type="even" r:id="rId19"/>
          <w:headerReference w:type="default" r:id="rId20"/>
          <w:footerReference w:type="even" r:id="rId21"/>
          <w:headerReference w:type="first" r:id="rId22"/>
          <w:type w:val="continuous"/>
          <w:pgSz w:w="16840" w:h="11910" w:orient="landscape"/>
          <w:pgMar w:top="508" w:right="520" w:bottom="993" w:left="426" w:header="301" w:footer="17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4536"/>
        <w:gridCol w:w="2551"/>
        <w:gridCol w:w="3945"/>
        <w:gridCol w:w="2160"/>
      </w:tblGrid>
      <w:tr w:rsidR="001C7976" w:rsidRPr="00172933" w14:paraId="0360D02E" w14:textId="77777777" w:rsidTr="00493A22">
        <w:trPr>
          <w:cantSplit/>
          <w:trHeight w:val="548"/>
          <w:tblHeader/>
        </w:trPr>
        <w:tc>
          <w:tcPr>
            <w:tcW w:w="2689" w:type="dxa"/>
            <w:tcBorders>
              <w:bottom w:val="single" w:sz="4" w:space="0" w:color="auto"/>
            </w:tcBorders>
            <w:shd w:val="clear" w:color="auto" w:fill="B6DDE8"/>
          </w:tcPr>
          <w:p w14:paraId="4FE4577D" w14:textId="77777777" w:rsidR="001C7976" w:rsidRPr="00172933" w:rsidRDefault="001C7976" w:rsidP="00493A22">
            <w:pPr>
              <w:tabs>
                <w:tab w:val="clear" w:pos="975"/>
              </w:tabs>
              <w:rPr>
                <w:rFonts w:eastAsia="Calibri"/>
                <w:b/>
                <w:sz w:val="24"/>
                <w:szCs w:val="24"/>
              </w:rPr>
            </w:pPr>
            <w:r w:rsidRPr="00172933">
              <w:rPr>
                <w:rFonts w:eastAsia="Calibri"/>
                <w:b/>
                <w:sz w:val="24"/>
                <w:szCs w:val="24"/>
              </w:rPr>
              <w:t xml:space="preserve">Drug and indication </w:t>
            </w:r>
          </w:p>
        </w:tc>
        <w:tc>
          <w:tcPr>
            <w:tcW w:w="4536" w:type="dxa"/>
            <w:tcBorders>
              <w:bottom w:val="single" w:sz="4" w:space="0" w:color="auto"/>
            </w:tcBorders>
            <w:shd w:val="clear" w:color="auto" w:fill="B6DDE8"/>
          </w:tcPr>
          <w:p w14:paraId="05FD2BD5" w14:textId="77777777" w:rsidR="001C7976" w:rsidRPr="00172933" w:rsidRDefault="001C7976" w:rsidP="001C7976">
            <w:pPr>
              <w:tabs>
                <w:tab w:val="clear" w:pos="975"/>
              </w:tabs>
              <w:rPr>
                <w:rFonts w:eastAsia="Calibri"/>
                <w:b/>
                <w:sz w:val="24"/>
                <w:szCs w:val="24"/>
              </w:rPr>
            </w:pPr>
            <w:r w:rsidRPr="00172933">
              <w:rPr>
                <w:rFonts w:eastAsia="Calibri"/>
                <w:b/>
                <w:sz w:val="24"/>
                <w:szCs w:val="24"/>
              </w:rPr>
              <w:t>Status and formulary position assigned</w:t>
            </w:r>
          </w:p>
        </w:tc>
        <w:tc>
          <w:tcPr>
            <w:tcW w:w="2551" w:type="dxa"/>
            <w:tcBorders>
              <w:bottom w:val="single" w:sz="4" w:space="0" w:color="auto"/>
            </w:tcBorders>
            <w:shd w:val="clear" w:color="auto" w:fill="B6DDE8"/>
          </w:tcPr>
          <w:p w14:paraId="5C87408D" w14:textId="77777777" w:rsidR="001C7976" w:rsidRPr="00172933" w:rsidRDefault="001C7976" w:rsidP="001C7976">
            <w:pPr>
              <w:tabs>
                <w:tab w:val="clear" w:pos="975"/>
              </w:tabs>
              <w:rPr>
                <w:rFonts w:eastAsia="Calibri"/>
                <w:b/>
                <w:sz w:val="24"/>
                <w:szCs w:val="24"/>
              </w:rPr>
            </w:pPr>
            <w:r w:rsidRPr="00172933">
              <w:rPr>
                <w:rFonts w:eastAsia="Calibri"/>
                <w:b/>
                <w:sz w:val="24"/>
                <w:szCs w:val="24"/>
              </w:rPr>
              <w:t>Notes on decision</w:t>
            </w:r>
          </w:p>
        </w:tc>
        <w:tc>
          <w:tcPr>
            <w:tcW w:w="3945" w:type="dxa"/>
            <w:tcBorders>
              <w:bottom w:val="single" w:sz="4" w:space="0" w:color="auto"/>
            </w:tcBorders>
            <w:shd w:val="clear" w:color="auto" w:fill="B6DDE8"/>
          </w:tcPr>
          <w:p w14:paraId="4BC44793" w14:textId="77777777" w:rsidR="001C7976" w:rsidRPr="00172933" w:rsidRDefault="001C7976" w:rsidP="001C7976">
            <w:pPr>
              <w:tabs>
                <w:tab w:val="clear" w:pos="975"/>
              </w:tabs>
              <w:rPr>
                <w:rFonts w:eastAsia="Calibri"/>
                <w:b/>
                <w:sz w:val="24"/>
                <w:szCs w:val="24"/>
              </w:rPr>
            </w:pPr>
            <w:r w:rsidRPr="00172933">
              <w:rPr>
                <w:rFonts w:eastAsia="Calibri"/>
                <w:b/>
                <w:sz w:val="24"/>
                <w:szCs w:val="24"/>
              </w:rPr>
              <w:t>Cost impact and commissioning / service implications</w:t>
            </w:r>
          </w:p>
        </w:tc>
        <w:tc>
          <w:tcPr>
            <w:tcW w:w="2160" w:type="dxa"/>
            <w:tcBorders>
              <w:bottom w:val="single" w:sz="4" w:space="0" w:color="auto"/>
            </w:tcBorders>
            <w:shd w:val="clear" w:color="auto" w:fill="B6DDE8"/>
          </w:tcPr>
          <w:p w14:paraId="43FAB0E3" w14:textId="77777777" w:rsidR="001C7976" w:rsidRPr="00172933" w:rsidRDefault="001C7976" w:rsidP="001C7976">
            <w:pPr>
              <w:tabs>
                <w:tab w:val="clear" w:pos="975"/>
              </w:tabs>
              <w:rPr>
                <w:rFonts w:eastAsia="Calibri"/>
                <w:b/>
                <w:sz w:val="24"/>
                <w:szCs w:val="24"/>
              </w:rPr>
            </w:pPr>
            <w:r w:rsidRPr="00172933">
              <w:rPr>
                <w:rFonts w:eastAsia="Calibri"/>
                <w:b/>
                <w:sz w:val="24"/>
                <w:szCs w:val="24"/>
              </w:rPr>
              <w:t>Recommendation from HNY APC</w:t>
            </w:r>
          </w:p>
        </w:tc>
      </w:tr>
      <w:tr w:rsidR="00493A22" w:rsidRPr="00172933" w14:paraId="683B8F96" w14:textId="77777777" w:rsidTr="00493A22">
        <w:trPr>
          <w:cantSplit/>
          <w:trHeight w:val="548"/>
        </w:trPr>
        <w:tc>
          <w:tcPr>
            <w:tcW w:w="2689" w:type="dxa"/>
            <w:shd w:val="clear" w:color="auto" w:fill="auto"/>
          </w:tcPr>
          <w:p w14:paraId="3BD3269A" w14:textId="2AB54FD5" w:rsidR="00493A22" w:rsidRPr="00172933" w:rsidRDefault="00493A22" w:rsidP="00493A22">
            <w:pPr>
              <w:tabs>
                <w:tab w:val="clear" w:pos="975"/>
              </w:tabs>
              <w:rPr>
                <w:color w:val="000000"/>
                <w:sz w:val="24"/>
                <w:szCs w:val="24"/>
              </w:rPr>
            </w:pPr>
            <w:r w:rsidRPr="00172933">
              <w:rPr>
                <w:b/>
                <w:bCs/>
                <w:color w:val="000000"/>
                <w:sz w:val="24"/>
                <w:szCs w:val="24"/>
              </w:rPr>
              <w:t>Medicines for management actinic keratosis</w:t>
            </w:r>
            <w:r w:rsidRPr="00172933">
              <w:rPr>
                <w:color w:val="000000"/>
                <w:sz w:val="24"/>
                <w:szCs w:val="24"/>
              </w:rPr>
              <w:t>  </w:t>
            </w:r>
          </w:p>
        </w:tc>
        <w:tc>
          <w:tcPr>
            <w:tcW w:w="4536" w:type="dxa"/>
            <w:shd w:val="clear" w:color="auto" w:fill="auto"/>
          </w:tcPr>
          <w:p w14:paraId="08C47A78" w14:textId="77777777" w:rsidR="00493A22" w:rsidRPr="00172933" w:rsidRDefault="00493A22" w:rsidP="00245872">
            <w:pPr>
              <w:numPr>
                <w:ilvl w:val="0"/>
                <w:numId w:val="4"/>
              </w:numPr>
              <w:shd w:val="clear" w:color="auto" w:fill="00B050"/>
              <w:tabs>
                <w:tab w:val="clear" w:pos="720"/>
                <w:tab w:val="num" w:pos="460"/>
              </w:tabs>
              <w:ind w:left="316" w:hanging="258"/>
              <w:rPr>
                <w:sz w:val="24"/>
                <w:szCs w:val="24"/>
              </w:rPr>
            </w:pPr>
            <w:r w:rsidRPr="00172933">
              <w:rPr>
                <w:sz w:val="24"/>
                <w:szCs w:val="24"/>
              </w:rPr>
              <w:t>3% Diclofenac with HA (</w:t>
            </w:r>
            <w:proofErr w:type="spellStart"/>
            <w:r w:rsidRPr="00172933">
              <w:rPr>
                <w:sz w:val="24"/>
                <w:szCs w:val="24"/>
              </w:rPr>
              <w:t>Solaraze</w:t>
            </w:r>
            <w:proofErr w:type="spellEnd"/>
            <w:r w:rsidRPr="00172933">
              <w:rPr>
                <w:sz w:val="24"/>
                <w:szCs w:val="24"/>
              </w:rPr>
              <w:t>) – GREEN, and annotate: less cost effective than topical fluorouracil </w:t>
            </w:r>
          </w:p>
          <w:p w14:paraId="749B0A22" w14:textId="77777777" w:rsidR="00493A22" w:rsidRPr="00172933" w:rsidRDefault="00493A22" w:rsidP="00245872">
            <w:pPr>
              <w:numPr>
                <w:ilvl w:val="0"/>
                <w:numId w:val="5"/>
              </w:numPr>
              <w:shd w:val="clear" w:color="auto" w:fill="00B050"/>
              <w:tabs>
                <w:tab w:val="clear" w:pos="720"/>
                <w:tab w:val="num" w:pos="460"/>
              </w:tabs>
              <w:ind w:left="316" w:hanging="258"/>
              <w:rPr>
                <w:sz w:val="24"/>
                <w:szCs w:val="24"/>
              </w:rPr>
            </w:pPr>
            <w:r w:rsidRPr="00172933">
              <w:rPr>
                <w:sz w:val="24"/>
                <w:szCs w:val="24"/>
              </w:rPr>
              <w:t>5% Fluorouracil (5-FU) (</w:t>
            </w:r>
            <w:proofErr w:type="spellStart"/>
            <w:r w:rsidRPr="00172933">
              <w:rPr>
                <w:sz w:val="24"/>
                <w:szCs w:val="24"/>
              </w:rPr>
              <w:t>Efudix</w:t>
            </w:r>
            <w:proofErr w:type="spellEnd"/>
            <w:r w:rsidRPr="00172933">
              <w:rPr>
                <w:sz w:val="24"/>
                <w:szCs w:val="24"/>
              </w:rPr>
              <w:t>) - GREEN </w:t>
            </w:r>
          </w:p>
          <w:p w14:paraId="7AE0B18F" w14:textId="77777777" w:rsidR="00493A22" w:rsidRPr="00172933" w:rsidRDefault="00493A22" w:rsidP="00245872">
            <w:pPr>
              <w:numPr>
                <w:ilvl w:val="0"/>
                <w:numId w:val="6"/>
              </w:numPr>
              <w:shd w:val="clear" w:color="auto" w:fill="FFC000"/>
              <w:tabs>
                <w:tab w:val="clear" w:pos="720"/>
                <w:tab w:val="num" w:pos="460"/>
              </w:tabs>
              <w:ind w:left="316" w:hanging="258"/>
              <w:rPr>
                <w:sz w:val="24"/>
                <w:szCs w:val="24"/>
              </w:rPr>
            </w:pPr>
            <w:r w:rsidRPr="00172933">
              <w:rPr>
                <w:sz w:val="24"/>
                <w:szCs w:val="24"/>
              </w:rPr>
              <w:t>5% Imiquimod (Aldara) – AMBER SPECIALIST RECOMMENDATION </w:t>
            </w:r>
          </w:p>
          <w:p w14:paraId="1908BADB" w14:textId="599797E2" w:rsidR="00493A22" w:rsidRPr="00172933" w:rsidRDefault="00493A22" w:rsidP="00245872">
            <w:pPr>
              <w:numPr>
                <w:ilvl w:val="0"/>
                <w:numId w:val="7"/>
              </w:numPr>
              <w:shd w:val="clear" w:color="auto" w:fill="00B050"/>
              <w:tabs>
                <w:tab w:val="clear" w:pos="720"/>
                <w:tab w:val="num" w:pos="460"/>
              </w:tabs>
              <w:ind w:left="316" w:hanging="258"/>
              <w:rPr>
                <w:sz w:val="24"/>
                <w:szCs w:val="24"/>
              </w:rPr>
            </w:pPr>
            <w:r w:rsidRPr="00172933">
              <w:rPr>
                <w:sz w:val="24"/>
                <w:szCs w:val="24"/>
              </w:rPr>
              <w:t>0.5% 5-FU+10% salicylic acid (</w:t>
            </w:r>
            <w:proofErr w:type="spellStart"/>
            <w:r w:rsidRPr="00172933">
              <w:rPr>
                <w:sz w:val="24"/>
                <w:szCs w:val="24"/>
              </w:rPr>
              <w:t>Actikerall</w:t>
            </w:r>
            <w:proofErr w:type="spellEnd"/>
            <w:r w:rsidRPr="00172933">
              <w:rPr>
                <w:sz w:val="24"/>
                <w:szCs w:val="24"/>
              </w:rPr>
              <w:t>) - GREEN </w:t>
            </w:r>
          </w:p>
          <w:p w14:paraId="22CEDFB0" w14:textId="77777777" w:rsidR="00493A22" w:rsidRPr="00172933" w:rsidRDefault="00493A22" w:rsidP="00245872">
            <w:pPr>
              <w:numPr>
                <w:ilvl w:val="0"/>
                <w:numId w:val="2"/>
              </w:numPr>
              <w:shd w:val="clear" w:color="auto" w:fill="FFC000"/>
              <w:tabs>
                <w:tab w:val="clear" w:pos="720"/>
                <w:tab w:val="num" w:pos="460"/>
              </w:tabs>
              <w:ind w:left="316" w:hanging="258"/>
              <w:rPr>
                <w:sz w:val="24"/>
                <w:szCs w:val="24"/>
              </w:rPr>
            </w:pPr>
            <w:r w:rsidRPr="00172933">
              <w:rPr>
                <w:sz w:val="24"/>
                <w:szCs w:val="24"/>
              </w:rPr>
              <w:t xml:space="preserve">3.75% </w:t>
            </w:r>
            <w:proofErr w:type="spellStart"/>
            <w:r w:rsidRPr="00172933">
              <w:rPr>
                <w:sz w:val="24"/>
                <w:szCs w:val="24"/>
              </w:rPr>
              <w:t>Imiquimod</w:t>
            </w:r>
            <w:proofErr w:type="spellEnd"/>
            <w:r w:rsidRPr="00172933">
              <w:rPr>
                <w:sz w:val="24"/>
                <w:szCs w:val="24"/>
              </w:rPr>
              <w:t xml:space="preserve"> (</w:t>
            </w:r>
            <w:proofErr w:type="spellStart"/>
            <w:r w:rsidRPr="00172933">
              <w:rPr>
                <w:sz w:val="24"/>
                <w:szCs w:val="24"/>
              </w:rPr>
              <w:t>Zyclara</w:t>
            </w:r>
            <w:proofErr w:type="spellEnd"/>
            <w:r w:rsidRPr="00172933">
              <w:rPr>
                <w:sz w:val="24"/>
                <w:szCs w:val="24"/>
              </w:rPr>
              <w:t>) – AMBER SPECIALIST RECOMMENDATION </w:t>
            </w:r>
          </w:p>
          <w:p w14:paraId="7A130EE1" w14:textId="5D710A7E" w:rsidR="00493A22" w:rsidRPr="00172933" w:rsidRDefault="00493A22" w:rsidP="00245872">
            <w:pPr>
              <w:numPr>
                <w:ilvl w:val="0"/>
                <w:numId w:val="2"/>
              </w:numPr>
              <w:shd w:val="clear" w:color="auto" w:fill="00B050"/>
              <w:tabs>
                <w:tab w:val="clear" w:pos="720"/>
                <w:tab w:val="num" w:pos="460"/>
              </w:tabs>
              <w:ind w:left="316" w:hanging="258"/>
              <w:rPr>
                <w:sz w:val="24"/>
                <w:szCs w:val="24"/>
              </w:rPr>
            </w:pPr>
            <w:proofErr w:type="spellStart"/>
            <w:r w:rsidRPr="00172933">
              <w:rPr>
                <w:sz w:val="24"/>
                <w:szCs w:val="24"/>
              </w:rPr>
              <w:t>Tirbanibulin</w:t>
            </w:r>
            <w:proofErr w:type="spellEnd"/>
            <w:r w:rsidRPr="00172933">
              <w:rPr>
                <w:sz w:val="24"/>
                <w:szCs w:val="24"/>
              </w:rPr>
              <w:t xml:space="preserve"> 10mg/g (</w:t>
            </w:r>
            <w:proofErr w:type="spellStart"/>
            <w:r w:rsidRPr="00172933">
              <w:rPr>
                <w:sz w:val="24"/>
                <w:szCs w:val="24"/>
              </w:rPr>
              <w:t>Klisyri</w:t>
            </w:r>
            <w:proofErr w:type="spellEnd"/>
            <w:r w:rsidRPr="00172933">
              <w:rPr>
                <w:sz w:val="24"/>
                <w:szCs w:val="24"/>
              </w:rPr>
              <w:t>) – GREEN  </w:t>
            </w:r>
          </w:p>
        </w:tc>
        <w:tc>
          <w:tcPr>
            <w:tcW w:w="2551" w:type="dxa"/>
            <w:shd w:val="clear" w:color="auto" w:fill="auto"/>
          </w:tcPr>
          <w:p w14:paraId="1BC98498" w14:textId="77777777" w:rsidR="00493A22" w:rsidRPr="00172933" w:rsidRDefault="00493A22" w:rsidP="00493A22">
            <w:pPr>
              <w:tabs>
                <w:tab w:val="clear" w:pos="975"/>
              </w:tabs>
              <w:ind w:left="20"/>
              <w:rPr>
                <w:iCs/>
                <w:sz w:val="24"/>
                <w:szCs w:val="24"/>
              </w:rPr>
            </w:pPr>
            <w:r w:rsidRPr="00172933">
              <w:rPr>
                <w:iCs/>
                <w:sz w:val="24"/>
                <w:szCs w:val="24"/>
              </w:rPr>
              <w:t>Formulary section to be annotated: All medications to be used in line with PCDS pathway - Actinic (Solar) Keratosis Primary Care Treatment Pathway </w:t>
            </w:r>
          </w:p>
          <w:p w14:paraId="1CF07D02" w14:textId="77777777" w:rsidR="00493A22" w:rsidRPr="00172933" w:rsidRDefault="00F53774" w:rsidP="00493A22">
            <w:pPr>
              <w:tabs>
                <w:tab w:val="clear" w:pos="975"/>
              </w:tabs>
              <w:ind w:left="20"/>
              <w:rPr>
                <w:iCs/>
                <w:sz w:val="24"/>
                <w:szCs w:val="24"/>
              </w:rPr>
            </w:pPr>
            <w:hyperlink r:id="rId23" w:tgtFrame="_blank" w:history="1">
              <w:r w:rsidR="00493A22" w:rsidRPr="00172933">
                <w:rPr>
                  <w:rStyle w:val="Hyperlink"/>
                  <w:rFonts w:cs="Arial"/>
                  <w:iCs/>
                  <w:sz w:val="24"/>
                  <w:szCs w:val="24"/>
                </w:rPr>
                <w:t>https://www.pcds.org.uk/files/general/AK-Pathway-2022-Update-web-1.pdf</w:t>
              </w:r>
            </w:hyperlink>
            <w:r w:rsidR="00493A22" w:rsidRPr="00172933">
              <w:rPr>
                <w:iCs/>
                <w:sz w:val="24"/>
                <w:szCs w:val="24"/>
              </w:rPr>
              <w:t>  </w:t>
            </w:r>
          </w:p>
          <w:p w14:paraId="453258A6" w14:textId="5BF02A68" w:rsidR="00493A22" w:rsidRPr="00172933" w:rsidRDefault="00493A22" w:rsidP="00493A22">
            <w:pPr>
              <w:tabs>
                <w:tab w:val="clear" w:pos="975"/>
              </w:tabs>
              <w:ind w:left="20"/>
              <w:rPr>
                <w:iCs/>
                <w:sz w:val="24"/>
                <w:szCs w:val="24"/>
              </w:rPr>
            </w:pPr>
          </w:p>
        </w:tc>
        <w:tc>
          <w:tcPr>
            <w:tcW w:w="3945" w:type="dxa"/>
          </w:tcPr>
          <w:p w14:paraId="377FA3FC" w14:textId="50F87BA2" w:rsidR="00493A22" w:rsidRPr="00172933" w:rsidRDefault="00493A22" w:rsidP="00493A22">
            <w:pPr>
              <w:rPr>
                <w:i/>
                <w:sz w:val="24"/>
                <w:szCs w:val="24"/>
              </w:rPr>
            </w:pPr>
            <w:r w:rsidRPr="00172933">
              <w:rPr>
                <w:sz w:val="24"/>
                <w:szCs w:val="24"/>
              </w:rPr>
              <w:t>Cost: None expected; medicines are already in use for an existing patient cohort</w:t>
            </w:r>
          </w:p>
        </w:tc>
        <w:tc>
          <w:tcPr>
            <w:tcW w:w="2160" w:type="dxa"/>
            <w:shd w:val="clear" w:color="auto" w:fill="FFFFFF"/>
          </w:tcPr>
          <w:p w14:paraId="67ABE1BF" w14:textId="77777777" w:rsidR="00493A22" w:rsidRPr="00172933" w:rsidRDefault="00493A22" w:rsidP="00493A22">
            <w:pPr>
              <w:rPr>
                <w:iCs/>
                <w:sz w:val="24"/>
                <w:szCs w:val="24"/>
                <w:lang w:val="en-US"/>
              </w:rPr>
            </w:pPr>
            <w:r w:rsidRPr="00172933">
              <w:rPr>
                <w:iCs/>
                <w:sz w:val="24"/>
                <w:szCs w:val="24"/>
                <w:lang w:val="en-US"/>
              </w:rPr>
              <w:t>Approve addition to formulary</w:t>
            </w:r>
          </w:p>
          <w:p w14:paraId="36C2BF8F" w14:textId="75875938" w:rsidR="00493A22" w:rsidRPr="00172933" w:rsidRDefault="00493A22" w:rsidP="00493A22">
            <w:pPr>
              <w:rPr>
                <w:iCs/>
                <w:sz w:val="24"/>
                <w:szCs w:val="24"/>
              </w:rPr>
            </w:pPr>
          </w:p>
        </w:tc>
      </w:tr>
      <w:tr w:rsidR="00493A22" w:rsidRPr="00172933" w14:paraId="564CDE11" w14:textId="77777777" w:rsidTr="00493A22">
        <w:trPr>
          <w:cantSplit/>
          <w:trHeight w:val="548"/>
        </w:trPr>
        <w:tc>
          <w:tcPr>
            <w:tcW w:w="2689" w:type="dxa"/>
            <w:shd w:val="clear" w:color="auto" w:fill="auto"/>
          </w:tcPr>
          <w:p w14:paraId="0F06FFB8" w14:textId="48004BCE" w:rsidR="00493A22" w:rsidRPr="00172933" w:rsidRDefault="00493A22" w:rsidP="00493A22">
            <w:pPr>
              <w:tabs>
                <w:tab w:val="left" w:pos="720"/>
              </w:tabs>
              <w:rPr>
                <w:color w:val="000000"/>
                <w:sz w:val="24"/>
                <w:szCs w:val="24"/>
              </w:rPr>
            </w:pPr>
            <w:r w:rsidRPr="00172933">
              <w:rPr>
                <w:rStyle w:val="normaltextrun"/>
                <w:b/>
                <w:bCs/>
                <w:sz w:val="24"/>
                <w:szCs w:val="24"/>
              </w:rPr>
              <w:t>Sodium chloride 0.9% solution</w:t>
            </w:r>
            <w:r w:rsidRPr="00172933">
              <w:rPr>
                <w:rStyle w:val="normaltextrun"/>
                <w:sz w:val="24"/>
                <w:szCs w:val="24"/>
              </w:rPr>
              <w:t xml:space="preserve"> for injection 2ml, 5ml, 10ml, 20ml ampoules for use as a </w:t>
            </w:r>
            <w:r w:rsidRPr="00172933">
              <w:rPr>
                <w:rStyle w:val="normaltextrun"/>
                <w:sz w:val="24"/>
                <w:szCs w:val="24"/>
                <w:u w:val="single"/>
              </w:rPr>
              <w:t>diluent</w:t>
            </w:r>
            <w:r w:rsidRPr="00172933">
              <w:rPr>
                <w:rStyle w:val="eop"/>
                <w:sz w:val="24"/>
                <w:szCs w:val="24"/>
              </w:rPr>
              <w:t> </w:t>
            </w:r>
          </w:p>
        </w:tc>
        <w:tc>
          <w:tcPr>
            <w:tcW w:w="4536" w:type="dxa"/>
            <w:shd w:val="clear" w:color="auto" w:fill="auto"/>
          </w:tcPr>
          <w:p w14:paraId="7C405515" w14:textId="77777777" w:rsidR="00493A22" w:rsidRPr="00172933" w:rsidRDefault="00493A22" w:rsidP="00493A22">
            <w:pPr>
              <w:shd w:val="clear" w:color="auto" w:fill="00B050"/>
              <w:rPr>
                <w:rStyle w:val="eop"/>
                <w:sz w:val="24"/>
                <w:szCs w:val="24"/>
              </w:rPr>
            </w:pPr>
            <w:r w:rsidRPr="00172933">
              <w:rPr>
                <w:rStyle w:val="normaltextrun"/>
                <w:sz w:val="24"/>
                <w:szCs w:val="24"/>
                <w:shd w:val="clear" w:color="auto" w:fill="00B050"/>
                <w:lang w:val="en-US"/>
              </w:rPr>
              <w:t>GREEN when used for palliative care</w:t>
            </w:r>
            <w:r w:rsidRPr="00172933">
              <w:rPr>
                <w:rStyle w:val="eop"/>
                <w:sz w:val="24"/>
                <w:szCs w:val="24"/>
                <w:shd w:val="clear" w:color="auto" w:fill="00B050"/>
              </w:rPr>
              <w:t> </w:t>
            </w:r>
          </w:p>
          <w:p w14:paraId="1A8CFE87" w14:textId="4E68FB7F" w:rsidR="00493A22" w:rsidRPr="00172933" w:rsidRDefault="00493A22" w:rsidP="00493A22">
            <w:pPr>
              <w:rPr>
                <w:sz w:val="24"/>
                <w:szCs w:val="24"/>
              </w:rPr>
            </w:pPr>
          </w:p>
        </w:tc>
        <w:tc>
          <w:tcPr>
            <w:tcW w:w="2551" w:type="dxa"/>
            <w:shd w:val="clear" w:color="auto" w:fill="auto"/>
          </w:tcPr>
          <w:p w14:paraId="2E0D3BDD" w14:textId="2C8512ED" w:rsidR="00493A22" w:rsidRPr="00172933" w:rsidRDefault="00493A22" w:rsidP="00493A22">
            <w:pPr>
              <w:tabs>
                <w:tab w:val="clear" w:pos="975"/>
              </w:tabs>
              <w:ind w:left="20"/>
              <w:rPr>
                <w:iCs/>
                <w:sz w:val="24"/>
                <w:szCs w:val="24"/>
              </w:rPr>
            </w:pPr>
            <w:r w:rsidRPr="00172933">
              <w:rPr>
                <w:rStyle w:val="normaltextrun"/>
                <w:sz w:val="24"/>
                <w:szCs w:val="24"/>
                <w:lang w:val="en-US"/>
              </w:rPr>
              <w:t>Current RED status for intravenous sodium chloride is a barrier to care for patients receiving palliative care. </w:t>
            </w:r>
            <w:r w:rsidRPr="00172933">
              <w:rPr>
                <w:rStyle w:val="eop"/>
                <w:sz w:val="24"/>
                <w:szCs w:val="24"/>
              </w:rPr>
              <w:t> </w:t>
            </w:r>
          </w:p>
        </w:tc>
        <w:tc>
          <w:tcPr>
            <w:tcW w:w="3945" w:type="dxa"/>
          </w:tcPr>
          <w:p w14:paraId="0833D522" w14:textId="77777777" w:rsidR="00493A22" w:rsidRPr="00172933" w:rsidRDefault="00493A22" w:rsidP="00493A22">
            <w:pPr>
              <w:rPr>
                <w:rStyle w:val="eop"/>
                <w:sz w:val="24"/>
                <w:szCs w:val="24"/>
              </w:rPr>
            </w:pPr>
            <w:r w:rsidRPr="00172933">
              <w:rPr>
                <w:rStyle w:val="normaltextrun"/>
                <w:sz w:val="24"/>
                <w:szCs w:val="24"/>
                <w:lang w:val="en-US"/>
              </w:rPr>
              <w:t>Cost: Acquisition cost may be slightly higher in primary care; however, a green status will simplify the treatment pathway and is likely to reduce demands on staff time and improve patient care. </w:t>
            </w:r>
            <w:r w:rsidRPr="00172933">
              <w:rPr>
                <w:rStyle w:val="eop"/>
                <w:sz w:val="24"/>
                <w:szCs w:val="24"/>
              </w:rPr>
              <w:t> </w:t>
            </w:r>
          </w:p>
          <w:p w14:paraId="4CBE5750" w14:textId="47843452" w:rsidR="00493A22" w:rsidRPr="00172933" w:rsidRDefault="00493A22" w:rsidP="00493A22">
            <w:pPr>
              <w:rPr>
                <w:i/>
                <w:sz w:val="24"/>
                <w:szCs w:val="24"/>
              </w:rPr>
            </w:pPr>
            <w:r w:rsidRPr="00172933">
              <w:rPr>
                <w:rStyle w:val="eop"/>
                <w:sz w:val="24"/>
                <w:szCs w:val="24"/>
              </w:rPr>
              <w:t xml:space="preserve">Commissioning / Service: </w:t>
            </w:r>
            <w:r w:rsidRPr="00172933">
              <w:rPr>
                <w:sz w:val="24"/>
                <w:szCs w:val="24"/>
                <w:lang w:val="en-US"/>
              </w:rPr>
              <w:t>None expected</w:t>
            </w:r>
            <w:r w:rsidRPr="00172933">
              <w:rPr>
                <w:sz w:val="24"/>
                <w:szCs w:val="24"/>
              </w:rPr>
              <w:t> </w:t>
            </w:r>
          </w:p>
        </w:tc>
        <w:tc>
          <w:tcPr>
            <w:tcW w:w="2160" w:type="dxa"/>
            <w:shd w:val="clear" w:color="auto" w:fill="FFFFFF"/>
          </w:tcPr>
          <w:p w14:paraId="35D805C1" w14:textId="77777777" w:rsidR="00493A22" w:rsidRPr="00172933" w:rsidRDefault="00493A22" w:rsidP="00493A22">
            <w:pPr>
              <w:rPr>
                <w:iCs/>
                <w:sz w:val="24"/>
                <w:szCs w:val="24"/>
                <w:lang w:val="en-US"/>
              </w:rPr>
            </w:pPr>
            <w:r w:rsidRPr="00172933">
              <w:rPr>
                <w:iCs/>
                <w:sz w:val="24"/>
                <w:szCs w:val="24"/>
                <w:lang w:val="en-US"/>
              </w:rPr>
              <w:t>Approve addition to formulary</w:t>
            </w:r>
          </w:p>
          <w:p w14:paraId="3D288396" w14:textId="77777777" w:rsidR="00493A22" w:rsidRPr="00172933" w:rsidRDefault="00493A22" w:rsidP="00493A22">
            <w:pPr>
              <w:rPr>
                <w:iCs/>
                <w:sz w:val="24"/>
                <w:szCs w:val="24"/>
              </w:rPr>
            </w:pPr>
          </w:p>
        </w:tc>
      </w:tr>
      <w:tr w:rsidR="00493A22" w:rsidRPr="00172933" w14:paraId="71A99F62" w14:textId="77777777" w:rsidTr="00493A22">
        <w:trPr>
          <w:cantSplit/>
          <w:trHeight w:val="548"/>
        </w:trPr>
        <w:tc>
          <w:tcPr>
            <w:tcW w:w="2689" w:type="dxa"/>
            <w:shd w:val="clear" w:color="auto" w:fill="auto"/>
          </w:tcPr>
          <w:p w14:paraId="3B61A065" w14:textId="77777777" w:rsidR="00493A22" w:rsidRPr="00172933" w:rsidRDefault="00493A22" w:rsidP="00493A22">
            <w:pPr>
              <w:pStyle w:val="paragraph"/>
              <w:spacing w:before="0" w:beforeAutospacing="0" w:after="0" w:afterAutospacing="0"/>
              <w:textAlignment w:val="baseline"/>
              <w:rPr>
                <w:rFonts w:ascii="Segoe UI" w:hAnsi="Segoe UI" w:cs="Segoe UI"/>
              </w:rPr>
            </w:pPr>
            <w:r w:rsidRPr="00172933">
              <w:rPr>
                <w:rStyle w:val="normaltextrun"/>
                <w:rFonts w:ascii="Arial" w:hAnsi="Arial" w:cs="Arial"/>
                <w:b/>
                <w:bCs/>
              </w:rPr>
              <w:lastRenderedPageBreak/>
              <w:t>Sodium chloride 0.9% solution</w:t>
            </w:r>
            <w:r w:rsidRPr="00172933">
              <w:rPr>
                <w:rStyle w:val="normaltextrun"/>
                <w:rFonts w:ascii="Arial" w:hAnsi="Arial" w:cs="Arial"/>
              </w:rPr>
              <w:t xml:space="preserve"> for injection 2ml, 5ml, 10ml, 20ml ampoules for use as a </w:t>
            </w:r>
            <w:r w:rsidRPr="00172933">
              <w:rPr>
                <w:rStyle w:val="normaltextrun"/>
                <w:rFonts w:ascii="Arial" w:hAnsi="Arial" w:cs="Arial"/>
                <w:u w:val="single"/>
              </w:rPr>
              <w:t>flush</w:t>
            </w:r>
            <w:r w:rsidRPr="00172933">
              <w:rPr>
                <w:rStyle w:val="normaltextrun"/>
                <w:rFonts w:ascii="Arial" w:hAnsi="Arial" w:cs="Arial"/>
              </w:rPr>
              <w:t> </w:t>
            </w:r>
            <w:r w:rsidRPr="00172933">
              <w:rPr>
                <w:rStyle w:val="eop"/>
                <w:rFonts w:ascii="Arial" w:hAnsi="Arial" w:cs="Arial"/>
              </w:rPr>
              <w:t> </w:t>
            </w:r>
          </w:p>
          <w:p w14:paraId="7E5B3847" w14:textId="2B531005" w:rsidR="00493A22" w:rsidRPr="00172933" w:rsidRDefault="00493A22" w:rsidP="00493A22">
            <w:pPr>
              <w:tabs>
                <w:tab w:val="left" w:pos="720"/>
              </w:tabs>
              <w:rPr>
                <w:color w:val="000000"/>
                <w:sz w:val="24"/>
                <w:szCs w:val="24"/>
              </w:rPr>
            </w:pPr>
            <w:r w:rsidRPr="00172933">
              <w:rPr>
                <w:rStyle w:val="eop"/>
                <w:sz w:val="24"/>
                <w:szCs w:val="24"/>
              </w:rPr>
              <w:t> </w:t>
            </w:r>
          </w:p>
        </w:tc>
        <w:tc>
          <w:tcPr>
            <w:tcW w:w="4536" w:type="dxa"/>
            <w:shd w:val="clear" w:color="auto" w:fill="auto"/>
          </w:tcPr>
          <w:p w14:paraId="78F5D975" w14:textId="77777777" w:rsidR="00493A22" w:rsidRPr="00172933" w:rsidRDefault="00493A22" w:rsidP="00493A22">
            <w:pPr>
              <w:shd w:val="clear" w:color="auto" w:fill="00B050"/>
              <w:rPr>
                <w:rStyle w:val="eop"/>
                <w:sz w:val="24"/>
                <w:szCs w:val="24"/>
              </w:rPr>
            </w:pPr>
            <w:r w:rsidRPr="00172933">
              <w:rPr>
                <w:rStyle w:val="normaltextrun"/>
                <w:sz w:val="24"/>
                <w:szCs w:val="24"/>
                <w:shd w:val="clear" w:color="auto" w:fill="00B050"/>
                <w:lang w:val="en-US"/>
              </w:rPr>
              <w:t>GREEN when used as a flush</w:t>
            </w:r>
            <w:r w:rsidRPr="00172933">
              <w:rPr>
                <w:rStyle w:val="eop"/>
                <w:sz w:val="24"/>
                <w:szCs w:val="24"/>
                <w:shd w:val="clear" w:color="auto" w:fill="00B050"/>
              </w:rPr>
              <w:t> </w:t>
            </w:r>
          </w:p>
          <w:p w14:paraId="0C8B06DD" w14:textId="2C9A54AD" w:rsidR="00493A22" w:rsidRPr="00172933" w:rsidRDefault="00493A22" w:rsidP="00493A22">
            <w:pPr>
              <w:rPr>
                <w:sz w:val="24"/>
                <w:szCs w:val="24"/>
              </w:rPr>
            </w:pPr>
          </w:p>
        </w:tc>
        <w:tc>
          <w:tcPr>
            <w:tcW w:w="2551" w:type="dxa"/>
            <w:shd w:val="clear" w:color="auto" w:fill="auto"/>
          </w:tcPr>
          <w:p w14:paraId="4C93048E" w14:textId="37AF47EA" w:rsidR="00493A22" w:rsidRPr="00172933" w:rsidRDefault="00493A22" w:rsidP="00493A22">
            <w:pPr>
              <w:tabs>
                <w:tab w:val="clear" w:pos="975"/>
              </w:tabs>
              <w:ind w:left="20"/>
              <w:rPr>
                <w:iCs/>
                <w:sz w:val="24"/>
                <w:szCs w:val="24"/>
              </w:rPr>
            </w:pPr>
            <w:r w:rsidRPr="00172933">
              <w:rPr>
                <w:rStyle w:val="normaltextrun"/>
                <w:sz w:val="24"/>
                <w:szCs w:val="24"/>
                <w:lang w:val="en-US"/>
              </w:rPr>
              <w:t>Current RED status for intravenous sodium chloride is a barrier to care for patients receiving palliative care.</w:t>
            </w:r>
            <w:r w:rsidRPr="00172933">
              <w:rPr>
                <w:rStyle w:val="eop"/>
                <w:sz w:val="24"/>
                <w:szCs w:val="24"/>
              </w:rPr>
              <w:t> </w:t>
            </w:r>
          </w:p>
        </w:tc>
        <w:tc>
          <w:tcPr>
            <w:tcW w:w="3945" w:type="dxa"/>
          </w:tcPr>
          <w:p w14:paraId="5A66B865" w14:textId="77777777" w:rsidR="00493A22" w:rsidRPr="00172933" w:rsidRDefault="00493A22" w:rsidP="00493A22">
            <w:pPr>
              <w:rPr>
                <w:rStyle w:val="eop"/>
                <w:sz w:val="24"/>
                <w:szCs w:val="24"/>
              </w:rPr>
            </w:pPr>
            <w:r w:rsidRPr="00172933">
              <w:rPr>
                <w:rStyle w:val="normaltextrun"/>
                <w:sz w:val="24"/>
                <w:szCs w:val="24"/>
                <w:lang w:val="en-US"/>
              </w:rPr>
              <w:t>Cost: Acquisition cost may be slightly higher in primary care; however, a green status will simplify the treatment pathway and is likely to reduce demands on staff time and improve patient care.</w:t>
            </w:r>
            <w:r w:rsidRPr="00172933">
              <w:rPr>
                <w:rStyle w:val="eop"/>
                <w:sz w:val="24"/>
                <w:szCs w:val="24"/>
              </w:rPr>
              <w:t> </w:t>
            </w:r>
          </w:p>
          <w:p w14:paraId="3F22A53C" w14:textId="31BCD31C" w:rsidR="00493A22" w:rsidRPr="00172933" w:rsidRDefault="00493A22" w:rsidP="00493A22">
            <w:pPr>
              <w:rPr>
                <w:i/>
                <w:sz w:val="24"/>
                <w:szCs w:val="24"/>
              </w:rPr>
            </w:pPr>
            <w:r w:rsidRPr="00172933">
              <w:rPr>
                <w:rStyle w:val="eop"/>
                <w:sz w:val="24"/>
                <w:szCs w:val="24"/>
              </w:rPr>
              <w:t xml:space="preserve">Commissioning / Service: </w:t>
            </w:r>
            <w:r w:rsidRPr="00172933">
              <w:rPr>
                <w:sz w:val="24"/>
                <w:szCs w:val="24"/>
                <w:lang w:val="en-US"/>
              </w:rPr>
              <w:t>None expected</w:t>
            </w:r>
            <w:r w:rsidRPr="00172933">
              <w:rPr>
                <w:sz w:val="24"/>
                <w:szCs w:val="24"/>
              </w:rPr>
              <w:t> </w:t>
            </w:r>
          </w:p>
        </w:tc>
        <w:tc>
          <w:tcPr>
            <w:tcW w:w="2160" w:type="dxa"/>
            <w:shd w:val="clear" w:color="auto" w:fill="FFFFFF"/>
          </w:tcPr>
          <w:p w14:paraId="33FB9989" w14:textId="77777777" w:rsidR="00493A22" w:rsidRPr="00172933" w:rsidRDefault="00493A22" w:rsidP="00493A22">
            <w:pPr>
              <w:rPr>
                <w:iCs/>
                <w:sz w:val="24"/>
                <w:szCs w:val="24"/>
                <w:lang w:val="en-US"/>
              </w:rPr>
            </w:pPr>
            <w:r w:rsidRPr="00172933">
              <w:rPr>
                <w:iCs/>
                <w:sz w:val="24"/>
                <w:szCs w:val="24"/>
                <w:lang w:val="en-US"/>
              </w:rPr>
              <w:t>Approve addition to formulary</w:t>
            </w:r>
          </w:p>
          <w:p w14:paraId="2F29CCFC" w14:textId="77777777" w:rsidR="00493A22" w:rsidRPr="00172933" w:rsidRDefault="00493A22" w:rsidP="00493A22">
            <w:pPr>
              <w:rPr>
                <w:iCs/>
                <w:sz w:val="24"/>
                <w:szCs w:val="24"/>
              </w:rPr>
            </w:pPr>
          </w:p>
        </w:tc>
      </w:tr>
      <w:tr w:rsidR="00493A22" w:rsidRPr="00172933" w14:paraId="068C9B0C" w14:textId="77777777" w:rsidTr="00493A22">
        <w:trPr>
          <w:cantSplit/>
          <w:trHeight w:val="548"/>
        </w:trPr>
        <w:tc>
          <w:tcPr>
            <w:tcW w:w="2689" w:type="dxa"/>
            <w:shd w:val="clear" w:color="auto" w:fill="auto"/>
          </w:tcPr>
          <w:p w14:paraId="11F5F4B0" w14:textId="563DF7BB" w:rsidR="00493A22" w:rsidRPr="00172933" w:rsidRDefault="00493A22" w:rsidP="00493A22">
            <w:pPr>
              <w:tabs>
                <w:tab w:val="left" w:pos="720"/>
              </w:tabs>
              <w:rPr>
                <w:color w:val="000000"/>
                <w:sz w:val="24"/>
                <w:szCs w:val="24"/>
              </w:rPr>
            </w:pPr>
            <w:r w:rsidRPr="00172933">
              <w:rPr>
                <w:b/>
                <w:bCs/>
                <w:sz w:val="24"/>
                <w:szCs w:val="24"/>
              </w:rPr>
              <w:t xml:space="preserve">Sodium chloride 0.9% solution </w:t>
            </w:r>
            <w:r w:rsidRPr="00172933">
              <w:rPr>
                <w:sz w:val="24"/>
                <w:szCs w:val="24"/>
              </w:rPr>
              <w:t xml:space="preserve">500ml &amp; 1000 ml </w:t>
            </w:r>
            <w:r w:rsidRPr="00172933">
              <w:rPr>
                <w:sz w:val="24"/>
                <w:szCs w:val="24"/>
                <w:u w:val="single"/>
              </w:rPr>
              <w:t>bags</w:t>
            </w:r>
            <w:r w:rsidRPr="00172933">
              <w:rPr>
                <w:sz w:val="24"/>
                <w:szCs w:val="24"/>
              </w:rPr>
              <w:t xml:space="preserve"> for use in hypodermoclysis</w:t>
            </w:r>
            <w:r w:rsidRPr="00172933">
              <w:rPr>
                <w:b/>
                <w:bCs/>
                <w:sz w:val="24"/>
                <w:szCs w:val="24"/>
              </w:rPr>
              <w:t> </w:t>
            </w:r>
          </w:p>
        </w:tc>
        <w:tc>
          <w:tcPr>
            <w:tcW w:w="4536" w:type="dxa"/>
            <w:shd w:val="clear" w:color="auto" w:fill="auto"/>
          </w:tcPr>
          <w:p w14:paraId="2D35CFAF" w14:textId="77777777" w:rsidR="00493A22" w:rsidRPr="00172933" w:rsidRDefault="00493A22" w:rsidP="00493A22">
            <w:pPr>
              <w:shd w:val="clear" w:color="auto" w:fill="FFC000"/>
              <w:rPr>
                <w:rStyle w:val="eop"/>
                <w:sz w:val="24"/>
                <w:szCs w:val="24"/>
              </w:rPr>
            </w:pPr>
            <w:r w:rsidRPr="00172933">
              <w:rPr>
                <w:rStyle w:val="normaltextrun"/>
                <w:sz w:val="24"/>
                <w:szCs w:val="24"/>
                <w:shd w:val="clear" w:color="auto" w:fill="FFC000"/>
              </w:rPr>
              <w:t>AMBER Specialist Initiation (SI) (in line with Palliative Care or Virtual Ward MDT care plan)</w:t>
            </w:r>
            <w:r w:rsidRPr="00172933">
              <w:rPr>
                <w:rStyle w:val="eop"/>
                <w:sz w:val="24"/>
                <w:szCs w:val="24"/>
                <w:shd w:val="clear" w:color="auto" w:fill="FFC000"/>
              </w:rPr>
              <w:t> </w:t>
            </w:r>
          </w:p>
          <w:p w14:paraId="23B8CE1E" w14:textId="2255AE68" w:rsidR="00493A22" w:rsidRPr="00172933" w:rsidRDefault="00493A22" w:rsidP="00493A22">
            <w:pPr>
              <w:rPr>
                <w:sz w:val="24"/>
                <w:szCs w:val="24"/>
              </w:rPr>
            </w:pPr>
          </w:p>
        </w:tc>
        <w:tc>
          <w:tcPr>
            <w:tcW w:w="2551" w:type="dxa"/>
            <w:shd w:val="clear" w:color="auto" w:fill="auto"/>
          </w:tcPr>
          <w:p w14:paraId="03C827FF" w14:textId="4C108DB8" w:rsidR="00493A22" w:rsidRPr="00172933" w:rsidRDefault="00493A22" w:rsidP="00493A22">
            <w:pPr>
              <w:tabs>
                <w:tab w:val="clear" w:pos="975"/>
              </w:tabs>
              <w:ind w:left="20"/>
              <w:rPr>
                <w:iCs/>
                <w:sz w:val="24"/>
                <w:szCs w:val="24"/>
              </w:rPr>
            </w:pPr>
            <w:r w:rsidRPr="00172933">
              <w:rPr>
                <w:rStyle w:val="normaltextrun"/>
                <w:sz w:val="24"/>
                <w:szCs w:val="24"/>
              </w:rPr>
              <w:t>Current RED status for intravenous sodium chloride is a barrier to care for patients receiving care in line with locally agreed guidelines.</w:t>
            </w:r>
            <w:r w:rsidRPr="00172933">
              <w:rPr>
                <w:rStyle w:val="eop"/>
                <w:sz w:val="24"/>
                <w:szCs w:val="24"/>
              </w:rPr>
              <w:t> </w:t>
            </w:r>
          </w:p>
        </w:tc>
        <w:tc>
          <w:tcPr>
            <w:tcW w:w="3945" w:type="dxa"/>
          </w:tcPr>
          <w:p w14:paraId="32199FB1" w14:textId="77777777" w:rsidR="00493A22" w:rsidRPr="00172933" w:rsidRDefault="00493A22" w:rsidP="00493A22">
            <w:pPr>
              <w:rPr>
                <w:rStyle w:val="eop"/>
                <w:sz w:val="24"/>
                <w:szCs w:val="24"/>
              </w:rPr>
            </w:pPr>
            <w:r w:rsidRPr="00172933">
              <w:rPr>
                <w:rStyle w:val="normaltextrun"/>
                <w:sz w:val="24"/>
                <w:szCs w:val="24"/>
              </w:rPr>
              <w:t xml:space="preserve">Acquisition cost may be slightly higher in primary care; however, </w:t>
            </w:r>
            <w:proofErr w:type="spellStart"/>
            <w:r w:rsidRPr="00172933">
              <w:rPr>
                <w:rStyle w:val="normaltextrun"/>
                <w:sz w:val="24"/>
                <w:szCs w:val="24"/>
              </w:rPr>
              <w:t>a</w:t>
            </w:r>
            <w:proofErr w:type="spellEnd"/>
            <w:r w:rsidRPr="00172933">
              <w:rPr>
                <w:rStyle w:val="normaltextrun"/>
                <w:sz w:val="24"/>
                <w:szCs w:val="24"/>
              </w:rPr>
              <w:t xml:space="preserve"> AMBER SI status will simplify the treatment pathway and is likely to reduce demands on staff time and improve patient care.</w:t>
            </w:r>
            <w:r w:rsidRPr="00172933">
              <w:rPr>
                <w:rStyle w:val="eop"/>
                <w:sz w:val="24"/>
                <w:szCs w:val="24"/>
              </w:rPr>
              <w:t> </w:t>
            </w:r>
          </w:p>
          <w:p w14:paraId="30B325F9" w14:textId="1C100698" w:rsidR="00493A22" w:rsidRPr="00172933" w:rsidRDefault="00493A22" w:rsidP="00493A22">
            <w:pPr>
              <w:rPr>
                <w:i/>
                <w:sz w:val="24"/>
                <w:szCs w:val="24"/>
              </w:rPr>
            </w:pPr>
            <w:r w:rsidRPr="00172933">
              <w:rPr>
                <w:rStyle w:val="eop"/>
                <w:sz w:val="24"/>
                <w:szCs w:val="24"/>
              </w:rPr>
              <w:t xml:space="preserve">Commissioning / Service: </w:t>
            </w:r>
            <w:r w:rsidRPr="00172933">
              <w:rPr>
                <w:sz w:val="24"/>
                <w:szCs w:val="24"/>
                <w:lang w:val="en-US"/>
              </w:rPr>
              <w:t>None expected</w:t>
            </w:r>
            <w:r w:rsidRPr="00172933">
              <w:rPr>
                <w:sz w:val="24"/>
                <w:szCs w:val="24"/>
              </w:rPr>
              <w:t> </w:t>
            </w:r>
          </w:p>
        </w:tc>
        <w:tc>
          <w:tcPr>
            <w:tcW w:w="2160" w:type="dxa"/>
            <w:shd w:val="clear" w:color="auto" w:fill="FFFFFF"/>
          </w:tcPr>
          <w:p w14:paraId="2DD9BF06" w14:textId="77777777" w:rsidR="00493A22" w:rsidRPr="00172933" w:rsidRDefault="00493A22" w:rsidP="00493A22">
            <w:pPr>
              <w:rPr>
                <w:iCs/>
                <w:sz w:val="24"/>
                <w:szCs w:val="24"/>
                <w:lang w:val="en-US"/>
              </w:rPr>
            </w:pPr>
            <w:r w:rsidRPr="00172933">
              <w:rPr>
                <w:iCs/>
                <w:sz w:val="24"/>
                <w:szCs w:val="24"/>
                <w:lang w:val="en-US"/>
              </w:rPr>
              <w:t>Approve addition to formulary</w:t>
            </w:r>
          </w:p>
          <w:p w14:paraId="63C48E1B" w14:textId="77777777" w:rsidR="00493A22" w:rsidRPr="00172933" w:rsidRDefault="00493A22" w:rsidP="00493A22">
            <w:pPr>
              <w:rPr>
                <w:iCs/>
                <w:sz w:val="24"/>
                <w:szCs w:val="24"/>
              </w:rPr>
            </w:pPr>
          </w:p>
        </w:tc>
      </w:tr>
      <w:tr w:rsidR="00B40050" w:rsidRPr="00172933" w14:paraId="1EBBCF69" w14:textId="77777777" w:rsidTr="00B40050">
        <w:trPr>
          <w:cantSplit/>
          <w:trHeight w:val="548"/>
        </w:trPr>
        <w:tc>
          <w:tcPr>
            <w:tcW w:w="2689" w:type="dxa"/>
            <w:shd w:val="clear" w:color="auto" w:fill="FFFFFF" w:themeFill="background1"/>
          </w:tcPr>
          <w:p w14:paraId="77B45F1F" w14:textId="28738967" w:rsidR="00B40050" w:rsidRPr="00172933" w:rsidRDefault="00B40050" w:rsidP="00493A22">
            <w:pPr>
              <w:tabs>
                <w:tab w:val="left" w:pos="720"/>
              </w:tabs>
              <w:rPr>
                <w:b/>
                <w:bCs/>
                <w:sz w:val="24"/>
                <w:szCs w:val="24"/>
              </w:rPr>
            </w:pPr>
            <w:r>
              <w:rPr>
                <w:b/>
                <w:bCs/>
                <w:sz w:val="24"/>
                <w:szCs w:val="24"/>
              </w:rPr>
              <w:t>Shared care protocols x8</w:t>
            </w:r>
          </w:p>
        </w:tc>
        <w:tc>
          <w:tcPr>
            <w:tcW w:w="4536" w:type="dxa"/>
            <w:shd w:val="clear" w:color="auto" w:fill="FFFFFF" w:themeFill="background1"/>
          </w:tcPr>
          <w:p w14:paraId="7B4B4142" w14:textId="77777777" w:rsidR="00B40050" w:rsidRPr="00B40050" w:rsidRDefault="00B40050" w:rsidP="00B40050">
            <w:pPr>
              <w:rPr>
                <w:sz w:val="24"/>
                <w:szCs w:val="24"/>
              </w:rPr>
            </w:pPr>
            <w:r w:rsidRPr="00B40050">
              <w:rPr>
                <w:sz w:val="24"/>
                <w:szCs w:val="24"/>
              </w:rPr>
              <w:t>Shared care protocols for:</w:t>
            </w:r>
          </w:p>
          <w:p w14:paraId="5AB54CDB" w14:textId="0A38E6D2" w:rsidR="00B40050" w:rsidRPr="00B40050" w:rsidRDefault="00B40050" w:rsidP="00B40050">
            <w:pPr>
              <w:pStyle w:val="ListParagraph"/>
              <w:numPr>
                <w:ilvl w:val="0"/>
                <w:numId w:val="12"/>
              </w:numPr>
              <w:rPr>
                <w:sz w:val="24"/>
                <w:szCs w:val="24"/>
              </w:rPr>
            </w:pPr>
            <w:r w:rsidRPr="00B40050">
              <w:rPr>
                <w:sz w:val="24"/>
                <w:szCs w:val="24"/>
              </w:rPr>
              <w:t>Amiodarone</w:t>
            </w:r>
          </w:p>
          <w:p w14:paraId="56B0A0E1" w14:textId="77777777" w:rsidR="00B40050" w:rsidRPr="00B40050" w:rsidRDefault="00B40050" w:rsidP="00B40050">
            <w:pPr>
              <w:pStyle w:val="ListParagraph"/>
              <w:numPr>
                <w:ilvl w:val="0"/>
                <w:numId w:val="12"/>
              </w:numPr>
              <w:rPr>
                <w:sz w:val="24"/>
                <w:szCs w:val="24"/>
              </w:rPr>
            </w:pPr>
            <w:r w:rsidRPr="00B40050">
              <w:rPr>
                <w:sz w:val="24"/>
                <w:szCs w:val="24"/>
              </w:rPr>
              <w:t>Azathioprine &amp; mercaptopurine</w:t>
            </w:r>
          </w:p>
          <w:p w14:paraId="0413D4A5" w14:textId="77777777" w:rsidR="00B40050" w:rsidRPr="00B40050" w:rsidRDefault="00B40050" w:rsidP="00B40050">
            <w:pPr>
              <w:pStyle w:val="ListParagraph"/>
              <w:numPr>
                <w:ilvl w:val="0"/>
                <w:numId w:val="12"/>
              </w:numPr>
              <w:rPr>
                <w:sz w:val="24"/>
                <w:szCs w:val="24"/>
              </w:rPr>
            </w:pPr>
            <w:proofErr w:type="spellStart"/>
            <w:r w:rsidRPr="00B40050">
              <w:rPr>
                <w:sz w:val="24"/>
                <w:szCs w:val="24"/>
              </w:rPr>
              <w:t>Dronedarone</w:t>
            </w:r>
            <w:proofErr w:type="spellEnd"/>
          </w:p>
          <w:p w14:paraId="1F9E664D" w14:textId="77777777" w:rsidR="00B40050" w:rsidRPr="00B40050" w:rsidRDefault="00B40050" w:rsidP="00B40050">
            <w:pPr>
              <w:pStyle w:val="ListParagraph"/>
              <w:numPr>
                <w:ilvl w:val="0"/>
                <w:numId w:val="12"/>
              </w:numPr>
              <w:rPr>
                <w:sz w:val="24"/>
                <w:szCs w:val="24"/>
              </w:rPr>
            </w:pPr>
            <w:proofErr w:type="spellStart"/>
            <w:r w:rsidRPr="00B40050">
              <w:rPr>
                <w:sz w:val="24"/>
                <w:szCs w:val="24"/>
              </w:rPr>
              <w:t>Leflunomide</w:t>
            </w:r>
            <w:proofErr w:type="spellEnd"/>
          </w:p>
          <w:p w14:paraId="33E0908F" w14:textId="77777777" w:rsidR="00B40050" w:rsidRPr="00B40050" w:rsidRDefault="00B40050" w:rsidP="00B40050">
            <w:pPr>
              <w:pStyle w:val="ListParagraph"/>
              <w:numPr>
                <w:ilvl w:val="0"/>
                <w:numId w:val="12"/>
              </w:numPr>
              <w:rPr>
                <w:sz w:val="24"/>
                <w:szCs w:val="24"/>
              </w:rPr>
            </w:pPr>
            <w:r w:rsidRPr="00B40050">
              <w:rPr>
                <w:sz w:val="24"/>
                <w:szCs w:val="24"/>
              </w:rPr>
              <w:t>Methotrexate</w:t>
            </w:r>
          </w:p>
          <w:p w14:paraId="758F452F" w14:textId="77777777" w:rsidR="00B40050" w:rsidRPr="00B40050" w:rsidRDefault="00B40050" w:rsidP="00B40050">
            <w:pPr>
              <w:pStyle w:val="ListParagraph"/>
              <w:numPr>
                <w:ilvl w:val="0"/>
                <w:numId w:val="12"/>
              </w:numPr>
              <w:rPr>
                <w:sz w:val="24"/>
                <w:szCs w:val="24"/>
              </w:rPr>
            </w:pPr>
            <w:r w:rsidRPr="00B40050">
              <w:rPr>
                <w:sz w:val="24"/>
                <w:szCs w:val="24"/>
              </w:rPr>
              <w:t>Mycophenolate mofetil and mycophenolic acid</w:t>
            </w:r>
          </w:p>
          <w:p w14:paraId="69170CFA" w14:textId="77777777" w:rsidR="00B40050" w:rsidRPr="00B40050" w:rsidRDefault="00B40050" w:rsidP="00B40050">
            <w:pPr>
              <w:pStyle w:val="ListParagraph"/>
              <w:numPr>
                <w:ilvl w:val="0"/>
                <w:numId w:val="12"/>
              </w:numPr>
              <w:rPr>
                <w:sz w:val="24"/>
                <w:szCs w:val="24"/>
              </w:rPr>
            </w:pPr>
            <w:r w:rsidRPr="00B40050">
              <w:rPr>
                <w:sz w:val="24"/>
                <w:szCs w:val="24"/>
              </w:rPr>
              <w:t>Riluzole</w:t>
            </w:r>
          </w:p>
          <w:p w14:paraId="5DB22C6F" w14:textId="5FDA330D" w:rsidR="00B40050" w:rsidRPr="00B40050" w:rsidRDefault="00B40050" w:rsidP="00B40050">
            <w:pPr>
              <w:pStyle w:val="ListParagraph"/>
              <w:numPr>
                <w:ilvl w:val="0"/>
                <w:numId w:val="12"/>
              </w:numPr>
              <w:rPr>
                <w:sz w:val="24"/>
                <w:szCs w:val="24"/>
              </w:rPr>
            </w:pPr>
            <w:r w:rsidRPr="00B40050">
              <w:rPr>
                <w:sz w:val="24"/>
                <w:szCs w:val="24"/>
              </w:rPr>
              <w:t>Sulfasalazine</w:t>
            </w:r>
          </w:p>
        </w:tc>
        <w:tc>
          <w:tcPr>
            <w:tcW w:w="2551" w:type="dxa"/>
            <w:shd w:val="clear" w:color="auto" w:fill="auto"/>
          </w:tcPr>
          <w:p w14:paraId="175F880D" w14:textId="7B6170D6" w:rsidR="00B40050" w:rsidRPr="00172933" w:rsidRDefault="00A90878" w:rsidP="00493A22">
            <w:pPr>
              <w:tabs>
                <w:tab w:val="clear" w:pos="975"/>
              </w:tabs>
              <w:ind w:left="20"/>
              <w:rPr>
                <w:rStyle w:val="normaltextrun"/>
                <w:sz w:val="24"/>
                <w:szCs w:val="24"/>
              </w:rPr>
            </w:pPr>
            <w:r>
              <w:rPr>
                <w:rStyle w:val="normaltextrun"/>
                <w:sz w:val="24"/>
                <w:szCs w:val="24"/>
              </w:rPr>
              <w:t xml:space="preserve">All documents are based on those developed nationally and published by NHSE, updated regionally by RDTC, and adapted locally for implementation within HNY. </w:t>
            </w:r>
          </w:p>
        </w:tc>
        <w:tc>
          <w:tcPr>
            <w:tcW w:w="3945" w:type="dxa"/>
          </w:tcPr>
          <w:p w14:paraId="6A4A1961" w14:textId="77777777" w:rsidR="00B40050" w:rsidRDefault="00A90878" w:rsidP="00493A22">
            <w:pPr>
              <w:rPr>
                <w:rStyle w:val="normaltextrun"/>
                <w:sz w:val="24"/>
                <w:szCs w:val="24"/>
              </w:rPr>
            </w:pPr>
            <w:r>
              <w:rPr>
                <w:rStyle w:val="normaltextrun"/>
                <w:sz w:val="24"/>
                <w:szCs w:val="24"/>
              </w:rPr>
              <w:t xml:space="preserve">It is </w:t>
            </w:r>
            <w:r w:rsidRPr="00A90878">
              <w:rPr>
                <w:rStyle w:val="normaltextrun"/>
                <w:sz w:val="24"/>
                <w:szCs w:val="24"/>
              </w:rPr>
              <w:t>acknowledged that in some localities implementation of these documents will represent a significant change in practice, as they move to true shared care.</w:t>
            </w:r>
          </w:p>
          <w:p w14:paraId="46F31983" w14:textId="4195DE3D" w:rsidR="00A90878" w:rsidRPr="00172933" w:rsidRDefault="00A90878" w:rsidP="00F53774">
            <w:pPr>
              <w:rPr>
                <w:rStyle w:val="normaltextrun"/>
                <w:sz w:val="24"/>
                <w:szCs w:val="24"/>
              </w:rPr>
            </w:pPr>
            <w:bookmarkStart w:id="1" w:name="_GoBack"/>
            <w:bookmarkEnd w:id="1"/>
          </w:p>
        </w:tc>
        <w:tc>
          <w:tcPr>
            <w:tcW w:w="2160" w:type="dxa"/>
            <w:shd w:val="clear" w:color="auto" w:fill="FFFFFF"/>
          </w:tcPr>
          <w:p w14:paraId="772698AB" w14:textId="397EB1EF" w:rsidR="00B40050" w:rsidRPr="00172933" w:rsidRDefault="00B40050" w:rsidP="00493A22">
            <w:pPr>
              <w:rPr>
                <w:iCs/>
                <w:sz w:val="24"/>
                <w:szCs w:val="24"/>
                <w:lang w:val="en-US"/>
              </w:rPr>
            </w:pPr>
            <w:r>
              <w:rPr>
                <w:iCs/>
                <w:sz w:val="24"/>
                <w:szCs w:val="24"/>
                <w:lang w:val="en-US"/>
              </w:rPr>
              <w:t>Approved for publication</w:t>
            </w:r>
          </w:p>
        </w:tc>
      </w:tr>
      <w:tr w:rsidR="00B40050" w:rsidRPr="00172933" w14:paraId="47963108" w14:textId="77777777" w:rsidTr="00B40050">
        <w:trPr>
          <w:cantSplit/>
          <w:trHeight w:val="548"/>
        </w:trPr>
        <w:tc>
          <w:tcPr>
            <w:tcW w:w="2689" w:type="dxa"/>
            <w:shd w:val="clear" w:color="auto" w:fill="FFFFFF" w:themeFill="background1"/>
          </w:tcPr>
          <w:p w14:paraId="5EBE2E85" w14:textId="4E5F3A7E" w:rsidR="00B40050" w:rsidRPr="00B40050" w:rsidRDefault="00B40050" w:rsidP="00B40050">
            <w:pPr>
              <w:tabs>
                <w:tab w:val="left" w:pos="720"/>
              </w:tabs>
              <w:rPr>
                <w:b/>
                <w:bCs/>
                <w:sz w:val="24"/>
                <w:szCs w:val="24"/>
              </w:rPr>
            </w:pPr>
            <w:r w:rsidRPr="00B40050">
              <w:rPr>
                <w:b/>
                <w:bCs/>
                <w:sz w:val="24"/>
                <w:szCs w:val="24"/>
              </w:rPr>
              <w:lastRenderedPageBreak/>
              <w:t xml:space="preserve">HNY APC RAG Status Definitions </w:t>
            </w:r>
            <w:r w:rsidR="00A90878">
              <w:rPr>
                <w:b/>
                <w:bCs/>
                <w:sz w:val="24"/>
                <w:szCs w:val="24"/>
              </w:rPr>
              <w:t>and shared care principles</w:t>
            </w:r>
          </w:p>
        </w:tc>
        <w:tc>
          <w:tcPr>
            <w:tcW w:w="4536" w:type="dxa"/>
            <w:shd w:val="clear" w:color="auto" w:fill="FFFFFF" w:themeFill="background1"/>
          </w:tcPr>
          <w:p w14:paraId="4B91A211" w14:textId="11BFE818" w:rsidR="00B40050" w:rsidRDefault="00A90878" w:rsidP="00B40050">
            <w:pPr>
              <w:rPr>
                <w:sz w:val="24"/>
                <w:szCs w:val="24"/>
              </w:rPr>
            </w:pPr>
            <w:r>
              <w:rPr>
                <w:sz w:val="24"/>
                <w:szCs w:val="24"/>
              </w:rPr>
              <w:t>Three</w:t>
            </w:r>
            <w:r w:rsidR="00B40050">
              <w:rPr>
                <w:sz w:val="24"/>
                <w:szCs w:val="24"/>
              </w:rPr>
              <w:t xml:space="preserve"> documents: </w:t>
            </w:r>
          </w:p>
          <w:p w14:paraId="531239FC" w14:textId="5A6B967A" w:rsidR="00B40050" w:rsidRPr="00B40050" w:rsidRDefault="00A90878" w:rsidP="00B40050">
            <w:pPr>
              <w:pStyle w:val="ListParagraph"/>
              <w:numPr>
                <w:ilvl w:val="0"/>
                <w:numId w:val="15"/>
              </w:numPr>
              <w:rPr>
                <w:sz w:val="24"/>
                <w:szCs w:val="24"/>
              </w:rPr>
            </w:pPr>
            <w:r>
              <w:rPr>
                <w:sz w:val="24"/>
                <w:szCs w:val="24"/>
              </w:rPr>
              <w:t>RAG status definitions - l</w:t>
            </w:r>
            <w:r w:rsidR="00B40050" w:rsidRPr="00B40050">
              <w:rPr>
                <w:sz w:val="24"/>
                <w:szCs w:val="24"/>
              </w:rPr>
              <w:t>ong version</w:t>
            </w:r>
          </w:p>
          <w:p w14:paraId="2263223E" w14:textId="77777777" w:rsidR="00B40050" w:rsidRDefault="00A90878" w:rsidP="00A90878">
            <w:pPr>
              <w:pStyle w:val="ListParagraph"/>
              <w:numPr>
                <w:ilvl w:val="0"/>
                <w:numId w:val="15"/>
              </w:numPr>
              <w:rPr>
                <w:sz w:val="24"/>
                <w:szCs w:val="24"/>
              </w:rPr>
            </w:pPr>
            <w:r>
              <w:rPr>
                <w:sz w:val="24"/>
                <w:szCs w:val="24"/>
              </w:rPr>
              <w:t>RAG status definitions - s</w:t>
            </w:r>
            <w:r w:rsidR="00B40050" w:rsidRPr="00B40050">
              <w:rPr>
                <w:sz w:val="24"/>
                <w:szCs w:val="24"/>
              </w:rPr>
              <w:t>hort version</w:t>
            </w:r>
          </w:p>
          <w:p w14:paraId="410B808E" w14:textId="71BABC7E" w:rsidR="00A90878" w:rsidRPr="00B40050" w:rsidRDefault="00A90878" w:rsidP="00A90878">
            <w:pPr>
              <w:pStyle w:val="ListParagraph"/>
              <w:numPr>
                <w:ilvl w:val="0"/>
                <w:numId w:val="15"/>
              </w:numPr>
              <w:rPr>
                <w:sz w:val="24"/>
                <w:szCs w:val="24"/>
              </w:rPr>
            </w:pPr>
            <w:r w:rsidRPr="00A90878">
              <w:rPr>
                <w:sz w:val="24"/>
                <w:szCs w:val="24"/>
              </w:rPr>
              <w:t>What Good Looks Like - Principles for Sharing of Care Relating to Prescribing of Medication</w:t>
            </w:r>
          </w:p>
        </w:tc>
        <w:tc>
          <w:tcPr>
            <w:tcW w:w="2551" w:type="dxa"/>
            <w:shd w:val="clear" w:color="auto" w:fill="auto"/>
          </w:tcPr>
          <w:p w14:paraId="714F9210" w14:textId="77777777" w:rsidR="00B40050" w:rsidRPr="00172933" w:rsidRDefault="00B40050" w:rsidP="00B40050">
            <w:pPr>
              <w:tabs>
                <w:tab w:val="clear" w:pos="975"/>
              </w:tabs>
              <w:ind w:left="20"/>
              <w:rPr>
                <w:rStyle w:val="normaltextrun"/>
                <w:sz w:val="24"/>
                <w:szCs w:val="24"/>
              </w:rPr>
            </w:pPr>
          </w:p>
        </w:tc>
        <w:tc>
          <w:tcPr>
            <w:tcW w:w="3945" w:type="dxa"/>
          </w:tcPr>
          <w:p w14:paraId="14A35EC9" w14:textId="612ACA0A" w:rsidR="00B40050" w:rsidRPr="00172933" w:rsidRDefault="00F53774" w:rsidP="00B40050">
            <w:pPr>
              <w:rPr>
                <w:rStyle w:val="normaltextrun"/>
                <w:sz w:val="24"/>
                <w:szCs w:val="24"/>
              </w:rPr>
            </w:pPr>
            <w:r>
              <w:rPr>
                <w:rStyle w:val="normaltextrun"/>
                <w:sz w:val="24"/>
                <w:szCs w:val="24"/>
              </w:rPr>
              <w:t>None expected</w:t>
            </w:r>
          </w:p>
        </w:tc>
        <w:tc>
          <w:tcPr>
            <w:tcW w:w="2160" w:type="dxa"/>
            <w:shd w:val="clear" w:color="auto" w:fill="FFFFFF"/>
          </w:tcPr>
          <w:p w14:paraId="5A77F8F2" w14:textId="6FBA5279" w:rsidR="00B40050" w:rsidRDefault="00B40050" w:rsidP="00B40050">
            <w:pPr>
              <w:rPr>
                <w:iCs/>
                <w:sz w:val="24"/>
                <w:szCs w:val="24"/>
                <w:lang w:val="en-US"/>
              </w:rPr>
            </w:pPr>
            <w:r>
              <w:rPr>
                <w:iCs/>
                <w:sz w:val="24"/>
                <w:szCs w:val="24"/>
                <w:lang w:val="en-US"/>
              </w:rPr>
              <w:t>Approved for publication</w:t>
            </w:r>
          </w:p>
        </w:tc>
      </w:tr>
    </w:tbl>
    <w:p w14:paraId="4BE899CD" w14:textId="77777777" w:rsidR="001C7976" w:rsidRDefault="001C7976" w:rsidP="00E73516">
      <w:pPr>
        <w:pStyle w:val="BodyText"/>
        <w:tabs>
          <w:tab w:val="clear" w:pos="975"/>
        </w:tabs>
        <w:spacing w:before="68" w:after="0"/>
        <w:rPr>
          <w:rFonts w:ascii="Helvetica" w:hAnsi="Helvetica" w:cs="Helvetica"/>
          <w:color w:val="4C4D4F"/>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8606FE" w:rsidRPr="00383A54" w14:paraId="36DCCF9F" w14:textId="77777777" w:rsidTr="00D05BAD">
        <w:trPr>
          <w:cantSplit/>
        </w:trPr>
        <w:tc>
          <w:tcPr>
            <w:tcW w:w="5000" w:type="pct"/>
            <w:shd w:val="clear" w:color="auto" w:fill="auto"/>
          </w:tcPr>
          <w:p w14:paraId="2384C095" w14:textId="4BFC6E8E" w:rsidR="008606FE" w:rsidRPr="00383A54" w:rsidRDefault="008606FE" w:rsidP="00D05BAD">
            <w:pPr>
              <w:tabs>
                <w:tab w:val="clear" w:pos="975"/>
              </w:tabs>
              <w:spacing w:before="120" w:after="120"/>
              <w:jc w:val="center"/>
              <w:rPr>
                <w:sz w:val="24"/>
                <w:szCs w:val="24"/>
              </w:rPr>
            </w:pPr>
            <w:r w:rsidRPr="00383A54">
              <w:rPr>
                <w:rFonts w:eastAsia="Calibri"/>
                <w:b/>
                <w:color w:val="1F497D"/>
                <w:sz w:val="24"/>
                <w:szCs w:val="24"/>
              </w:rPr>
              <w:t xml:space="preserve">DECISIONS </w:t>
            </w:r>
            <w:r>
              <w:rPr>
                <w:rFonts w:eastAsia="Calibri"/>
                <w:b/>
                <w:color w:val="1F497D"/>
                <w:sz w:val="24"/>
                <w:szCs w:val="24"/>
              </w:rPr>
              <w:t>FOR INFORMATION ONLY</w:t>
            </w:r>
          </w:p>
        </w:tc>
      </w:tr>
    </w:tbl>
    <w:p w14:paraId="4C5B1B60" w14:textId="6698272F" w:rsidR="008606FE" w:rsidRDefault="008606FE" w:rsidP="00432265">
      <w:pPr>
        <w:pStyle w:val="BodyText"/>
        <w:tabs>
          <w:tab w:val="clear" w:pos="975"/>
        </w:tabs>
        <w:spacing w:before="68" w:after="0"/>
        <w:ind w:left="1"/>
        <w:jc w:val="center"/>
        <w:rPr>
          <w:rFonts w:ascii="Helvetica" w:hAnsi="Helvetica" w:cs="Helvetica"/>
          <w:color w:val="4C4D4F"/>
        </w:rPr>
      </w:pPr>
    </w:p>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402"/>
        <w:gridCol w:w="2126"/>
        <w:gridCol w:w="2693"/>
        <w:gridCol w:w="5528"/>
      </w:tblGrid>
      <w:tr w:rsidR="00436283" w:rsidRPr="00172933" w14:paraId="0DE7E7FD" w14:textId="77777777" w:rsidTr="00376D53">
        <w:trPr>
          <w:cantSplit/>
          <w:trHeight w:val="548"/>
          <w:tblHeader/>
        </w:trPr>
        <w:tc>
          <w:tcPr>
            <w:tcW w:w="2122" w:type="dxa"/>
            <w:tcBorders>
              <w:bottom w:val="single" w:sz="4" w:space="0" w:color="auto"/>
            </w:tcBorders>
            <w:shd w:val="clear" w:color="auto" w:fill="B6DDE8"/>
          </w:tcPr>
          <w:p w14:paraId="6AC9A8D3" w14:textId="77777777" w:rsidR="00436283" w:rsidRPr="00172933" w:rsidRDefault="00436283" w:rsidP="00D05BAD">
            <w:pPr>
              <w:tabs>
                <w:tab w:val="clear" w:pos="975"/>
              </w:tabs>
              <w:rPr>
                <w:rFonts w:eastAsia="Calibri"/>
                <w:b/>
                <w:sz w:val="24"/>
                <w:szCs w:val="24"/>
              </w:rPr>
            </w:pPr>
            <w:r w:rsidRPr="00172933">
              <w:rPr>
                <w:rFonts w:eastAsia="Calibri"/>
                <w:b/>
                <w:sz w:val="24"/>
                <w:szCs w:val="24"/>
              </w:rPr>
              <w:t xml:space="preserve">Drug and indication </w:t>
            </w:r>
          </w:p>
        </w:tc>
        <w:tc>
          <w:tcPr>
            <w:tcW w:w="3402" w:type="dxa"/>
            <w:tcBorders>
              <w:bottom w:val="single" w:sz="4" w:space="0" w:color="auto"/>
            </w:tcBorders>
            <w:shd w:val="clear" w:color="auto" w:fill="B6DDE8"/>
          </w:tcPr>
          <w:p w14:paraId="555E9971" w14:textId="77777777" w:rsidR="00436283" w:rsidRPr="00172933" w:rsidRDefault="00436283" w:rsidP="00D05BAD">
            <w:pPr>
              <w:tabs>
                <w:tab w:val="clear" w:pos="975"/>
              </w:tabs>
              <w:rPr>
                <w:rFonts w:eastAsia="Calibri"/>
                <w:b/>
                <w:sz w:val="24"/>
                <w:szCs w:val="24"/>
              </w:rPr>
            </w:pPr>
            <w:r w:rsidRPr="00172933">
              <w:rPr>
                <w:rFonts w:eastAsia="Calibri"/>
                <w:b/>
                <w:sz w:val="24"/>
                <w:szCs w:val="24"/>
              </w:rPr>
              <w:t>Rationale / criteria</w:t>
            </w:r>
          </w:p>
        </w:tc>
        <w:tc>
          <w:tcPr>
            <w:tcW w:w="2126" w:type="dxa"/>
            <w:tcBorders>
              <w:bottom w:val="single" w:sz="4" w:space="0" w:color="auto"/>
            </w:tcBorders>
            <w:shd w:val="clear" w:color="auto" w:fill="B6DDE8"/>
          </w:tcPr>
          <w:p w14:paraId="29316862" w14:textId="77777777" w:rsidR="00436283" w:rsidRPr="00172933" w:rsidRDefault="00436283" w:rsidP="00D05BAD">
            <w:pPr>
              <w:tabs>
                <w:tab w:val="clear" w:pos="975"/>
              </w:tabs>
              <w:rPr>
                <w:rFonts w:eastAsia="Calibri"/>
                <w:b/>
                <w:sz w:val="24"/>
                <w:szCs w:val="24"/>
              </w:rPr>
            </w:pPr>
            <w:r w:rsidRPr="00172933">
              <w:rPr>
                <w:rFonts w:eastAsia="Calibri"/>
                <w:b/>
                <w:sz w:val="24"/>
                <w:szCs w:val="24"/>
              </w:rPr>
              <w:t>Status and formulary position assigned</w:t>
            </w:r>
          </w:p>
        </w:tc>
        <w:tc>
          <w:tcPr>
            <w:tcW w:w="2693" w:type="dxa"/>
            <w:tcBorders>
              <w:bottom w:val="single" w:sz="4" w:space="0" w:color="auto"/>
            </w:tcBorders>
            <w:shd w:val="clear" w:color="auto" w:fill="B6DDE8"/>
          </w:tcPr>
          <w:p w14:paraId="677E3364" w14:textId="77777777" w:rsidR="00436283" w:rsidRPr="00172933" w:rsidRDefault="00436283" w:rsidP="00D05BAD">
            <w:pPr>
              <w:tabs>
                <w:tab w:val="clear" w:pos="975"/>
              </w:tabs>
              <w:rPr>
                <w:rFonts w:eastAsia="Calibri"/>
                <w:b/>
                <w:sz w:val="24"/>
                <w:szCs w:val="24"/>
              </w:rPr>
            </w:pPr>
            <w:r w:rsidRPr="00172933">
              <w:rPr>
                <w:rFonts w:eastAsia="Calibri"/>
                <w:b/>
                <w:sz w:val="24"/>
                <w:szCs w:val="24"/>
              </w:rPr>
              <w:t>Notes on decision</w:t>
            </w:r>
          </w:p>
        </w:tc>
        <w:tc>
          <w:tcPr>
            <w:tcW w:w="5528" w:type="dxa"/>
            <w:tcBorders>
              <w:bottom w:val="single" w:sz="4" w:space="0" w:color="auto"/>
            </w:tcBorders>
            <w:shd w:val="clear" w:color="auto" w:fill="B6DDE8"/>
          </w:tcPr>
          <w:p w14:paraId="6F868194" w14:textId="77777777" w:rsidR="00436283" w:rsidRPr="00172933" w:rsidRDefault="00436283" w:rsidP="00D05BAD">
            <w:pPr>
              <w:tabs>
                <w:tab w:val="clear" w:pos="975"/>
              </w:tabs>
              <w:rPr>
                <w:rFonts w:eastAsia="Calibri"/>
                <w:b/>
                <w:sz w:val="24"/>
                <w:szCs w:val="24"/>
              </w:rPr>
            </w:pPr>
            <w:r w:rsidRPr="00172933">
              <w:rPr>
                <w:rFonts w:eastAsia="Calibri"/>
                <w:b/>
                <w:sz w:val="24"/>
                <w:szCs w:val="24"/>
              </w:rPr>
              <w:t>Cost impact</w:t>
            </w:r>
          </w:p>
        </w:tc>
      </w:tr>
      <w:tr w:rsidR="009C1AA0" w:rsidRPr="00172933" w14:paraId="78777BDC" w14:textId="77777777" w:rsidTr="00376D53">
        <w:trPr>
          <w:cantSplit/>
          <w:trHeight w:val="548"/>
        </w:trPr>
        <w:tc>
          <w:tcPr>
            <w:tcW w:w="2122" w:type="dxa"/>
            <w:shd w:val="clear" w:color="auto" w:fill="auto"/>
          </w:tcPr>
          <w:p w14:paraId="0898B4A9" w14:textId="0E4AC774" w:rsidR="009C1AA0" w:rsidRPr="00172933" w:rsidRDefault="009C1AA0" w:rsidP="009C1AA0">
            <w:pPr>
              <w:rPr>
                <w:bCs/>
                <w:color w:val="000000"/>
                <w:sz w:val="24"/>
                <w:szCs w:val="24"/>
              </w:rPr>
            </w:pPr>
            <w:r w:rsidRPr="00172933">
              <w:rPr>
                <w:bCs/>
                <w:color w:val="000000"/>
                <w:sz w:val="24"/>
                <w:szCs w:val="24"/>
              </w:rPr>
              <w:t xml:space="preserve">HNY APC minutes – </w:t>
            </w:r>
            <w:r w:rsidR="00830A05" w:rsidRPr="00172933">
              <w:rPr>
                <w:bCs/>
                <w:color w:val="000000"/>
                <w:sz w:val="24"/>
                <w:szCs w:val="24"/>
              </w:rPr>
              <w:t>March</w:t>
            </w:r>
            <w:r w:rsidRPr="00172933">
              <w:rPr>
                <w:bCs/>
                <w:color w:val="000000"/>
                <w:sz w:val="24"/>
                <w:szCs w:val="24"/>
              </w:rPr>
              <w:t xml:space="preserve"> 202</w:t>
            </w:r>
            <w:r w:rsidR="00E73516" w:rsidRPr="00172933">
              <w:rPr>
                <w:bCs/>
                <w:color w:val="000000"/>
                <w:sz w:val="24"/>
                <w:szCs w:val="24"/>
              </w:rPr>
              <w:t>5</w:t>
            </w:r>
          </w:p>
        </w:tc>
        <w:tc>
          <w:tcPr>
            <w:tcW w:w="3402" w:type="dxa"/>
          </w:tcPr>
          <w:p w14:paraId="65575D15" w14:textId="77777777" w:rsidR="009C1AA0" w:rsidRPr="00172933" w:rsidRDefault="009C1AA0" w:rsidP="009C1AA0">
            <w:pPr>
              <w:rPr>
                <w:sz w:val="24"/>
                <w:szCs w:val="24"/>
              </w:rPr>
            </w:pPr>
          </w:p>
        </w:tc>
        <w:tc>
          <w:tcPr>
            <w:tcW w:w="2126" w:type="dxa"/>
            <w:shd w:val="clear" w:color="auto" w:fill="auto"/>
          </w:tcPr>
          <w:p w14:paraId="639AD67A" w14:textId="77777777" w:rsidR="009C1AA0" w:rsidRPr="00172933" w:rsidRDefault="009C1AA0" w:rsidP="009C1AA0">
            <w:pPr>
              <w:rPr>
                <w:iCs/>
                <w:sz w:val="24"/>
                <w:szCs w:val="24"/>
              </w:rPr>
            </w:pPr>
          </w:p>
        </w:tc>
        <w:tc>
          <w:tcPr>
            <w:tcW w:w="2693" w:type="dxa"/>
            <w:shd w:val="clear" w:color="auto" w:fill="auto"/>
          </w:tcPr>
          <w:p w14:paraId="4622FD15" w14:textId="02C0CF99" w:rsidR="009C1AA0" w:rsidRPr="00172933" w:rsidRDefault="009C1AA0" w:rsidP="009C1AA0">
            <w:pPr>
              <w:rPr>
                <w:sz w:val="24"/>
                <w:szCs w:val="24"/>
              </w:rPr>
            </w:pPr>
            <w:r w:rsidRPr="00172933">
              <w:rPr>
                <w:sz w:val="24"/>
                <w:szCs w:val="24"/>
              </w:rPr>
              <w:t>Approved</w:t>
            </w:r>
          </w:p>
        </w:tc>
        <w:tc>
          <w:tcPr>
            <w:tcW w:w="5528" w:type="dxa"/>
          </w:tcPr>
          <w:p w14:paraId="4753E4A5" w14:textId="77777777" w:rsidR="009C1AA0" w:rsidRPr="00172933" w:rsidRDefault="009C1AA0" w:rsidP="009C1AA0">
            <w:pPr>
              <w:rPr>
                <w:sz w:val="24"/>
                <w:szCs w:val="24"/>
              </w:rPr>
            </w:pPr>
          </w:p>
        </w:tc>
      </w:tr>
      <w:tr w:rsidR="00B40050" w:rsidRPr="00172933" w14:paraId="58C8F1C8" w14:textId="77777777" w:rsidTr="000A1F10">
        <w:trPr>
          <w:cantSplit/>
          <w:trHeight w:val="548"/>
        </w:trPr>
        <w:tc>
          <w:tcPr>
            <w:tcW w:w="15871" w:type="dxa"/>
            <w:gridSpan w:val="5"/>
            <w:shd w:val="clear" w:color="auto" w:fill="auto"/>
          </w:tcPr>
          <w:p w14:paraId="33653B56" w14:textId="77777777" w:rsidR="00B40050" w:rsidRPr="00172933" w:rsidRDefault="00B40050" w:rsidP="00B40050">
            <w:pPr>
              <w:tabs>
                <w:tab w:val="clear" w:pos="975"/>
              </w:tabs>
              <w:rPr>
                <w:rFonts w:eastAsia="Calibri"/>
                <w:bCs/>
                <w:sz w:val="24"/>
                <w:szCs w:val="24"/>
              </w:rPr>
            </w:pPr>
            <w:r w:rsidRPr="00172933">
              <w:rPr>
                <w:rFonts w:eastAsia="Calibri"/>
                <w:bCs/>
                <w:sz w:val="24"/>
                <w:szCs w:val="24"/>
                <w:lang w:val="en-US"/>
              </w:rPr>
              <w:t>The following NHSE-commissioned medicines received positive NICE appraisals. They will be assessed by provider trusts once all necessary information is available, and if added to the HNY formulary they will have a status of RED </w:t>
            </w:r>
            <w:r w:rsidRPr="00172933">
              <w:rPr>
                <w:rFonts w:eastAsia="Calibri"/>
                <w:bCs/>
                <w:sz w:val="24"/>
                <w:szCs w:val="24"/>
              </w:rPr>
              <w:t> </w:t>
            </w:r>
          </w:p>
          <w:p w14:paraId="4DA22111" w14:textId="77777777" w:rsidR="00B40050" w:rsidRPr="00172933" w:rsidRDefault="00B40050" w:rsidP="00B40050">
            <w:pPr>
              <w:numPr>
                <w:ilvl w:val="0"/>
                <w:numId w:val="8"/>
              </w:numPr>
              <w:tabs>
                <w:tab w:val="clear" w:pos="975"/>
              </w:tabs>
              <w:rPr>
                <w:rFonts w:eastAsia="Calibri"/>
                <w:bCs/>
                <w:sz w:val="24"/>
                <w:szCs w:val="24"/>
              </w:rPr>
            </w:pPr>
            <w:r w:rsidRPr="00172933">
              <w:rPr>
                <w:rFonts w:eastAsia="Calibri"/>
                <w:bCs/>
                <w:sz w:val="24"/>
                <w:szCs w:val="24"/>
              </w:rPr>
              <w:t xml:space="preserve">TA1021: </w:t>
            </w:r>
            <w:proofErr w:type="spellStart"/>
            <w:r w:rsidRPr="00172933">
              <w:rPr>
                <w:rFonts w:eastAsia="Calibri"/>
                <w:bCs/>
                <w:sz w:val="24"/>
                <w:szCs w:val="24"/>
              </w:rPr>
              <w:t>Crizotinib</w:t>
            </w:r>
            <w:proofErr w:type="spellEnd"/>
            <w:r w:rsidRPr="00172933">
              <w:rPr>
                <w:rFonts w:eastAsia="Calibri"/>
                <w:bCs/>
                <w:sz w:val="24"/>
                <w:szCs w:val="24"/>
              </w:rPr>
              <w:t xml:space="preserve"> for treating ROS1-positive advanced non-small-cell lung cancer </w:t>
            </w:r>
          </w:p>
          <w:p w14:paraId="4D9BEB07" w14:textId="77777777" w:rsidR="00B40050" w:rsidRPr="00172933" w:rsidRDefault="00B40050" w:rsidP="00B40050">
            <w:pPr>
              <w:numPr>
                <w:ilvl w:val="0"/>
                <w:numId w:val="9"/>
              </w:numPr>
              <w:tabs>
                <w:tab w:val="clear" w:pos="975"/>
              </w:tabs>
              <w:rPr>
                <w:sz w:val="24"/>
                <w:szCs w:val="24"/>
              </w:rPr>
            </w:pPr>
            <w:r w:rsidRPr="00172933">
              <w:rPr>
                <w:rFonts w:eastAsia="Calibri"/>
                <w:bCs/>
                <w:sz w:val="24"/>
                <w:szCs w:val="24"/>
              </w:rPr>
              <w:t>TA1023: Elranatamab for treating relapsed and refractory multiple myeloma after 3 or more treatments </w:t>
            </w:r>
          </w:p>
          <w:p w14:paraId="5A2F0468" w14:textId="4ACA4A94" w:rsidR="00B40050" w:rsidRPr="00172933" w:rsidRDefault="00B40050" w:rsidP="00B40050">
            <w:pPr>
              <w:numPr>
                <w:ilvl w:val="0"/>
                <w:numId w:val="9"/>
              </w:numPr>
              <w:tabs>
                <w:tab w:val="clear" w:pos="975"/>
              </w:tabs>
              <w:rPr>
                <w:sz w:val="24"/>
                <w:szCs w:val="24"/>
              </w:rPr>
            </w:pPr>
            <w:r w:rsidRPr="00172933">
              <w:rPr>
                <w:rFonts w:eastAsia="Calibri"/>
                <w:bCs/>
                <w:sz w:val="24"/>
                <w:szCs w:val="24"/>
              </w:rPr>
              <w:t>TA1025: Ublituximab for treating relapsing multiple sclerosis </w:t>
            </w:r>
          </w:p>
        </w:tc>
      </w:tr>
      <w:tr w:rsidR="00B40050" w:rsidRPr="00172933" w14:paraId="6520CA2D" w14:textId="77777777" w:rsidTr="00376D53">
        <w:trPr>
          <w:cantSplit/>
        </w:trPr>
        <w:tc>
          <w:tcPr>
            <w:tcW w:w="15871" w:type="dxa"/>
            <w:gridSpan w:val="5"/>
            <w:shd w:val="clear" w:color="auto" w:fill="auto"/>
          </w:tcPr>
          <w:p w14:paraId="0487B469" w14:textId="77777777" w:rsidR="00B40050" w:rsidRPr="00172933" w:rsidRDefault="00B40050" w:rsidP="00B40050">
            <w:pPr>
              <w:jc w:val="center"/>
              <w:rPr>
                <w:iCs/>
                <w:sz w:val="24"/>
                <w:szCs w:val="24"/>
              </w:rPr>
            </w:pPr>
            <w:r w:rsidRPr="00172933">
              <w:rPr>
                <w:rFonts w:eastAsia="Calibri"/>
                <w:sz w:val="24"/>
                <w:szCs w:val="24"/>
              </w:rPr>
              <w:t>All links to MHRA drug safety updates added to formulary as published. Significant alerts where further action is required are highlighted.</w:t>
            </w:r>
          </w:p>
        </w:tc>
      </w:tr>
    </w:tbl>
    <w:p w14:paraId="762420D8" w14:textId="77777777" w:rsidR="008606FE" w:rsidRDefault="008606FE" w:rsidP="00432265">
      <w:pPr>
        <w:pStyle w:val="BodyText"/>
        <w:tabs>
          <w:tab w:val="clear" w:pos="975"/>
        </w:tabs>
        <w:spacing w:before="68" w:after="0"/>
        <w:ind w:left="1"/>
        <w:jc w:val="center"/>
        <w:rPr>
          <w:rFonts w:ascii="Helvetica" w:hAnsi="Helvetica" w:cs="Helvetica"/>
          <w:color w:val="4C4D4F"/>
        </w:rPr>
      </w:pPr>
    </w:p>
    <w:p w14:paraId="71EC0B50" w14:textId="77777777" w:rsidR="00493A22" w:rsidRDefault="00493A22" w:rsidP="001C7976">
      <w:pPr>
        <w:pStyle w:val="BodyText"/>
        <w:spacing w:before="68"/>
        <w:ind w:left="1"/>
        <w:jc w:val="center"/>
        <w:rPr>
          <w:color w:val="4C4D4F"/>
        </w:rPr>
      </w:pPr>
    </w:p>
    <w:p w14:paraId="6BF63F97" w14:textId="383204B9" w:rsidR="001C7976" w:rsidRDefault="001C7976" w:rsidP="001C7976">
      <w:pPr>
        <w:pStyle w:val="BodyText"/>
        <w:spacing w:before="68"/>
        <w:ind w:left="1"/>
        <w:jc w:val="center"/>
        <w:rPr>
          <w:color w:val="4C4D4F"/>
        </w:rPr>
      </w:pPr>
      <w:r>
        <w:rPr>
          <w:color w:val="4C4D4F"/>
        </w:rPr>
        <w:t>HNY APC Professional Secretariat Provided by:</w:t>
      </w:r>
    </w:p>
    <w:p w14:paraId="60F27020" w14:textId="77777777" w:rsidR="001C7976" w:rsidRDefault="001C7976" w:rsidP="001C7976">
      <w:pPr>
        <w:pStyle w:val="BodyText"/>
        <w:spacing w:before="68"/>
        <w:ind w:left="1"/>
        <w:jc w:val="center"/>
      </w:pPr>
      <w:r>
        <w:rPr>
          <w:color w:val="4C4D4F"/>
        </w:rPr>
        <w:lastRenderedPageBreak/>
        <w:t>Regional Drug and Therapeutics Centre</w:t>
      </w:r>
    </w:p>
    <w:p w14:paraId="4FC46799" w14:textId="77777777" w:rsidR="001C7976" w:rsidRDefault="001C7976" w:rsidP="001C7976">
      <w:pPr>
        <w:pStyle w:val="BodyText"/>
        <w:spacing w:before="4"/>
        <w:ind w:left="1"/>
        <w:jc w:val="center"/>
      </w:pPr>
      <w:r>
        <w:rPr>
          <w:color w:val="4C4D4F"/>
        </w:rPr>
        <w:t>16/17 Framlington Place, Newcastle upon Tyne, NE2 4AB</w:t>
      </w:r>
    </w:p>
    <w:p w14:paraId="3CC7289B" w14:textId="456F80FD" w:rsidR="001C7976" w:rsidRDefault="001C7976" w:rsidP="001C7976">
      <w:pPr>
        <w:tabs>
          <w:tab w:val="left" w:pos="1770"/>
          <w:tab w:val="left" w:pos="3611"/>
          <w:tab w:val="left" w:pos="6712"/>
        </w:tabs>
        <w:spacing w:before="3"/>
        <w:jc w:val="center"/>
        <w:rPr>
          <w:sz w:val="15"/>
        </w:rPr>
      </w:pPr>
      <w:bookmarkStart w:id="2" w:name="_Hlk183004187"/>
      <w:r>
        <w:rPr>
          <w:color w:val="4C4D4F"/>
          <w:spacing w:val="-5"/>
        </w:rPr>
        <w:t xml:space="preserve">Tel: </w:t>
      </w:r>
      <w:r>
        <w:rPr>
          <w:b/>
          <w:color w:val="4C4D4F"/>
        </w:rPr>
        <w:t>0191</w:t>
      </w:r>
      <w:r>
        <w:rPr>
          <w:b/>
          <w:color w:val="4C4D4F"/>
          <w:spacing w:val="15"/>
        </w:rPr>
        <w:t xml:space="preserve"> </w:t>
      </w:r>
      <w:r>
        <w:rPr>
          <w:b/>
          <w:color w:val="4C4D4F"/>
        </w:rPr>
        <w:t>213</w:t>
      </w:r>
      <w:r>
        <w:rPr>
          <w:b/>
          <w:color w:val="4C4D4F"/>
          <w:spacing w:val="5"/>
        </w:rPr>
        <w:t xml:space="preserve"> </w:t>
      </w:r>
      <w:r>
        <w:rPr>
          <w:b/>
          <w:color w:val="4C4D4F"/>
        </w:rPr>
        <w:t>7855</w:t>
      </w:r>
      <w:r>
        <w:rPr>
          <w:b/>
          <w:color w:val="4C4D4F"/>
        </w:rPr>
        <w:tab/>
      </w:r>
      <w:r>
        <w:rPr>
          <w:color w:val="4C4D4F"/>
        </w:rPr>
        <w:t>email</w:t>
      </w:r>
      <w:r w:rsidRPr="006E26D1">
        <w:rPr>
          <w:color w:val="4C4D4F"/>
        </w:rPr>
        <w:t xml:space="preserve">:  </w:t>
      </w:r>
      <w:hyperlink r:id="rId24" w:history="1">
        <w:r w:rsidR="007D5B59" w:rsidRPr="008F730E">
          <w:rPr>
            <w:rStyle w:val="Hyperlink"/>
            <w:rFonts w:cs="Arial"/>
          </w:rPr>
          <w:t>nuth.hnyapc@nhs.net</w:t>
        </w:r>
      </w:hyperlink>
      <w:r w:rsidR="007D5B59">
        <w:rPr>
          <w:color w:val="4C4D4F"/>
        </w:rPr>
        <w:t xml:space="preserve">  </w:t>
      </w:r>
      <w:r>
        <w:rPr>
          <w:color w:val="4C4D4F"/>
          <w:spacing w:val="19"/>
        </w:rPr>
        <w:t xml:space="preserve">  </w:t>
      </w:r>
      <w:r>
        <w:rPr>
          <w:color w:val="4C4D4F"/>
        </w:rPr>
        <w:t>visit:</w:t>
      </w:r>
      <w:r>
        <w:rPr>
          <w:color w:val="4C4D4F"/>
          <w:spacing w:val="4"/>
        </w:rPr>
        <w:t xml:space="preserve"> </w:t>
      </w:r>
      <w:hyperlink r:id="rId25" w:history="1">
        <w:r w:rsidRPr="00EF6157">
          <w:rPr>
            <w:rStyle w:val="Hyperlink"/>
            <w:rFonts w:cs="Arial"/>
          </w:rPr>
          <w:t>https://humberandnorthyorkshire.org.uk/area-prescribing-committee-apc/</w:t>
        </w:r>
      </w:hyperlink>
      <w:r>
        <w:t xml:space="preserve"> </w:t>
      </w:r>
    </w:p>
    <w:bookmarkEnd w:id="2"/>
    <w:p w14:paraId="3F6D9BD9" w14:textId="77777777" w:rsidR="001C7976" w:rsidRDefault="001C7976" w:rsidP="001C7976">
      <w:pPr>
        <w:ind w:left="12"/>
        <w:jc w:val="center"/>
      </w:pPr>
      <w:r>
        <w:rPr>
          <w:noProof/>
          <w:position w:val="-15"/>
          <w:lang w:eastAsia="en-GB"/>
        </w:rPr>
        <w:drawing>
          <wp:inline distT="0" distB="0" distL="0" distR="0" wp14:anchorId="146C8D26" wp14:editId="236FB79C">
            <wp:extent cx="295147" cy="29514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6" cstate="print"/>
                    <a:stretch>
                      <a:fillRect/>
                    </a:stretch>
                  </pic:blipFill>
                  <pic:spPr>
                    <a:xfrm>
                      <a:off x="0" y="0"/>
                      <a:ext cx="295147" cy="295147"/>
                    </a:xfrm>
                    <a:prstGeom prst="rect">
                      <a:avLst/>
                    </a:prstGeom>
                  </pic:spPr>
                </pic:pic>
              </a:graphicData>
            </a:graphic>
          </wp:inline>
        </w:drawing>
      </w:r>
      <w:r>
        <w:rPr>
          <w:rFonts w:ascii="Times New Roman"/>
          <w:sz w:val="20"/>
        </w:rPr>
        <w:t xml:space="preserve">  </w:t>
      </w:r>
      <w:r>
        <w:rPr>
          <w:rFonts w:ascii="Times New Roman"/>
          <w:spacing w:val="-10"/>
          <w:sz w:val="20"/>
        </w:rPr>
        <w:t xml:space="preserve"> </w:t>
      </w:r>
      <w:hyperlink r:id="rId27">
        <w:r>
          <w:rPr>
            <w:color w:val="456DA9"/>
          </w:rPr>
          <w:t>@RDTC_Rx</w:t>
        </w:r>
      </w:hyperlink>
    </w:p>
    <w:p w14:paraId="0C19F98F" w14:textId="7835C9A3" w:rsidR="00560ADF" w:rsidRPr="00E73516" w:rsidRDefault="001C7976" w:rsidP="00E73516">
      <w:pPr>
        <w:spacing w:before="56" w:line="266" w:lineRule="auto"/>
        <w:ind w:left="613" w:right="610"/>
        <w:jc w:val="center"/>
        <w:rPr>
          <w:sz w:val="13"/>
        </w:rPr>
      </w:pPr>
      <w:r>
        <w:rPr>
          <w:color w:val="4C4D4F"/>
          <w:sz w:val="13"/>
        </w:rPr>
        <w:t>THIS DOCUMENT IS INTENDED FOR USE BY NHS HEALTHCARE PROFESSIONALS AND CANNOT BE USED FOR COMMERCIAL OR MARKETING PURPOSES. PATIENT INFORMATION ON MANY TOPICS CAN BE ACCESSED VIA NHS CHOICES</w:t>
      </w:r>
    </w:p>
    <w:sectPr w:rsidR="00560ADF" w:rsidRPr="00E73516" w:rsidSect="00BB4FF3">
      <w:type w:val="continuous"/>
      <w:pgSz w:w="16840" w:h="11910" w:orient="landscape"/>
      <w:pgMar w:top="567" w:right="520" w:bottom="993" w:left="426" w:header="720" w:footer="1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65566" w14:textId="77777777" w:rsidR="00286647" w:rsidRDefault="00286647" w:rsidP="007909C3">
      <w:r>
        <w:separator/>
      </w:r>
    </w:p>
  </w:endnote>
  <w:endnote w:type="continuationSeparator" w:id="0">
    <w:p w14:paraId="66954E71" w14:textId="77777777" w:rsidR="00286647" w:rsidRDefault="00286647" w:rsidP="007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0E42F" w14:textId="68DDE0B8" w:rsidR="00B47BFE" w:rsidRDefault="00B47BFE" w:rsidP="007909C3">
    <w:pPr>
      <w:pStyle w:val="Footer"/>
    </w:pPr>
    <w:r>
      <w:rPr>
        <w:noProof/>
        <w:sz w:val="13"/>
        <w:lang w:eastAsia="en-GB"/>
      </w:rPr>
      <w:drawing>
        <wp:inline distT="0" distB="0" distL="0" distR="0" wp14:anchorId="3CDC6C78" wp14:editId="6F3A1421">
          <wp:extent cx="539497" cy="222504"/>
          <wp:effectExtent l="0" t="0" r="0" b="6350"/>
          <wp:docPr id="442185357" name="Picture 442185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rsidR="003A0939">
      <w:tab/>
    </w:r>
    <w:proofErr w:type="gramStart"/>
    <w:r w:rsidR="003A0939">
      <w:tab/>
    </w:r>
    <w:r w:rsidRPr="00B47BFE">
      <w:t xml:space="preserve">  </w:t>
    </w:r>
    <w:r w:rsidR="00CC2256">
      <w:t>December</w:t>
    </w:r>
    <w:proofErr w:type="gramEnd"/>
    <w:r w:rsidRPr="00B47BFE">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0FD0" w14:textId="05DF2558" w:rsidR="00B47BFE" w:rsidRDefault="00B47BFE" w:rsidP="007909C3">
    <w:pPr>
      <w:pStyle w:val="Footer"/>
    </w:pPr>
    <w:r>
      <w:rPr>
        <w:noProof/>
        <w:sz w:val="13"/>
        <w:lang w:eastAsia="en-GB"/>
      </w:rPr>
      <w:drawing>
        <wp:inline distT="0" distB="0" distL="0" distR="0" wp14:anchorId="4067C498" wp14:editId="67EDCD6A">
          <wp:extent cx="539497" cy="222504"/>
          <wp:effectExtent l="0" t="0" r="0" b="6350"/>
          <wp:docPr id="1715799634" name="Picture 1715799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Produced by the Regional Drug and Therapeutics Centre</w:t>
    </w:r>
    <w:r w:rsidR="009A721C">
      <w:tab/>
    </w:r>
    <w:r w:rsidR="009A721C">
      <w:tab/>
    </w:r>
    <w:r w:rsidR="009A721C">
      <w:tab/>
    </w:r>
    <w:r w:rsidR="009A721C">
      <w:tab/>
    </w:r>
    <w:r w:rsidR="009A721C">
      <w:tab/>
    </w:r>
    <w:r w:rsidR="009A721C">
      <w:tab/>
    </w:r>
    <w:r w:rsidR="009A721C">
      <w:tab/>
    </w:r>
    <w:r w:rsidR="009A721C">
      <w:tab/>
    </w:r>
    <w:r w:rsidR="009A721C">
      <w:tab/>
    </w:r>
    <w:r w:rsidR="00493A22">
      <w:t>April</w:t>
    </w:r>
    <w:r w:rsidR="00040A7D">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9C280" w14:textId="2533325C" w:rsidR="00C97823" w:rsidRDefault="00FC005D" w:rsidP="007909C3">
    <w:pPr>
      <w:pStyle w:val="Footer"/>
    </w:pPr>
    <w:r>
      <w:rPr>
        <w:noProof/>
        <w:sz w:val="13"/>
        <w:lang w:eastAsia="en-GB"/>
      </w:rPr>
      <w:drawing>
        <wp:inline distT="0" distB="0" distL="0" distR="0" wp14:anchorId="65C7F0BF" wp14:editId="426BAA20">
          <wp:extent cx="539497" cy="222504"/>
          <wp:effectExtent l="0" t="0" r="0" b="6350"/>
          <wp:docPr id="1796720444" name="Picture 179672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ab/>
      <w:t xml:space="preserve">               </w:t>
    </w:r>
    <w:r w:rsidRPr="00B47BFE">
      <w:t xml:space="preserve">Produced by the Regional Drug and Therapeutics Centre                                                                                             </w:t>
    </w:r>
    <w:r>
      <w:t xml:space="preserve">                                            </w:t>
    </w:r>
    <w:r w:rsidRPr="00B47BFE">
      <w:t xml:space="preserve">  </w:t>
    </w:r>
    <w:r w:rsidR="003A0939">
      <w:tab/>
    </w:r>
    <w:r w:rsidR="003A0939">
      <w:tab/>
    </w:r>
    <w:r w:rsidR="00493A22">
      <w:t>April</w:t>
    </w:r>
    <w:r w:rsidR="00040A7D">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18DE6" w14:textId="2EE8E88A" w:rsidR="00383A54" w:rsidRDefault="00383A54" w:rsidP="007909C3">
    <w:pPr>
      <w:pStyle w:val="Footer"/>
    </w:pPr>
    <w:r>
      <w:rPr>
        <w:noProof/>
        <w:sz w:val="13"/>
        <w:lang w:eastAsia="en-GB"/>
      </w:rPr>
      <w:drawing>
        <wp:inline distT="0" distB="0" distL="0" distR="0" wp14:anchorId="0D21034A" wp14:editId="4687F224">
          <wp:extent cx="539497" cy="222504"/>
          <wp:effectExtent l="0" t="0" r="0" b="6350"/>
          <wp:docPr id="1216140623" name="Picture 121614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tab/>
    </w:r>
    <w:r>
      <w:tab/>
    </w:r>
    <w:r w:rsidR="001849DB">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5F20F" w14:textId="77777777" w:rsidR="00286647" w:rsidRDefault="00286647" w:rsidP="007909C3">
      <w:r>
        <w:separator/>
      </w:r>
    </w:p>
  </w:footnote>
  <w:footnote w:type="continuationSeparator" w:id="0">
    <w:p w14:paraId="37B291DE" w14:textId="77777777" w:rsidR="00286647" w:rsidRDefault="00286647" w:rsidP="007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5F1B6" w14:textId="47CEA7DB" w:rsidR="009440BC" w:rsidRDefault="0094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8535C" w14:textId="5E0A696E" w:rsidR="009440BC" w:rsidRDefault="00944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FEB2F" w14:textId="3304521B" w:rsidR="009440BC" w:rsidRDefault="009440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448E" w14:textId="2BB2C131" w:rsidR="009440BC" w:rsidRDefault="009440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7065C" w14:textId="03AA2F19" w:rsidR="009440BC" w:rsidRDefault="009440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928FF" w14:textId="507B77E1" w:rsidR="009440BC" w:rsidRDefault="0094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1761"/>
    <w:multiLevelType w:val="hybridMultilevel"/>
    <w:tmpl w:val="5162AF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54194"/>
    <w:multiLevelType w:val="hybridMultilevel"/>
    <w:tmpl w:val="08FE6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C135D"/>
    <w:multiLevelType w:val="hybridMultilevel"/>
    <w:tmpl w:val="12E4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A797D"/>
    <w:multiLevelType w:val="multilevel"/>
    <w:tmpl w:val="04C65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D56930"/>
    <w:multiLevelType w:val="hybridMultilevel"/>
    <w:tmpl w:val="1792AE5E"/>
    <w:lvl w:ilvl="0" w:tplc="CA0CD1C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A939A9"/>
    <w:multiLevelType w:val="multilevel"/>
    <w:tmpl w:val="2F90067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E6941"/>
    <w:multiLevelType w:val="hybridMultilevel"/>
    <w:tmpl w:val="5BA64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622612"/>
    <w:multiLevelType w:val="hybridMultilevel"/>
    <w:tmpl w:val="6494ED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45BDC"/>
    <w:multiLevelType w:val="multilevel"/>
    <w:tmpl w:val="B3CC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445BE9"/>
    <w:multiLevelType w:val="hybridMultilevel"/>
    <w:tmpl w:val="8B52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E40BAB"/>
    <w:multiLevelType w:val="hybridMultilevel"/>
    <w:tmpl w:val="C480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E2E50"/>
    <w:multiLevelType w:val="multilevel"/>
    <w:tmpl w:val="D8BC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673365"/>
    <w:multiLevelType w:val="multilevel"/>
    <w:tmpl w:val="DC0C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AD0E4C"/>
    <w:multiLevelType w:val="multilevel"/>
    <w:tmpl w:val="4A36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D85395"/>
    <w:multiLevelType w:val="multilevel"/>
    <w:tmpl w:val="95BE1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9"/>
  </w:num>
  <w:num w:numId="4">
    <w:abstractNumId w:val="11"/>
  </w:num>
  <w:num w:numId="5">
    <w:abstractNumId w:val="8"/>
  </w:num>
  <w:num w:numId="6">
    <w:abstractNumId w:val="14"/>
  </w:num>
  <w:num w:numId="7">
    <w:abstractNumId w:val="12"/>
  </w:num>
  <w:num w:numId="8">
    <w:abstractNumId w:val="13"/>
  </w:num>
  <w:num w:numId="9">
    <w:abstractNumId w:val="3"/>
  </w:num>
  <w:num w:numId="10">
    <w:abstractNumId w:val="10"/>
  </w:num>
  <w:num w:numId="11">
    <w:abstractNumId w:val="6"/>
  </w:num>
  <w:num w:numId="12">
    <w:abstractNumId w:val="7"/>
  </w:num>
  <w:num w:numId="13">
    <w:abstractNumId w:val="2"/>
  </w:num>
  <w:num w:numId="14">
    <w:abstractNumId w:val="1"/>
  </w:num>
  <w:num w:numId="1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DF"/>
    <w:rsid w:val="0003501F"/>
    <w:rsid w:val="00040A7D"/>
    <w:rsid w:val="000445EA"/>
    <w:rsid w:val="00051DB8"/>
    <w:rsid w:val="00052D53"/>
    <w:rsid w:val="00053A7D"/>
    <w:rsid w:val="000676AA"/>
    <w:rsid w:val="0007607C"/>
    <w:rsid w:val="00087638"/>
    <w:rsid w:val="000919D1"/>
    <w:rsid w:val="000A1DB8"/>
    <w:rsid w:val="000A1EB8"/>
    <w:rsid w:val="000A4068"/>
    <w:rsid w:val="000C4518"/>
    <w:rsid w:val="00151934"/>
    <w:rsid w:val="001573FC"/>
    <w:rsid w:val="00163CC8"/>
    <w:rsid w:val="00164BE9"/>
    <w:rsid w:val="00172933"/>
    <w:rsid w:val="001849DB"/>
    <w:rsid w:val="001C291E"/>
    <w:rsid w:val="001C7976"/>
    <w:rsid w:val="001D1284"/>
    <w:rsid w:val="001F0421"/>
    <w:rsid w:val="001F28EB"/>
    <w:rsid w:val="00212556"/>
    <w:rsid w:val="002243E0"/>
    <w:rsid w:val="00231E30"/>
    <w:rsid w:val="00245872"/>
    <w:rsid w:val="00270030"/>
    <w:rsid w:val="0028057F"/>
    <w:rsid w:val="0028306A"/>
    <w:rsid w:val="00284386"/>
    <w:rsid w:val="00286647"/>
    <w:rsid w:val="00287462"/>
    <w:rsid w:val="00291455"/>
    <w:rsid w:val="00293208"/>
    <w:rsid w:val="00297D20"/>
    <w:rsid w:val="002B7031"/>
    <w:rsid w:val="002C038B"/>
    <w:rsid w:val="002D44AD"/>
    <w:rsid w:val="002D5A93"/>
    <w:rsid w:val="002D6A78"/>
    <w:rsid w:val="002D6B55"/>
    <w:rsid w:val="00310A03"/>
    <w:rsid w:val="00311322"/>
    <w:rsid w:val="00317A38"/>
    <w:rsid w:val="00341777"/>
    <w:rsid w:val="00364888"/>
    <w:rsid w:val="003662FE"/>
    <w:rsid w:val="003675E8"/>
    <w:rsid w:val="003679C5"/>
    <w:rsid w:val="003721C9"/>
    <w:rsid w:val="00376D53"/>
    <w:rsid w:val="00383A54"/>
    <w:rsid w:val="003A0939"/>
    <w:rsid w:val="003A0AA7"/>
    <w:rsid w:val="003A3E0B"/>
    <w:rsid w:val="003B1091"/>
    <w:rsid w:val="003B42C3"/>
    <w:rsid w:val="003F1A3A"/>
    <w:rsid w:val="00432265"/>
    <w:rsid w:val="00433C32"/>
    <w:rsid w:val="00436283"/>
    <w:rsid w:val="00447DF4"/>
    <w:rsid w:val="00472798"/>
    <w:rsid w:val="00493A22"/>
    <w:rsid w:val="004A08AE"/>
    <w:rsid w:val="004B3656"/>
    <w:rsid w:val="004C6BED"/>
    <w:rsid w:val="004D2801"/>
    <w:rsid w:val="004E5F2D"/>
    <w:rsid w:val="004F4F2C"/>
    <w:rsid w:val="00521D47"/>
    <w:rsid w:val="00560ADF"/>
    <w:rsid w:val="005617A9"/>
    <w:rsid w:val="00562B5A"/>
    <w:rsid w:val="00566C50"/>
    <w:rsid w:val="005B1A2C"/>
    <w:rsid w:val="005B6E51"/>
    <w:rsid w:val="005C0229"/>
    <w:rsid w:val="005C3CE2"/>
    <w:rsid w:val="005F5C08"/>
    <w:rsid w:val="00623832"/>
    <w:rsid w:val="00630CB4"/>
    <w:rsid w:val="00646CBD"/>
    <w:rsid w:val="0067124F"/>
    <w:rsid w:val="00674875"/>
    <w:rsid w:val="0068542C"/>
    <w:rsid w:val="00686FE4"/>
    <w:rsid w:val="006B4F2B"/>
    <w:rsid w:val="006C1D50"/>
    <w:rsid w:val="006D4B89"/>
    <w:rsid w:val="006E3D7B"/>
    <w:rsid w:val="006E665B"/>
    <w:rsid w:val="006F093A"/>
    <w:rsid w:val="00712AD4"/>
    <w:rsid w:val="00726EEF"/>
    <w:rsid w:val="00732CE6"/>
    <w:rsid w:val="00734652"/>
    <w:rsid w:val="0079078F"/>
    <w:rsid w:val="007909C3"/>
    <w:rsid w:val="007A31AE"/>
    <w:rsid w:val="007A6E02"/>
    <w:rsid w:val="007D5B59"/>
    <w:rsid w:val="007F044F"/>
    <w:rsid w:val="007F1855"/>
    <w:rsid w:val="008072D2"/>
    <w:rsid w:val="00830A05"/>
    <w:rsid w:val="00842E14"/>
    <w:rsid w:val="008606FE"/>
    <w:rsid w:val="00862815"/>
    <w:rsid w:val="00885EE2"/>
    <w:rsid w:val="00894352"/>
    <w:rsid w:val="00897F5D"/>
    <w:rsid w:val="008C0B9E"/>
    <w:rsid w:val="008D6DE1"/>
    <w:rsid w:val="009108ED"/>
    <w:rsid w:val="00922D21"/>
    <w:rsid w:val="00931096"/>
    <w:rsid w:val="009440BC"/>
    <w:rsid w:val="0095030D"/>
    <w:rsid w:val="00983E23"/>
    <w:rsid w:val="009846C4"/>
    <w:rsid w:val="00985184"/>
    <w:rsid w:val="009A721C"/>
    <w:rsid w:val="009C1AA0"/>
    <w:rsid w:val="009C318B"/>
    <w:rsid w:val="009E5F4F"/>
    <w:rsid w:val="009F1555"/>
    <w:rsid w:val="00A01100"/>
    <w:rsid w:val="00A12F07"/>
    <w:rsid w:val="00A17C46"/>
    <w:rsid w:val="00A3020A"/>
    <w:rsid w:val="00A550E2"/>
    <w:rsid w:val="00A55F26"/>
    <w:rsid w:val="00A90878"/>
    <w:rsid w:val="00A9155E"/>
    <w:rsid w:val="00AA2250"/>
    <w:rsid w:val="00AA7BB9"/>
    <w:rsid w:val="00AC6922"/>
    <w:rsid w:val="00AF1D87"/>
    <w:rsid w:val="00AF7C38"/>
    <w:rsid w:val="00AF7FFC"/>
    <w:rsid w:val="00B16D53"/>
    <w:rsid w:val="00B221D6"/>
    <w:rsid w:val="00B3576A"/>
    <w:rsid w:val="00B40050"/>
    <w:rsid w:val="00B4247C"/>
    <w:rsid w:val="00B43BEE"/>
    <w:rsid w:val="00B47BFE"/>
    <w:rsid w:val="00B53501"/>
    <w:rsid w:val="00B6100A"/>
    <w:rsid w:val="00B624BB"/>
    <w:rsid w:val="00B65BEA"/>
    <w:rsid w:val="00B73289"/>
    <w:rsid w:val="00B83148"/>
    <w:rsid w:val="00B900B4"/>
    <w:rsid w:val="00BB4FF3"/>
    <w:rsid w:val="00BC02E9"/>
    <w:rsid w:val="00BC5B4D"/>
    <w:rsid w:val="00BC7C04"/>
    <w:rsid w:val="00BF1D6B"/>
    <w:rsid w:val="00C00E0A"/>
    <w:rsid w:val="00C05997"/>
    <w:rsid w:val="00C13E92"/>
    <w:rsid w:val="00C20E88"/>
    <w:rsid w:val="00C4153E"/>
    <w:rsid w:val="00C43079"/>
    <w:rsid w:val="00C84BB0"/>
    <w:rsid w:val="00C8733F"/>
    <w:rsid w:val="00C87597"/>
    <w:rsid w:val="00C966D9"/>
    <w:rsid w:val="00C97823"/>
    <w:rsid w:val="00CA13FA"/>
    <w:rsid w:val="00CA6426"/>
    <w:rsid w:val="00CC2256"/>
    <w:rsid w:val="00CC4392"/>
    <w:rsid w:val="00CD18E2"/>
    <w:rsid w:val="00CE2F6D"/>
    <w:rsid w:val="00D23196"/>
    <w:rsid w:val="00D41C86"/>
    <w:rsid w:val="00D56C5C"/>
    <w:rsid w:val="00D771F7"/>
    <w:rsid w:val="00D77342"/>
    <w:rsid w:val="00DE1560"/>
    <w:rsid w:val="00DF6DD1"/>
    <w:rsid w:val="00E11EB4"/>
    <w:rsid w:val="00E13745"/>
    <w:rsid w:val="00E364E4"/>
    <w:rsid w:val="00E36C52"/>
    <w:rsid w:val="00E55444"/>
    <w:rsid w:val="00E7173A"/>
    <w:rsid w:val="00E73516"/>
    <w:rsid w:val="00E80933"/>
    <w:rsid w:val="00E83736"/>
    <w:rsid w:val="00E94048"/>
    <w:rsid w:val="00EA5257"/>
    <w:rsid w:val="00EB2F2B"/>
    <w:rsid w:val="00EB7C56"/>
    <w:rsid w:val="00EC091D"/>
    <w:rsid w:val="00EC48E4"/>
    <w:rsid w:val="00ED412F"/>
    <w:rsid w:val="00ED4F43"/>
    <w:rsid w:val="00ED7717"/>
    <w:rsid w:val="00EF6D1B"/>
    <w:rsid w:val="00EF74D1"/>
    <w:rsid w:val="00F07C92"/>
    <w:rsid w:val="00F1389B"/>
    <w:rsid w:val="00F13B08"/>
    <w:rsid w:val="00F52BBA"/>
    <w:rsid w:val="00F53774"/>
    <w:rsid w:val="00F54CB1"/>
    <w:rsid w:val="00F81187"/>
    <w:rsid w:val="00FB2049"/>
    <w:rsid w:val="00FC005D"/>
    <w:rsid w:val="00FD45B9"/>
    <w:rsid w:val="00FE2842"/>
    <w:rsid w:val="00FE3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6AC6"/>
  <w15:docId w15:val="{B9C31A46-EF9D-4C3D-AE5E-36A4A3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976"/>
    <w:pPr>
      <w:tabs>
        <w:tab w:val="left" w:pos="975"/>
      </w:tabs>
      <w:spacing w:before="60" w:after="60"/>
    </w:pPr>
    <w:rPr>
      <w:rFonts w:ascii="Arial" w:eastAsia="Helvetica" w:hAnsi="Arial" w:cs="Arial"/>
      <w:sz w:val="18"/>
      <w:szCs w:val="18"/>
      <w:lang w:val="en-GB"/>
    </w:rPr>
  </w:style>
  <w:style w:type="paragraph" w:styleId="Heading1">
    <w:name w:val="heading 1"/>
    <w:basedOn w:val="Normal"/>
    <w:uiPriority w:val="9"/>
    <w:qFormat/>
    <w:rsid w:val="00ED4F43"/>
    <w:pPr>
      <w:spacing w:before="61"/>
      <w:ind w:left="120"/>
      <w:outlineLvl w:val="0"/>
    </w:pPr>
    <w:rPr>
      <w:rFonts w:ascii="Helvetica-BoldOblique" w:eastAsia="Helvetica-BoldOblique" w:hAnsi="Helvetica-BoldOblique" w:cs="Helvetica-BoldOblique"/>
      <w:b/>
      <w:bCs/>
      <w:i/>
      <w:color w:val="41B6E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1"/>
      <w:ind w:left="124"/>
    </w:pPr>
    <w:rPr>
      <w:rFonts w:ascii="Helvetica-BoldOblique" w:eastAsia="Helvetica-BoldOblique" w:hAnsi="Helvetica-BoldOblique" w:cs="Helvetica-BoldOblique"/>
      <w:b/>
      <w:bCs/>
      <w:i/>
    </w:rPr>
  </w:style>
  <w:style w:type="paragraph" w:styleId="ListParagraph">
    <w:name w:val="List Paragraph"/>
    <w:basedOn w:val="Normal"/>
    <w:uiPriority w:val="34"/>
    <w:qFormat/>
    <w:rsid w:val="003A0939"/>
    <w:pPr>
      <w:numPr>
        <w:numId w:val="1"/>
      </w:numPr>
      <w:ind w:left="357" w:hanging="357"/>
      <w:contextualSpacing/>
    </w:pPr>
  </w:style>
  <w:style w:type="paragraph" w:customStyle="1" w:styleId="TableParagraph">
    <w:name w:val="Table Paragraph"/>
    <w:basedOn w:val="Normal"/>
    <w:uiPriority w:val="1"/>
    <w:qFormat/>
    <w:pPr>
      <w:spacing w:line="172" w:lineRule="exact"/>
    </w:pPr>
    <w:rPr>
      <w:rFonts w:ascii="Calibri" w:eastAsia="Calibri" w:hAnsi="Calibri" w:cs="Calibri"/>
    </w:rPr>
  </w:style>
  <w:style w:type="paragraph" w:styleId="BalloonText">
    <w:name w:val="Balloon Text"/>
    <w:basedOn w:val="Normal"/>
    <w:link w:val="BalloonTextChar"/>
    <w:uiPriority w:val="99"/>
    <w:semiHidden/>
    <w:unhideWhenUsed/>
    <w:rsid w:val="00CC4392"/>
    <w:rPr>
      <w:rFonts w:ascii="Segoe UI" w:hAnsi="Segoe UI" w:cs="Segoe UI"/>
    </w:rPr>
  </w:style>
  <w:style w:type="character" w:customStyle="1" w:styleId="BalloonTextChar">
    <w:name w:val="Balloon Text Char"/>
    <w:basedOn w:val="DefaultParagraphFont"/>
    <w:link w:val="BalloonText"/>
    <w:uiPriority w:val="99"/>
    <w:semiHidden/>
    <w:rsid w:val="00CC4392"/>
    <w:rPr>
      <w:rFonts w:ascii="Segoe UI" w:eastAsia="Helvetica" w:hAnsi="Segoe UI" w:cs="Segoe UI"/>
      <w:sz w:val="18"/>
      <w:szCs w:val="18"/>
      <w:lang w:val="en-GB"/>
    </w:rPr>
  </w:style>
  <w:style w:type="paragraph" w:styleId="Header">
    <w:name w:val="header"/>
    <w:basedOn w:val="Normal"/>
    <w:link w:val="HeaderChar"/>
    <w:uiPriority w:val="99"/>
    <w:unhideWhenUsed/>
    <w:rsid w:val="00922D21"/>
    <w:pPr>
      <w:tabs>
        <w:tab w:val="center" w:pos="4513"/>
        <w:tab w:val="right" w:pos="9026"/>
      </w:tabs>
    </w:pPr>
  </w:style>
  <w:style w:type="character" w:customStyle="1" w:styleId="HeaderChar">
    <w:name w:val="Header Char"/>
    <w:basedOn w:val="DefaultParagraphFont"/>
    <w:link w:val="Header"/>
    <w:uiPriority w:val="99"/>
    <w:rsid w:val="00922D21"/>
    <w:rPr>
      <w:rFonts w:ascii="Helvetica" w:eastAsia="Helvetica" w:hAnsi="Helvetica" w:cs="Helvetica"/>
      <w:lang w:val="en-GB"/>
    </w:rPr>
  </w:style>
  <w:style w:type="paragraph" w:styleId="Footer">
    <w:name w:val="footer"/>
    <w:basedOn w:val="Normal"/>
    <w:link w:val="FooterChar"/>
    <w:uiPriority w:val="99"/>
    <w:unhideWhenUsed/>
    <w:rsid w:val="00922D21"/>
    <w:pPr>
      <w:tabs>
        <w:tab w:val="center" w:pos="4513"/>
        <w:tab w:val="right" w:pos="9026"/>
      </w:tabs>
    </w:pPr>
  </w:style>
  <w:style w:type="character" w:customStyle="1" w:styleId="FooterChar">
    <w:name w:val="Footer Char"/>
    <w:basedOn w:val="DefaultParagraphFont"/>
    <w:link w:val="Footer"/>
    <w:uiPriority w:val="99"/>
    <w:rsid w:val="00922D21"/>
    <w:rPr>
      <w:rFonts w:ascii="Helvetica" w:eastAsia="Helvetica" w:hAnsi="Helvetica" w:cs="Helvetica"/>
      <w:lang w:val="en-GB"/>
    </w:rPr>
  </w:style>
  <w:style w:type="table" w:styleId="TableGrid">
    <w:name w:val="Table Grid"/>
    <w:basedOn w:val="TableNormal"/>
    <w:uiPriority w:val="39"/>
    <w:rsid w:val="009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247C"/>
    <w:rPr>
      <w:rFonts w:cs="Times New Roman"/>
      <w:color w:val="0000FF"/>
      <w:u w:val="single"/>
    </w:rPr>
  </w:style>
  <w:style w:type="character" w:styleId="FollowedHyperlink">
    <w:name w:val="FollowedHyperlink"/>
    <w:basedOn w:val="DefaultParagraphFont"/>
    <w:uiPriority w:val="99"/>
    <w:semiHidden/>
    <w:unhideWhenUsed/>
    <w:rsid w:val="009108ED"/>
    <w:rPr>
      <w:color w:val="800080" w:themeColor="followedHyperlink"/>
      <w:u w:val="single"/>
    </w:rPr>
  </w:style>
  <w:style w:type="character" w:styleId="CommentReference">
    <w:name w:val="annotation reference"/>
    <w:basedOn w:val="DefaultParagraphFont"/>
    <w:uiPriority w:val="99"/>
    <w:semiHidden/>
    <w:unhideWhenUsed/>
    <w:rsid w:val="00C97823"/>
    <w:rPr>
      <w:sz w:val="16"/>
      <w:szCs w:val="16"/>
    </w:rPr>
  </w:style>
  <w:style w:type="paragraph" w:styleId="CommentText">
    <w:name w:val="annotation text"/>
    <w:basedOn w:val="Normal"/>
    <w:link w:val="CommentTextChar"/>
    <w:uiPriority w:val="99"/>
    <w:unhideWhenUsed/>
    <w:rsid w:val="00C97823"/>
    <w:rPr>
      <w:sz w:val="20"/>
      <w:szCs w:val="20"/>
    </w:rPr>
  </w:style>
  <w:style w:type="character" w:customStyle="1" w:styleId="CommentTextChar">
    <w:name w:val="Comment Text Char"/>
    <w:basedOn w:val="DefaultParagraphFont"/>
    <w:link w:val="CommentText"/>
    <w:uiPriority w:val="99"/>
    <w:rsid w:val="00C97823"/>
    <w:rPr>
      <w:rFonts w:ascii="Arial" w:eastAsia="Helvetic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97823"/>
    <w:rPr>
      <w:b/>
      <w:bCs/>
    </w:rPr>
  </w:style>
  <w:style w:type="character" w:customStyle="1" w:styleId="CommentSubjectChar">
    <w:name w:val="Comment Subject Char"/>
    <w:basedOn w:val="CommentTextChar"/>
    <w:link w:val="CommentSubject"/>
    <w:uiPriority w:val="99"/>
    <w:semiHidden/>
    <w:rsid w:val="00C97823"/>
    <w:rPr>
      <w:rFonts w:ascii="Arial" w:eastAsia="Helvetica" w:hAnsi="Arial" w:cs="Arial"/>
      <w:b/>
      <w:bCs/>
      <w:sz w:val="20"/>
      <w:szCs w:val="20"/>
      <w:lang w:val="en-GB"/>
    </w:rPr>
  </w:style>
  <w:style w:type="character" w:customStyle="1" w:styleId="UnresolvedMention">
    <w:name w:val="Unresolved Mention"/>
    <w:basedOn w:val="DefaultParagraphFont"/>
    <w:uiPriority w:val="99"/>
    <w:semiHidden/>
    <w:unhideWhenUsed/>
    <w:rsid w:val="007D5B59"/>
    <w:rPr>
      <w:color w:val="605E5C"/>
      <w:shd w:val="clear" w:color="auto" w:fill="E1DFDD"/>
    </w:rPr>
  </w:style>
  <w:style w:type="character" w:customStyle="1" w:styleId="normaltextrun">
    <w:name w:val="normaltextrun"/>
    <w:basedOn w:val="DefaultParagraphFont"/>
    <w:rsid w:val="00493A22"/>
  </w:style>
  <w:style w:type="character" w:customStyle="1" w:styleId="eop">
    <w:name w:val="eop"/>
    <w:basedOn w:val="DefaultParagraphFont"/>
    <w:rsid w:val="00493A22"/>
  </w:style>
  <w:style w:type="paragraph" w:customStyle="1" w:styleId="paragraph">
    <w:name w:val="paragraph"/>
    <w:basedOn w:val="Normal"/>
    <w:rsid w:val="00493A22"/>
    <w:pPr>
      <w:widowControl/>
      <w:tabs>
        <w:tab w:val="clear" w:pos="975"/>
      </w:tabs>
      <w:autoSpaceDE/>
      <w:autoSpaceDN/>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nice.org.uk/guidance/ta1026"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ice.org.uk/guidance/ta1022" TargetMode="External"/><Relationship Id="rId25" Type="http://schemas.openxmlformats.org/officeDocument/2006/relationships/hyperlink" Target="https://humberandnorthyorkshire.org.uk/area-prescribing-committee-apc/"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nuth.hnyapc@nhs.ne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pcds.org.uk/files/general/AK-Pathway-2022-Update-web-1.pdf" TargetMode="External"/><Relationship Id="rId28" Type="http://schemas.openxmlformats.org/officeDocument/2006/relationships/fontTable" Target="fontTable.xml"/><Relationship Id="rId10" Type="http://schemas.openxmlformats.org/officeDocument/2006/relationships/hyperlink" Target="https://humberandnorthyorkshire.org.uk/area-prescribing-committee-apc-minutes-from-meeting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yperlink" Target="https://twitter.com/RDTC_R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A380C-C66E-4213-9FAD-F97751DEA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Prescribing Bulletin</vt:lpstr>
    </vt:vector>
  </TitlesOfParts>
  <Company>Newcastle upon Tyne Hospitals NHS Foundation Trust</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Bulletin</dc:title>
  <dc:creator>Regional Drug and Therapeutics Centre</dc:creator>
  <cp:lastModifiedBy>Kane, Nancy</cp:lastModifiedBy>
  <cp:revision>32</cp:revision>
  <dcterms:created xsi:type="dcterms:W3CDTF">2024-12-16T11:58:00Z</dcterms:created>
  <dcterms:modified xsi:type="dcterms:W3CDTF">2025-04-04T14:32:00Z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InDesign 15.1 (Macintosh)</vt:lpwstr>
  </property>
  <property fmtid="{D5CDD505-2E9C-101B-9397-08002B2CF9AE}" pid="4" name="LastSaved">
    <vt:filetime>2020-10-05T00:00:00Z</vt:filetime>
  </property>
</Properties>
</file>