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B8072" w14:textId="77777777" w:rsidR="000716B3" w:rsidRDefault="000716B3" w:rsidP="000716B3">
      <w:pPr>
        <w:jc w:val="center"/>
        <w:rPr>
          <w:rFonts w:ascii="Arial" w:hAnsi="Arial" w:cs="Arial"/>
        </w:rPr>
      </w:pPr>
    </w:p>
    <w:p w14:paraId="63E8663B" w14:textId="5727F8BC" w:rsidR="00516B5C" w:rsidRDefault="000716B3" w:rsidP="000716B3">
      <w:pPr>
        <w:jc w:val="center"/>
        <w:rPr>
          <w:rFonts w:ascii="Arial" w:hAnsi="Arial" w:cs="Arial"/>
          <w:b/>
          <w:bCs/>
          <w:color w:val="002060"/>
          <w:sz w:val="28"/>
          <w:szCs w:val="28"/>
        </w:rPr>
      </w:pPr>
      <w:r w:rsidRPr="000716B3">
        <w:rPr>
          <w:rFonts w:ascii="Arial" w:hAnsi="Arial" w:cs="Arial"/>
          <w:b/>
          <w:bCs/>
          <w:color w:val="002060"/>
          <w:sz w:val="28"/>
          <w:szCs w:val="28"/>
        </w:rPr>
        <w:t xml:space="preserve">Melatonin </w:t>
      </w:r>
      <w:r w:rsidR="00F16F03">
        <w:rPr>
          <w:rFonts w:ascii="Arial" w:hAnsi="Arial" w:cs="Arial"/>
          <w:b/>
          <w:bCs/>
          <w:color w:val="002060"/>
          <w:sz w:val="28"/>
          <w:szCs w:val="28"/>
        </w:rPr>
        <w:t>P</w:t>
      </w:r>
      <w:r w:rsidRPr="000716B3">
        <w:rPr>
          <w:rFonts w:ascii="Arial" w:hAnsi="Arial" w:cs="Arial"/>
          <w:b/>
          <w:bCs/>
          <w:color w:val="002060"/>
          <w:sz w:val="28"/>
          <w:szCs w:val="28"/>
        </w:rPr>
        <w:t xml:space="preserve">rescribing </w:t>
      </w:r>
      <w:r w:rsidR="00F16F03">
        <w:rPr>
          <w:rFonts w:ascii="Arial" w:hAnsi="Arial" w:cs="Arial"/>
          <w:b/>
          <w:bCs/>
          <w:color w:val="002060"/>
          <w:sz w:val="28"/>
          <w:szCs w:val="28"/>
        </w:rPr>
        <w:t>Guideline</w:t>
      </w:r>
    </w:p>
    <w:p w14:paraId="3681AF01" w14:textId="77777777" w:rsidR="00446032" w:rsidRDefault="00446032" w:rsidP="000716B3">
      <w:pPr>
        <w:jc w:val="center"/>
        <w:rPr>
          <w:rFonts w:ascii="Arial" w:hAnsi="Arial" w:cs="Arial"/>
          <w:b/>
          <w:bCs/>
          <w:color w:val="002060"/>
          <w:sz w:val="28"/>
          <w:szCs w:val="28"/>
        </w:rPr>
      </w:pPr>
    </w:p>
    <w:p w14:paraId="7723AB73" w14:textId="0F81773A" w:rsidR="00446032" w:rsidRDefault="00446032" w:rsidP="00446032">
      <w:pPr>
        <w:jc w:val="both"/>
        <w:rPr>
          <w:rFonts w:ascii="Arial" w:hAnsi="Arial" w:cs="Arial"/>
        </w:rPr>
      </w:pPr>
      <w:r w:rsidRPr="594A3902">
        <w:rPr>
          <w:rFonts w:ascii="Arial" w:hAnsi="Arial" w:cs="Arial"/>
        </w:rPr>
        <w:t xml:space="preserve">With the exception of </w:t>
      </w:r>
      <w:r w:rsidR="001C6944" w:rsidRPr="594A3902">
        <w:rPr>
          <w:rFonts w:ascii="Arial" w:hAnsi="Arial" w:cs="Arial"/>
        </w:rPr>
        <w:t xml:space="preserve">short term use (maximum 13 weeks) in the over 55s, melatonin is classed as Amber specialist initiation </w:t>
      </w:r>
      <w:r w:rsidR="00356E99" w:rsidRPr="594A3902">
        <w:rPr>
          <w:rFonts w:ascii="Arial" w:hAnsi="Arial" w:cs="Arial"/>
        </w:rPr>
        <w:t>on the H</w:t>
      </w:r>
      <w:r w:rsidR="001F3A97" w:rsidRPr="594A3902">
        <w:rPr>
          <w:rFonts w:ascii="Arial" w:hAnsi="Arial" w:cs="Arial"/>
        </w:rPr>
        <w:t xml:space="preserve">umber and </w:t>
      </w:r>
      <w:r w:rsidR="00356E99" w:rsidRPr="594A3902">
        <w:rPr>
          <w:rFonts w:ascii="Arial" w:hAnsi="Arial" w:cs="Arial"/>
        </w:rPr>
        <w:t>N</w:t>
      </w:r>
      <w:r w:rsidR="001F3A97" w:rsidRPr="594A3902">
        <w:rPr>
          <w:rFonts w:ascii="Arial" w:hAnsi="Arial" w:cs="Arial"/>
        </w:rPr>
        <w:t xml:space="preserve">orth </w:t>
      </w:r>
      <w:r w:rsidR="00356E99" w:rsidRPr="594A3902">
        <w:rPr>
          <w:rFonts w:ascii="Arial" w:hAnsi="Arial" w:cs="Arial"/>
        </w:rPr>
        <w:t>Y</w:t>
      </w:r>
      <w:r w:rsidR="001F3A97" w:rsidRPr="594A3902">
        <w:rPr>
          <w:rFonts w:ascii="Arial" w:hAnsi="Arial" w:cs="Arial"/>
        </w:rPr>
        <w:t xml:space="preserve">orkshire </w:t>
      </w:r>
      <w:r w:rsidR="00356E99" w:rsidRPr="594A3902">
        <w:rPr>
          <w:rFonts w:ascii="Arial" w:hAnsi="Arial" w:cs="Arial"/>
        </w:rPr>
        <w:t>A</w:t>
      </w:r>
      <w:r w:rsidR="001F3A97" w:rsidRPr="594A3902">
        <w:rPr>
          <w:rFonts w:ascii="Arial" w:hAnsi="Arial" w:cs="Arial"/>
        </w:rPr>
        <w:t xml:space="preserve">rea </w:t>
      </w:r>
      <w:r w:rsidR="00356E99" w:rsidRPr="594A3902">
        <w:rPr>
          <w:rFonts w:ascii="Arial" w:hAnsi="Arial" w:cs="Arial"/>
        </w:rPr>
        <w:t>P</w:t>
      </w:r>
      <w:r w:rsidR="001F3A97" w:rsidRPr="594A3902">
        <w:rPr>
          <w:rFonts w:ascii="Arial" w:hAnsi="Arial" w:cs="Arial"/>
        </w:rPr>
        <w:t xml:space="preserve">rescribing </w:t>
      </w:r>
      <w:r w:rsidR="00356E99" w:rsidRPr="594A3902">
        <w:rPr>
          <w:rFonts w:ascii="Arial" w:hAnsi="Arial" w:cs="Arial"/>
        </w:rPr>
        <w:t>C</w:t>
      </w:r>
      <w:r w:rsidR="001F3A97" w:rsidRPr="594A3902">
        <w:rPr>
          <w:rFonts w:ascii="Arial" w:hAnsi="Arial" w:cs="Arial"/>
        </w:rPr>
        <w:t>ommittee</w:t>
      </w:r>
      <w:r w:rsidR="00356E99" w:rsidRPr="594A3902">
        <w:rPr>
          <w:rFonts w:ascii="Arial" w:hAnsi="Arial" w:cs="Arial"/>
        </w:rPr>
        <w:t xml:space="preserve"> formulary for the indications listed below.</w:t>
      </w:r>
    </w:p>
    <w:p w14:paraId="4F1A7495" w14:textId="17FEE125" w:rsidR="00106101" w:rsidRDefault="00546A7E" w:rsidP="00446032">
      <w:pPr>
        <w:jc w:val="both"/>
        <w:rPr>
          <w:rFonts w:ascii="Arial" w:hAnsi="Arial" w:cs="Arial"/>
          <w:b/>
          <w:bCs/>
        </w:rPr>
      </w:pPr>
      <w:r w:rsidRPr="00F75DE4">
        <w:rPr>
          <w:rFonts w:ascii="Arial" w:hAnsi="Arial" w:cs="Arial"/>
          <w:b/>
          <w:bCs/>
        </w:rPr>
        <w:t xml:space="preserve">Humber and North Yorkshire health and care partnership does not routinely support the use of melatonin for indications </w:t>
      </w:r>
      <w:r w:rsidR="004D2950" w:rsidRPr="00F75DE4">
        <w:rPr>
          <w:rFonts w:ascii="Arial" w:hAnsi="Arial" w:cs="Arial"/>
          <w:b/>
          <w:bCs/>
        </w:rPr>
        <w:t xml:space="preserve">not listed in this document e.g. sleep disturbances related to shift work, </w:t>
      </w:r>
      <w:r w:rsidR="00E25777">
        <w:rPr>
          <w:rFonts w:ascii="Arial" w:hAnsi="Arial" w:cs="Arial"/>
          <w:b/>
          <w:bCs/>
        </w:rPr>
        <w:t xml:space="preserve">adults who are blind, </w:t>
      </w:r>
      <w:r w:rsidR="004D2950" w:rsidRPr="00F75DE4">
        <w:rPr>
          <w:rFonts w:ascii="Arial" w:hAnsi="Arial" w:cs="Arial"/>
          <w:b/>
          <w:bCs/>
        </w:rPr>
        <w:t>dementia, chronic fatigue syndrome / myalgic encephalo</w:t>
      </w:r>
      <w:r w:rsidR="00C32614" w:rsidRPr="00F75DE4">
        <w:rPr>
          <w:rFonts w:ascii="Arial" w:hAnsi="Arial" w:cs="Arial"/>
          <w:b/>
          <w:bCs/>
        </w:rPr>
        <w:t>myelitis</w:t>
      </w:r>
      <w:r w:rsidR="00CB1DBD">
        <w:rPr>
          <w:rFonts w:ascii="Arial" w:hAnsi="Arial" w:cs="Arial"/>
          <w:b/>
          <w:bCs/>
        </w:rPr>
        <w:t xml:space="preserve"> / encephalopathy</w:t>
      </w:r>
      <w:r w:rsidR="00C32614" w:rsidRPr="00F75DE4">
        <w:rPr>
          <w:rFonts w:ascii="Arial" w:hAnsi="Arial" w:cs="Arial"/>
          <w:b/>
          <w:bCs/>
        </w:rPr>
        <w:t>, sleep apnoea, as an adjunct to hypnotic withdrawal and jet lag (unless an approved indication co-exists).</w:t>
      </w:r>
    </w:p>
    <w:p w14:paraId="062A3E80" w14:textId="2E816DC3" w:rsidR="00CE6D5F" w:rsidRDefault="00023CE2" w:rsidP="00446032">
      <w:pPr>
        <w:jc w:val="both"/>
        <w:rPr>
          <w:rFonts w:ascii="Arial" w:hAnsi="Arial" w:cs="Arial"/>
          <w:b/>
          <w:bCs/>
        </w:rPr>
      </w:pPr>
      <w:r>
        <w:rPr>
          <w:rFonts w:ascii="Arial" w:hAnsi="Arial" w:cs="Arial"/>
          <w:b/>
          <w:bCs/>
        </w:rPr>
        <w:t xml:space="preserve">Use </w:t>
      </w:r>
      <w:r w:rsidR="007154D8">
        <w:rPr>
          <w:rFonts w:ascii="Arial" w:hAnsi="Arial" w:cs="Arial"/>
          <w:b/>
          <w:bCs/>
        </w:rPr>
        <w:t xml:space="preserve">in cluster headache and melatonin-induced sleep EEG are both </w:t>
      </w:r>
      <w:r w:rsidR="00D62029">
        <w:rPr>
          <w:rFonts w:ascii="Arial" w:hAnsi="Arial" w:cs="Arial"/>
          <w:b/>
          <w:bCs/>
        </w:rPr>
        <w:t>classed as Red (secondary care use only).</w:t>
      </w:r>
    </w:p>
    <w:p w14:paraId="26A73280" w14:textId="77777777" w:rsidR="00196F02" w:rsidRDefault="00CB75EC">
      <w:pPr>
        <w:rPr>
          <w:rFonts w:ascii="Arial" w:hAnsi="Arial" w:cs="Arial"/>
          <w:b/>
          <w:bCs/>
        </w:rPr>
      </w:pPr>
      <w:r w:rsidRPr="00196F02">
        <w:rPr>
          <w:rFonts w:ascii="Arial" w:hAnsi="Arial" w:cs="Arial"/>
          <w:b/>
          <w:bCs/>
          <w:color w:val="002060"/>
        </w:rPr>
        <w:t>D</w:t>
      </w:r>
      <w:r w:rsidR="00196F02" w:rsidRPr="00196F02">
        <w:rPr>
          <w:rFonts w:ascii="Arial" w:hAnsi="Arial" w:cs="Arial"/>
          <w:b/>
          <w:bCs/>
          <w:color w:val="002060"/>
        </w:rPr>
        <w:t>rug Holidays</w:t>
      </w:r>
    </w:p>
    <w:p w14:paraId="6A17B93D" w14:textId="0099E108" w:rsidR="00FF6A78" w:rsidRDefault="004B5671" w:rsidP="004B5671">
      <w:pPr>
        <w:rPr>
          <w:rFonts w:ascii="Arial" w:hAnsi="Arial" w:cs="Arial"/>
        </w:rPr>
      </w:pPr>
      <w:r w:rsidRPr="004B5671">
        <w:rPr>
          <w:rFonts w:ascii="Arial" w:hAnsi="Arial" w:cs="Arial"/>
        </w:rPr>
        <w:t>All suitable patients should undergo a two-week drug holiday to assess their need for ongoing</w:t>
      </w:r>
      <w:r>
        <w:rPr>
          <w:rFonts w:ascii="Arial" w:hAnsi="Arial" w:cs="Arial"/>
        </w:rPr>
        <w:t xml:space="preserve"> </w:t>
      </w:r>
      <w:r w:rsidRPr="004B5671">
        <w:rPr>
          <w:rFonts w:ascii="Arial" w:hAnsi="Arial" w:cs="Arial"/>
        </w:rPr>
        <w:t>treatment. This should take place three months after the commencement of treatment and six</w:t>
      </w:r>
      <w:r>
        <w:rPr>
          <w:rFonts w:ascii="Arial" w:hAnsi="Arial" w:cs="Arial"/>
        </w:rPr>
        <w:t xml:space="preserve"> </w:t>
      </w:r>
      <w:r w:rsidRPr="004B5671">
        <w:rPr>
          <w:rFonts w:ascii="Arial" w:hAnsi="Arial" w:cs="Arial"/>
        </w:rPr>
        <w:t>monthly thereafter. If sleep improvements are maintained without melatonin, therapy should be</w:t>
      </w:r>
      <w:r>
        <w:rPr>
          <w:rFonts w:ascii="Arial" w:hAnsi="Arial" w:cs="Arial"/>
        </w:rPr>
        <w:t xml:space="preserve"> </w:t>
      </w:r>
      <w:r w:rsidRPr="004B5671">
        <w:rPr>
          <w:rFonts w:ascii="Arial" w:hAnsi="Arial" w:cs="Arial"/>
        </w:rPr>
        <w:t>stopped</w:t>
      </w:r>
      <w:r w:rsidR="00E5244D">
        <w:rPr>
          <w:rStyle w:val="FootnoteReference"/>
          <w:rFonts w:ascii="Arial" w:hAnsi="Arial" w:cs="Arial"/>
        </w:rPr>
        <w:footnoteReference w:id="2"/>
      </w:r>
      <w:r>
        <w:rPr>
          <w:rFonts w:ascii="Arial" w:hAnsi="Arial" w:cs="Arial"/>
        </w:rPr>
        <w:t>.</w:t>
      </w:r>
    </w:p>
    <w:p w14:paraId="73E69A1E" w14:textId="75BEF40C" w:rsidR="004A1594" w:rsidRDefault="004A1594" w:rsidP="004B5671">
      <w:pPr>
        <w:rPr>
          <w:rFonts w:ascii="Arial" w:hAnsi="Arial" w:cs="Arial"/>
        </w:rPr>
      </w:pPr>
      <w:r>
        <w:rPr>
          <w:rFonts w:ascii="Arial" w:hAnsi="Arial" w:cs="Arial"/>
          <w:b/>
          <w:bCs/>
          <w:color w:val="002060"/>
        </w:rPr>
        <w:t>Transition</w:t>
      </w:r>
    </w:p>
    <w:p w14:paraId="139CBFE2" w14:textId="23103B60" w:rsidR="00A96506" w:rsidRPr="00F616F2" w:rsidRDefault="00A96506" w:rsidP="00F616F2">
      <w:pPr>
        <w:rPr>
          <w:rFonts w:ascii="Arial" w:hAnsi="Arial" w:cs="Arial"/>
        </w:rPr>
      </w:pPr>
      <w:r w:rsidRPr="00F616F2">
        <w:rPr>
          <w:rFonts w:ascii="Arial" w:hAnsi="Arial" w:cs="Arial"/>
        </w:rPr>
        <w:t>For children and young people who are transitioning into adult services, melatonin prescriptions should be reviewed as per NICE guidance.</w:t>
      </w:r>
    </w:p>
    <w:p w14:paraId="7F7A0369" w14:textId="52421919" w:rsidR="00A96506" w:rsidRPr="00F616F2" w:rsidRDefault="00F616F2" w:rsidP="00F616F2">
      <w:pPr>
        <w:rPr>
          <w:rFonts w:ascii="Arial" w:hAnsi="Arial" w:cs="Arial"/>
        </w:rPr>
      </w:pPr>
      <w:hyperlink r:id="rId11">
        <w:r>
          <w:rPr>
            <w:rStyle w:val="Hyperlink"/>
            <w:rFonts w:ascii="Arial" w:hAnsi="Arial" w:cs="Arial"/>
          </w:rPr>
          <w:t>NICE guideline (NG87) Attention deficit hyperactivity disorder: diagnosis and management</w:t>
        </w:r>
      </w:hyperlink>
      <w:r w:rsidR="00A96506" w:rsidRPr="00F616F2">
        <w:rPr>
          <w:rFonts w:ascii="Arial" w:hAnsi="Arial" w:cs="Arial"/>
        </w:rPr>
        <w:t xml:space="preserve"> </w:t>
      </w:r>
      <w:r>
        <w:rPr>
          <w:rFonts w:ascii="Arial" w:hAnsi="Arial" w:cs="Arial"/>
        </w:rPr>
        <w:t xml:space="preserve">states: </w:t>
      </w:r>
      <w:r w:rsidR="00A96506" w:rsidRPr="00F616F2">
        <w:rPr>
          <w:rFonts w:ascii="Arial" w:hAnsi="Arial" w:cs="Arial"/>
        </w:rPr>
        <w:t xml:space="preserve">"A young person with ADHD receiving treatment and care from CAMHS or paediatric services should be reassessed at school-leaving age to establish the need for continuing treatment into adulthood. If treatment is necessary, arrangements should be made for a smooth transition to adult </w:t>
      </w:r>
      <w:r w:rsidR="00A96506" w:rsidRPr="00F616F2">
        <w:rPr>
          <w:rFonts w:ascii="Arial" w:hAnsi="Arial" w:cs="Arial"/>
        </w:rPr>
        <w:lastRenderedPageBreak/>
        <w:t>services with details of the anticipated treatment and services that the young person will require. Precise timing of arrangements may vary locally but should usually be completed by the time the young person is 18 years. See NICE's guideline on transition from children's to adults' services for young people using health or social care services. [2008, amended 2018]"</w:t>
      </w:r>
    </w:p>
    <w:p w14:paraId="752E60FA" w14:textId="77777777" w:rsidR="004A1594" w:rsidRPr="004A1594" w:rsidRDefault="004A1594" w:rsidP="004B5671">
      <w:pPr>
        <w:rPr>
          <w:rFonts w:ascii="Arial" w:hAnsi="Arial" w:cs="Arial"/>
        </w:rPr>
      </w:pPr>
    </w:p>
    <w:p w14:paraId="365C9E7E" w14:textId="4DC06CB8" w:rsidR="00CE6D5F" w:rsidRDefault="00CE6D5F" w:rsidP="004B5671">
      <w:pPr>
        <w:rPr>
          <w:rFonts w:ascii="Arial" w:hAnsi="Arial" w:cs="Arial"/>
          <w:b/>
          <w:bCs/>
        </w:rPr>
      </w:pPr>
      <w:r>
        <w:rPr>
          <w:rFonts w:ascii="Arial" w:hAnsi="Arial" w:cs="Arial"/>
          <w:b/>
          <w:bCs/>
        </w:rPr>
        <w:br w:type="page"/>
      </w:r>
    </w:p>
    <w:p w14:paraId="0CFE59FD" w14:textId="77777777" w:rsidR="008A4375" w:rsidRDefault="008A4375" w:rsidP="00446032">
      <w:pPr>
        <w:jc w:val="both"/>
        <w:rPr>
          <w:rFonts w:ascii="Arial" w:hAnsi="Arial" w:cs="Arial"/>
        </w:rPr>
      </w:pPr>
    </w:p>
    <w:tbl>
      <w:tblPr>
        <w:tblStyle w:val="TableGrid"/>
        <w:tblW w:w="5000" w:type="pct"/>
        <w:tblLook w:val="04A0" w:firstRow="1" w:lastRow="0" w:firstColumn="1" w:lastColumn="0" w:noHBand="0" w:noVBand="1"/>
      </w:tblPr>
      <w:tblGrid>
        <w:gridCol w:w="2703"/>
        <w:gridCol w:w="2932"/>
        <w:gridCol w:w="2907"/>
        <w:gridCol w:w="2703"/>
        <w:gridCol w:w="2703"/>
      </w:tblGrid>
      <w:tr w:rsidR="003422CF" w14:paraId="422AA6BC" w14:textId="77777777" w:rsidTr="003422CF">
        <w:tc>
          <w:tcPr>
            <w:tcW w:w="969" w:type="pct"/>
          </w:tcPr>
          <w:p w14:paraId="131803D3" w14:textId="5E11442D" w:rsidR="003422CF" w:rsidRDefault="003422CF" w:rsidP="00446032">
            <w:pPr>
              <w:jc w:val="both"/>
              <w:rPr>
                <w:rFonts w:ascii="Arial" w:hAnsi="Arial" w:cs="Arial"/>
              </w:rPr>
            </w:pPr>
            <w:r>
              <w:rPr>
                <w:rFonts w:ascii="Arial" w:hAnsi="Arial" w:cs="Arial"/>
              </w:rPr>
              <w:t>Indication</w:t>
            </w:r>
          </w:p>
        </w:tc>
        <w:tc>
          <w:tcPr>
            <w:tcW w:w="1051" w:type="pct"/>
          </w:tcPr>
          <w:p w14:paraId="1B577DD0" w14:textId="560850F5" w:rsidR="003422CF" w:rsidRDefault="003422CF" w:rsidP="00446032">
            <w:pPr>
              <w:jc w:val="both"/>
              <w:rPr>
                <w:rFonts w:ascii="Arial" w:hAnsi="Arial" w:cs="Arial"/>
              </w:rPr>
            </w:pPr>
            <w:r>
              <w:rPr>
                <w:rFonts w:ascii="Arial" w:hAnsi="Arial" w:cs="Arial"/>
              </w:rPr>
              <w:t>Formulary Classification</w:t>
            </w:r>
          </w:p>
        </w:tc>
        <w:tc>
          <w:tcPr>
            <w:tcW w:w="1042" w:type="pct"/>
          </w:tcPr>
          <w:p w14:paraId="068244F8" w14:textId="7934E509" w:rsidR="003422CF" w:rsidRDefault="003422CF" w:rsidP="00446032">
            <w:pPr>
              <w:jc w:val="both"/>
              <w:rPr>
                <w:rFonts w:ascii="Arial" w:hAnsi="Arial" w:cs="Arial"/>
              </w:rPr>
            </w:pPr>
            <w:r>
              <w:rPr>
                <w:rFonts w:ascii="Arial" w:hAnsi="Arial" w:cs="Arial"/>
              </w:rPr>
              <w:t>Pre-melatonin prescribing requirements</w:t>
            </w:r>
          </w:p>
        </w:tc>
        <w:tc>
          <w:tcPr>
            <w:tcW w:w="969" w:type="pct"/>
          </w:tcPr>
          <w:p w14:paraId="4E9C9E9B" w14:textId="15BDEEF2" w:rsidR="003422CF" w:rsidRDefault="003422CF" w:rsidP="00446032">
            <w:pPr>
              <w:jc w:val="both"/>
              <w:rPr>
                <w:rFonts w:ascii="Arial" w:hAnsi="Arial" w:cs="Arial"/>
              </w:rPr>
            </w:pPr>
            <w:r>
              <w:rPr>
                <w:rFonts w:ascii="Arial" w:hAnsi="Arial" w:cs="Arial"/>
              </w:rPr>
              <w:t>Monitoring frequency (efficacy)</w:t>
            </w:r>
          </w:p>
        </w:tc>
        <w:tc>
          <w:tcPr>
            <w:tcW w:w="969" w:type="pct"/>
          </w:tcPr>
          <w:p w14:paraId="10059B7C" w14:textId="652B34F4" w:rsidR="003422CF" w:rsidRDefault="003422CF" w:rsidP="00446032">
            <w:pPr>
              <w:jc w:val="both"/>
              <w:rPr>
                <w:rFonts w:ascii="Arial" w:hAnsi="Arial" w:cs="Arial"/>
              </w:rPr>
            </w:pPr>
            <w:r>
              <w:rPr>
                <w:rFonts w:ascii="Arial" w:hAnsi="Arial" w:cs="Arial"/>
              </w:rPr>
              <w:t>Duration of treatment</w:t>
            </w:r>
          </w:p>
        </w:tc>
      </w:tr>
      <w:tr w:rsidR="003422CF" w14:paraId="2A9F14CA" w14:textId="77777777" w:rsidTr="003422CF">
        <w:tc>
          <w:tcPr>
            <w:tcW w:w="969" w:type="pct"/>
          </w:tcPr>
          <w:p w14:paraId="794B4718" w14:textId="4FEA33F9" w:rsidR="003422CF" w:rsidRDefault="003422CF" w:rsidP="00446032">
            <w:pPr>
              <w:jc w:val="both"/>
              <w:rPr>
                <w:rFonts w:ascii="Arial" w:hAnsi="Arial" w:cs="Arial"/>
              </w:rPr>
            </w:pPr>
            <w:r>
              <w:rPr>
                <w:rFonts w:ascii="Arial" w:hAnsi="Arial" w:cs="Arial"/>
              </w:rPr>
              <w:t>Insomnia disorder (for adults aged 55 years and over)</w:t>
            </w:r>
          </w:p>
        </w:tc>
        <w:tc>
          <w:tcPr>
            <w:tcW w:w="1051" w:type="pct"/>
            <w:shd w:val="clear" w:color="auto" w:fill="92D050"/>
          </w:tcPr>
          <w:p w14:paraId="57F36AE3" w14:textId="0570FF52" w:rsidR="003422CF" w:rsidRDefault="003422CF" w:rsidP="00446032">
            <w:pPr>
              <w:jc w:val="both"/>
              <w:rPr>
                <w:rFonts w:ascii="Arial" w:hAnsi="Arial" w:cs="Arial"/>
              </w:rPr>
            </w:pPr>
            <w:r>
              <w:rPr>
                <w:rFonts w:ascii="Arial" w:hAnsi="Arial" w:cs="Arial"/>
              </w:rPr>
              <w:t xml:space="preserve">Green with pathway - </w:t>
            </w:r>
            <w:hyperlink r:id="rId12" w:history="1">
              <w:r>
                <w:rPr>
                  <w:rStyle w:val="Hyperlink"/>
                  <w:rFonts w:ascii="Arial" w:hAnsi="Arial" w:cs="Arial"/>
                </w:rPr>
                <w:t xml:space="preserve">Managing insomnia </w:t>
              </w:r>
            </w:hyperlink>
            <w:r>
              <w:rPr>
                <w:rFonts w:ascii="Arial" w:hAnsi="Arial" w:cs="Arial"/>
              </w:rPr>
              <w:t xml:space="preserve"> (after sleep hygiene measures have been tried and following Cognitive Behavioural Therapy (CBT) or a trial of a sleep app e.g. Sleepio (NICE MTG70, May 2022) where available</w:t>
            </w:r>
          </w:p>
        </w:tc>
        <w:tc>
          <w:tcPr>
            <w:tcW w:w="1042" w:type="pct"/>
          </w:tcPr>
          <w:p w14:paraId="30587A61" w14:textId="6C384EFB" w:rsidR="003422CF" w:rsidRDefault="003422CF" w:rsidP="00446032">
            <w:pPr>
              <w:jc w:val="both"/>
              <w:rPr>
                <w:rFonts w:ascii="Arial" w:hAnsi="Arial" w:cs="Arial"/>
              </w:rPr>
            </w:pPr>
            <w:r>
              <w:rPr>
                <w:rFonts w:ascii="Arial" w:hAnsi="Arial" w:cs="Arial"/>
              </w:rPr>
              <w:t>Basic sleep hygiene</w:t>
            </w:r>
          </w:p>
        </w:tc>
        <w:tc>
          <w:tcPr>
            <w:tcW w:w="969" w:type="pct"/>
          </w:tcPr>
          <w:p w14:paraId="4D5BB500" w14:textId="65E327D4" w:rsidR="003422CF" w:rsidRDefault="003422CF" w:rsidP="00446032">
            <w:pPr>
              <w:jc w:val="both"/>
              <w:rPr>
                <w:rFonts w:ascii="Arial" w:hAnsi="Arial" w:cs="Arial"/>
              </w:rPr>
            </w:pPr>
            <w:r>
              <w:rPr>
                <w:rFonts w:ascii="Arial" w:hAnsi="Arial" w:cs="Arial"/>
              </w:rPr>
              <w:t>A review is suggested after 1- 2 weeks to ensure a total of 13 weeks will be needed</w:t>
            </w:r>
          </w:p>
        </w:tc>
        <w:tc>
          <w:tcPr>
            <w:tcW w:w="969" w:type="pct"/>
          </w:tcPr>
          <w:p w14:paraId="572B13AF" w14:textId="3DC62329" w:rsidR="003422CF" w:rsidRDefault="003422CF" w:rsidP="00446032">
            <w:pPr>
              <w:jc w:val="both"/>
              <w:rPr>
                <w:rFonts w:ascii="Arial" w:hAnsi="Arial" w:cs="Arial"/>
              </w:rPr>
            </w:pPr>
            <w:r>
              <w:rPr>
                <w:rFonts w:ascii="Arial" w:hAnsi="Arial" w:cs="Arial"/>
              </w:rPr>
              <w:t>Maximum of 13 weeks</w:t>
            </w:r>
          </w:p>
        </w:tc>
      </w:tr>
      <w:tr w:rsidR="003422CF" w14:paraId="4CD4F2C6" w14:textId="77777777" w:rsidTr="003422CF">
        <w:tc>
          <w:tcPr>
            <w:tcW w:w="969" w:type="pct"/>
          </w:tcPr>
          <w:p w14:paraId="33ED58A8" w14:textId="36302B7F" w:rsidR="003422CF" w:rsidRDefault="003422CF" w:rsidP="00446032">
            <w:pPr>
              <w:jc w:val="both"/>
              <w:rPr>
                <w:rFonts w:ascii="Arial" w:hAnsi="Arial" w:cs="Arial"/>
              </w:rPr>
            </w:pPr>
            <w:r w:rsidRPr="00E85792">
              <w:rPr>
                <w:rFonts w:ascii="Arial" w:hAnsi="Arial" w:cs="Arial"/>
              </w:rPr>
              <w:t>Sleep disorders and Attention Hyperactivity Disorder (ADHD)</w:t>
            </w:r>
            <w:r>
              <w:rPr>
                <w:rFonts w:ascii="Arial" w:hAnsi="Arial" w:cs="Arial"/>
              </w:rPr>
              <w:t xml:space="preserve"> – children aged 6 to 17 years </w:t>
            </w:r>
          </w:p>
        </w:tc>
        <w:tc>
          <w:tcPr>
            <w:tcW w:w="1051" w:type="pct"/>
            <w:shd w:val="clear" w:color="auto" w:fill="FFC000"/>
          </w:tcPr>
          <w:p w14:paraId="336F059D" w14:textId="18EB805A" w:rsidR="003422CF" w:rsidRDefault="003422CF" w:rsidP="00446032">
            <w:pPr>
              <w:jc w:val="both"/>
              <w:rPr>
                <w:rFonts w:ascii="Arial" w:hAnsi="Arial" w:cs="Arial"/>
              </w:rPr>
            </w:pPr>
            <w:r>
              <w:rPr>
                <w:rFonts w:ascii="Arial" w:hAnsi="Arial" w:cs="Arial"/>
              </w:rPr>
              <w:t>Amber specialist initiation</w:t>
            </w:r>
          </w:p>
        </w:tc>
        <w:tc>
          <w:tcPr>
            <w:tcW w:w="1042" w:type="pct"/>
          </w:tcPr>
          <w:p w14:paraId="4537370B" w14:textId="740ED02F" w:rsidR="003422CF" w:rsidRDefault="003422CF" w:rsidP="00446032">
            <w:pPr>
              <w:jc w:val="both"/>
              <w:rPr>
                <w:rFonts w:ascii="Arial" w:hAnsi="Arial" w:cs="Arial"/>
              </w:rPr>
            </w:pPr>
            <w:r>
              <w:rPr>
                <w:rFonts w:ascii="Arial" w:hAnsi="Arial" w:cs="Arial"/>
              </w:rPr>
              <w:t>Sleep hygiene measures</w:t>
            </w:r>
          </w:p>
        </w:tc>
        <w:tc>
          <w:tcPr>
            <w:tcW w:w="969" w:type="pct"/>
          </w:tcPr>
          <w:p w14:paraId="7247871F" w14:textId="4AB79271" w:rsidR="003422CF" w:rsidRDefault="003422CF" w:rsidP="00446032">
            <w:pPr>
              <w:jc w:val="both"/>
              <w:rPr>
                <w:rFonts w:ascii="Arial" w:hAnsi="Arial" w:cs="Arial"/>
              </w:rPr>
            </w:pPr>
            <w:r>
              <w:rPr>
                <w:rFonts w:ascii="Arial" w:hAnsi="Arial" w:cs="Arial"/>
              </w:rPr>
              <w:t>Efficacy should be assessed after at least 3 months of treatment</w:t>
            </w:r>
            <w:r w:rsidR="00F32331">
              <w:rPr>
                <w:rFonts w:ascii="Arial" w:hAnsi="Arial" w:cs="Arial"/>
              </w:rPr>
              <w:t xml:space="preserve"> (prior to transfer to primary care)</w:t>
            </w:r>
            <w:r>
              <w:rPr>
                <w:rFonts w:ascii="Arial" w:hAnsi="Arial" w:cs="Arial"/>
              </w:rPr>
              <w:t xml:space="preserve"> and every 6 months thereafter </w:t>
            </w:r>
          </w:p>
        </w:tc>
        <w:tc>
          <w:tcPr>
            <w:tcW w:w="969" w:type="pct"/>
          </w:tcPr>
          <w:p w14:paraId="4E69D31E" w14:textId="4EED0BE3" w:rsidR="003422CF" w:rsidRDefault="003422CF" w:rsidP="00446032">
            <w:pPr>
              <w:jc w:val="both"/>
              <w:rPr>
                <w:rFonts w:ascii="Arial" w:hAnsi="Arial" w:cs="Arial"/>
              </w:rPr>
            </w:pPr>
            <w:r>
              <w:rPr>
                <w:rFonts w:ascii="Arial" w:hAnsi="Arial" w:cs="Arial"/>
              </w:rPr>
              <w:t>As advised by specialist. During treatment, especially if the treatment effect is uncertain, discontinuation attempts should be made regularly e.g. at least annually</w:t>
            </w:r>
            <w:r w:rsidR="00603A7E">
              <w:rPr>
                <w:rFonts w:ascii="Arial" w:hAnsi="Arial" w:cs="Arial"/>
              </w:rPr>
              <w:t xml:space="preserve">. </w:t>
            </w:r>
            <w:r w:rsidR="00781D34">
              <w:rPr>
                <w:rFonts w:ascii="Arial" w:hAnsi="Arial" w:cs="Arial"/>
              </w:rPr>
              <w:t xml:space="preserve">Should be discontinued </w:t>
            </w:r>
            <w:r w:rsidR="009564A9">
              <w:rPr>
                <w:rFonts w:ascii="Arial" w:hAnsi="Arial" w:cs="Arial"/>
              </w:rPr>
              <w:t>prior to transfer to adult services</w:t>
            </w:r>
          </w:p>
        </w:tc>
      </w:tr>
      <w:tr w:rsidR="003422CF" w14:paraId="4C3C9F36" w14:textId="77777777" w:rsidTr="003422CF">
        <w:tc>
          <w:tcPr>
            <w:tcW w:w="969" w:type="pct"/>
          </w:tcPr>
          <w:p w14:paraId="20727DB5" w14:textId="416A9B12" w:rsidR="003422CF" w:rsidRDefault="003422CF" w:rsidP="00446032">
            <w:pPr>
              <w:jc w:val="both"/>
              <w:rPr>
                <w:rFonts w:ascii="Arial" w:hAnsi="Arial" w:cs="Arial"/>
              </w:rPr>
            </w:pPr>
            <w:r>
              <w:rPr>
                <w:rFonts w:ascii="Arial" w:hAnsi="Arial" w:cs="Arial"/>
              </w:rPr>
              <w:t>Autism Spectrum Disorder – children aged 2 to 18 years</w:t>
            </w:r>
          </w:p>
        </w:tc>
        <w:tc>
          <w:tcPr>
            <w:tcW w:w="1051" w:type="pct"/>
            <w:shd w:val="clear" w:color="auto" w:fill="FFC000"/>
          </w:tcPr>
          <w:p w14:paraId="634D522F" w14:textId="1613D33B" w:rsidR="003422CF" w:rsidRDefault="003422CF" w:rsidP="00446032">
            <w:pPr>
              <w:jc w:val="both"/>
              <w:rPr>
                <w:rFonts w:ascii="Arial" w:hAnsi="Arial" w:cs="Arial"/>
              </w:rPr>
            </w:pPr>
            <w:r>
              <w:rPr>
                <w:rFonts w:ascii="Arial" w:hAnsi="Arial" w:cs="Arial"/>
              </w:rPr>
              <w:t>Amber Specialist Initiation</w:t>
            </w:r>
          </w:p>
        </w:tc>
        <w:tc>
          <w:tcPr>
            <w:tcW w:w="1042" w:type="pct"/>
          </w:tcPr>
          <w:p w14:paraId="2856AF37" w14:textId="39111FA9" w:rsidR="003422CF" w:rsidRDefault="003422CF" w:rsidP="00446032">
            <w:pPr>
              <w:jc w:val="both"/>
              <w:rPr>
                <w:rFonts w:ascii="Arial" w:hAnsi="Arial" w:cs="Arial"/>
              </w:rPr>
            </w:pPr>
            <w:r>
              <w:rPr>
                <w:rFonts w:ascii="Arial" w:hAnsi="Arial" w:cs="Arial"/>
              </w:rPr>
              <w:t>Sleep hygiene measures</w:t>
            </w:r>
          </w:p>
        </w:tc>
        <w:tc>
          <w:tcPr>
            <w:tcW w:w="969" w:type="pct"/>
          </w:tcPr>
          <w:p w14:paraId="208C982A" w14:textId="4826E6F0" w:rsidR="003422CF" w:rsidRDefault="003422CF" w:rsidP="00446032">
            <w:pPr>
              <w:jc w:val="both"/>
              <w:rPr>
                <w:rFonts w:ascii="Arial" w:hAnsi="Arial" w:cs="Arial"/>
              </w:rPr>
            </w:pPr>
            <w:r>
              <w:rPr>
                <w:rFonts w:ascii="Arial" w:hAnsi="Arial" w:cs="Arial"/>
              </w:rPr>
              <w:t>Efficacy should be assessed after at least 3 months of treatment</w:t>
            </w:r>
            <w:r w:rsidR="00F32331">
              <w:rPr>
                <w:rFonts w:ascii="Arial" w:hAnsi="Arial" w:cs="Arial"/>
              </w:rPr>
              <w:t xml:space="preserve"> (prior to transfer to primary care)</w:t>
            </w:r>
            <w:r>
              <w:rPr>
                <w:rFonts w:ascii="Arial" w:hAnsi="Arial" w:cs="Arial"/>
              </w:rPr>
              <w:t xml:space="preserve"> and regularly thereafter </w:t>
            </w:r>
          </w:p>
        </w:tc>
        <w:tc>
          <w:tcPr>
            <w:tcW w:w="969" w:type="pct"/>
          </w:tcPr>
          <w:p w14:paraId="0894B6FC" w14:textId="7CA10DA9" w:rsidR="003422CF" w:rsidRDefault="003422CF" w:rsidP="00446032">
            <w:pPr>
              <w:jc w:val="both"/>
              <w:rPr>
                <w:rFonts w:ascii="Arial" w:hAnsi="Arial" w:cs="Arial"/>
              </w:rPr>
            </w:pPr>
            <w:r>
              <w:rPr>
                <w:rFonts w:ascii="Arial" w:hAnsi="Arial" w:cs="Arial"/>
              </w:rPr>
              <w:t xml:space="preserve">As advised by specialist. During treatment, regularly review ongoing need for a pharmacological intervention and ensure </w:t>
            </w:r>
            <w:r>
              <w:rPr>
                <w:rFonts w:ascii="Arial" w:hAnsi="Arial" w:cs="Arial"/>
              </w:rPr>
              <w:lastRenderedPageBreak/>
              <w:t>benefits continue to outweigh risks</w:t>
            </w:r>
            <w:r w:rsidR="009564A9">
              <w:rPr>
                <w:rFonts w:ascii="Arial" w:hAnsi="Arial" w:cs="Arial"/>
              </w:rPr>
              <w:t>. Should be discontinued prior to transfer to adult services</w:t>
            </w:r>
          </w:p>
        </w:tc>
      </w:tr>
      <w:tr w:rsidR="003422CF" w14:paraId="263EDE2F" w14:textId="77777777" w:rsidTr="003422CF">
        <w:tc>
          <w:tcPr>
            <w:tcW w:w="969" w:type="pct"/>
          </w:tcPr>
          <w:p w14:paraId="4F7CDE4B" w14:textId="77777777" w:rsidR="003422CF" w:rsidRDefault="003422CF" w:rsidP="003C5E05">
            <w:pPr>
              <w:jc w:val="both"/>
              <w:rPr>
                <w:rFonts w:ascii="Arial" w:hAnsi="Arial" w:cs="Arial"/>
              </w:rPr>
            </w:pPr>
            <w:r w:rsidRPr="005D24DE">
              <w:rPr>
                <w:rFonts w:ascii="Arial" w:hAnsi="Arial" w:cs="Arial"/>
              </w:rPr>
              <w:lastRenderedPageBreak/>
              <w:t>Cerebral Palsy – under 25 years of age</w:t>
            </w:r>
          </w:p>
          <w:p w14:paraId="4CB4C743" w14:textId="4C3ADD43" w:rsidR="003422CF" w:rsidRDefault="00AE4933" w:rsidP="003C5E05">
            <w:pPr>
              <w:jc w:val="both"/>
              <w:rPr>
                <w:rFonts w:ascii="Arial" w:hAnsi="Arial" w:cs="Arial"/>
              </w:rPr>
            </w:pPr>
            <w:r>
              <w:rPr>
                <w:rFonts w:ascii="Arial" w:hAnsi="Arial" w:cs="Arial"/>
              </w:rPr>
              <w:t>(Off-label use)</w:t>
            </w:r>
          </w:p>
        </w:tc>
        <w:tc>
          <w:tcPr>
            <w:tcW w:w="1051" w:type="pct"/>
            <w:shd w:val="clear" w:color="auto" w:fill="FFC000"/>
          </w:tcPr>
          <w:p w14:paraId="4E4D3DB7" w14:textId="75D5010E" w:rsidR="003422CF" w:rsidRDefault="003422CF" w:rsidP="003C5E05">
            <w:pPr>
              <w:jc w:val="both"/>
              <w:rPr>
                <w:rFonts w:ascii="Arial" w:hAnsi="Arial" w:cs="Arial"/>
              </w:rPr>
            </w:pPr>
            <w:r>
              <w:rPr>
                <w:rFonts w:ascii="Arial" w:hAnsi="Arial" w:cs="Arial"/>
              </w:rPr>
              <w:t>Amber Specialist Initiation</w:t>
            </w:r>
          </w:p>
        </w:tc>
        <w:tc>
          <w:tcPr>
            <w:tcW w:w="1042" w:type="pct"/>
          </w:tcPr>
          <w:p w14:paraId="0445704C" w14:textId="1A02FDFD" w:rsidR="003422CF" w:rsidRDefault="003422CF" w:rsidP="003C5E05">
            <w:pPr>
              <w:jc w:val="both"/>
              <w:rPr>
                <w:rFonts w:ascii="Arial" w:hAnsi="Arial" w:cs="Arial"/>
              </w:rPr>
            </w:pPr>
            <w:r>
              <w:rPr>
                <w:rFonts w:ascii="Arial" w:hAnsi="Arial" w:cs="Arial"/>
              </w:rPr>
              <w:t>Exclude treatable causes for sleep disturbance, sleep hygiene measures</w:t>
            </w:r>
          </w:p>
        </w:tc>
        <w:tc>
          <w:tcPr>
            <w:tcW w:w="969" w:type="pct"/>
          </w:tcPr>
          <w:p w14:paraId="76F1CCC7" w14:textId="2E055F5E" w:rsidR="003422CF" w:rsidRDefault="003422CF" w:rsidP="003C5E05">
            <w:pPr>
              <w:jc w:val="both"/>
              <w:rPr>
                <w:rFonts w:ascii="Arial" w:hAnsi="Arial" w:cs="Arial"/>
              </w:rPr>
            </w:pPr>
            <w:r>
              <w:rPr>
                <w:rFonts w:ascii="Arial" w:hAnsi="Arial" w:cs="Arial"/>
              </w:rPr>
              <w:t>Efficacy should be assessed after at least 3 months (prior to transfer to primary care)</w:t>
            </w:r>
          </w:p>
        </w:tc>
        <w:tc>
          <w:tcPr>
            <w:tcW w:w="969" w:type="pct"/>
          </w:tcPr>
          <w:p w14:paraId="6DF68AFC" w14:textId="1088D74A" w:rsidR="003422CF" w:rsidRDefault="003422CF" w:rsidP="003C5E05">
            <w:pPr>
              <w:jc w:val="both"/>
              <w:rPr>
                <w:rFonts w:ascii="Arial" w:hAnsi="Arial" w:cs="Arial"/>
              </w:rPr>
            </w:pPr>
            <w:r>
              <w:rPr>
                <w:rFonts w:ascii="Arial" w:hAnsi="Arial" w:cs="Arial"/>
              </w:rPr>
              <w:t>As advised by specialist.</w:t>
            </w:r>
          </w:p>
        </w:tc>
      </w:tr>
      <w:tr w:rsidR="003422CF" w14:paraId="6245DD6F" w14:textId="77777777" w:rsidTr="003422CF">
        <w:tc>
          <w:tcPr>
            <w:tcW w:w="969" w:type="pct"/>
          </w:tcPr>
          <w:p w14:paraId="482BC2F3" w14:textId="77777777" w:rsidR="003422CF" w:rsidRDefault="00742856" w:rsidP="00023CE2">
            <w:pPr>
              <w:jc w:val="both"/>
              <w:rPr>
                <w:rFonts w:ascii="Arial" w:hAnsi="Arial" w:cs="Arial"/>
              </w:rPr>
            </w:pPr>
            <w:r>
              <w:rPr>
                <w:rFonts w:ascii="Arial" w:hAnsi="Arial" w:cs="Arial"/>
              </w:rPr>
              <w:t xml:space="preserve">Sleep conditions in those with </w:t>
            </w:r>
            <w:r w:rsidR="003422CF" w:rsidRPr="005A223F">
              <w:rPr>
                <w:rFonts w:ascii="Arial" w:hAnsi="Arial" w:cs="Arial"/>
              </w:rPr>
              <w:t>Challenging behaviour and learning disabilities</w:t>
            </w:r>
          </w:p>
          <w:p w14:paraId="54DE75A2" w14:textId="08945988" w:rsidR="003422CF" w:rsidRDefault="00AE4933" w:rsidP="00023CE2">
            <w:pPr>
              <w:jc w:val="both"/>
              <w:rPr>
                <w:rFonts w:ascii="Arial" w:hAnsi="Arial" w:cs="Arial"/>
              </w:rPr>
            </w:pPr>
            <w:r>
              <w:rPr>
                <w:rFonts w:ascii="Arial" w:hAnsi="Arial" w:cs="Arial"/>
              </w:rPr>
              <w:t>(Off-label use)</w:t>
            </w:r>
          </w:p>
        </w:tc>
        <w:tc>
          <w:tcPr>
            <w:tcW w:w="1051" w:type="pct"/>
            <w:shd w:val="clear" w:color="auto" w:fill="FFC000"/>
          </w:tcPr>
          <w:p w14:paraId="7553A968" w14:textId="143B42CF" w:rsidR="003422CF" w:rsidRDefault="003422CF" w:rsidP="00023CE2">
            <w:pPr>
              <w:jc w:val="both"/>
              <w:rPr>
                <w:rFonts w:ascii="Arial" w:hAnsi="Arial" w:cs="Arial"/>
              </w:rPr>
            </w:pPr>
            <w:r>
              <w:rPr>
                <w:rFonts w:ascii="Arial" w:hAnsi="Arial" w:cs="Arial"/>
              </w:rPr>
              <w:t>Amber Specialist Initiation</w:t>
            </w:r>
          </w:p>
        </w:tc>
        <w:tc>
          <w:tcPr>
            <w:tcW w:w="1042" w:type="pct"/>
          </w:tcPr>
          <w:p w14:paraId="2596E7A7" w14:textId="54D54DD3" w:rsidR="003422CF" w:rsidRDefault="003422CF" w:rsidP="00023CE2">
            <w:pPr>
              <w:jc w:val="both"/>
              <w:rPr>
                <w:rFonts w:ascii="Arial" w:hAnsi="Arial" w:cs="Arial"/>
              </w:rPr>
            </w:pPr>
            <w:r>
              <w:rPr>
                <w:rFonts w:ascii="Arial" w:hAnsi="Arial" w:cs="Arial"/>
              </w:rPr>
              <w:t>Sleep hygiene measures and behavioural interventions</w:t>
            </w:r>
          </w:p>
        </w:tc>
        <w:tc>
          <w:tcPr>
            <w:tcW w:w="969" w:type="pct"/>
          </w:tcPr>
          <w:p w14:paraId="2941C8A9" w14:textId="692FDADD" w:rsidR="003422CF" w:rsidRDefault="003422CF" w:rsidP="00023CE2">
            <w:pPr>
              <w:jc w:val="both"/>
              <w:rPr>
                <w:rFonts w:ascii="Arial" w:hAnsi="Arial" w:cs="Arial"/>
              </w:rPr>
            </w:pPr>
            <w:r>
              <w:rPr>
                <w:rFonts w:ascii="Arial" w:hAnsi="Arial" w:cs="Arial"/>
              </w:rPr>
              <w:t>Efficacy should be assessed after at least 3 months (prior to transfer to primary care)</w:t>
            </w:r>
          </w:p>
        </w:tc>
        <w:tc>
          <w:tcPr>
            <w:tcW w:w="969" w:type="pct"/>
          </w:tcPr>
          <w:p w14:paraId="4F469819" w14:textId="6CB7F52B" w:rsidR="003422CF" w:rsidRDefault="003422CF" w:rsidP="00023CE2">
            <w:pPr>
              <w:jc w:val="both"/>
              <w:rPr>
                <w:rFonts w:ascii="Arial" w:hAnsi="Arial" w:cs="Arial"/>
              </w:rPr>
            </w:pPr>
            <w:r>
              <w:rPr>
                <w:rFonts w:ascii="Arial" w:hAnsi="Arial" w:cs="Arial"/>
              </w:rPr>
              <w:t>As advised by specialist. During treatment, regularly review ongoing need for a pharmacological intervention and ensure benefits continue to outweigh risks</w:t>
            </w:r>
          </w:p>
        </w:tc>
      </w:tr>
      <w:tr w:rsidR="003422CF" w14:paraId="5BDE5593" w14:textId="77777777" w:rsidTr="003422CF">
        <w:tc>
          <w:tcPr>
            <w:tcW w:w="969" w:type="pct"/>
          </w:tcPr>
          <w:p w14:paraId="2D0AF624" w14:textId="77777777" w:rsidR="003422CF" w:rsidRDefault="003422CF" w:rsidP="00023CE2">
            <w:pPr>
              <w:jc w:val="both"/>
              <w:rPr>
                <w:rFonts w:ascii="Arial" w:hAnsi="Arial" w:cs="Arial"/>
              </w:rPr>
            </w:pPr>
            <w:r w:rsidRPr="005A223F">
              <w:rPr>
                <w:rFonts w:ascii="Arial" w:hAnsi="Arial" w:cs="Arial"/>
              </w:rPr>
              <w:t>Refractory rapid eye moving (REM) sleep behaviour disorder in adults with Parkinson's Disease</w:t>
            </w:r>
            <w:r>
              <w:rPr>
                <w:rFonts w:ascii="Arial" w:hAnsi="Arial" w:cs="Arial"/>
              </w:rPr>
              <w:t xml:space="preserve"> / </w:t>
            </w:r>
            <w:r w:rsidRPr="00D62029">
              <w:rPr>
                <w:rFonts w:ascii="Arial" w:hAnsi="Arial" w:cs="Arial"/>
              </w:rPr>
              <w:t>Lewy Body Dementia</w:t>
            </w:r>
          </w:p>
          <w:p w14:paraId="693C2520" w14:textId="50131F87" w:rsidR="003422CF" w:rsidRPr="005A223F" w:rsidRDefault="00AE4933" w:rsidP="00023CE2">
            <w:pPr>
              <w:jc w:val="both"/>
              <w:rPr>
                <w:rFonts w:ascii="Arial" w:hAnsi="Arial" w:cs="Arial"/>
              </w:rPr>
            </w:pPr>
            <w:r>
              <w:rPr>
                <w:rFonts w:ascii="Arial" w:hAnsi="Arial" w:cs="Arial"/>
              </w:rPr>
              <w:t>(Off-label use)</w:t>
            </w:r>
          </w:p>
        </w:tc>
        <w:tc>
          <w:tcPr>
            <w:tcW w:w="1051" w:type="pct"/>
            <w:shd w:val="clear" w:color="auto" w:fill="FFC000"/>
          </w:tcPr>
          <w:p w14:paraId="43692C91" w14:textId="5A8034CC" w:rsidR="003422CF" w:rsidRDefault="003422CF" w:rsidP="00023CE2">
            <w:pPr>
              <w:jc w:val="both"/>
              <w:rPr>
                <w:rFonts w:ascii="Arial" w:hAnsi="Arial" w:cs="Arial"/>
              </w:rPr>
            </w:pPr>
            <w:r>
              <w:rPr>
                <w:rFonts w:ascii="Arial" w:hAnsi="Arial" w:cs="Arial"/>
              </w:rPr>
              <w:t>Amber Specialist Initiation</w:t>
            </w:r>
          </w:p>
        </w:tc>
        <w:tc>
          <w:tcPr>
            <w:tcW w:w="1042" w:type="pct"/>
          </w:tcPr>
          <w:p w14:paraId="34DF9EC1" w14:textId="7BA63240" w:rsidR="003422CF" w:rsidRDefault="003422CF" w:rsidP="00023CE2">
            <w:pPr>
              <w:jc w:val="both"/>
              <w:rPr>
                <w:rFonts w:ascii="Arial" w:hAnsi="Arial" w:cs="Arial"/>
              </w:rPr>
            </w:pPr>
            <w:r>
              <w:rPr>
                <w:rFonts w:ascii="Arial" w:hAnsi="Arial" w:cs="Arial"/>
              </w:rPr>
              <w:t>Exclude possible pharmacological causes, sleep hygiene measures</w:t>
            </w:r>
          </w:p>
        </w:tc>
        <w:tc>
          <w:tcPr>
            <w:tcW w:w="969" w:type="pct"/>
          </w:tcPr>
          <w:p w14:paraId="01DA110F" w14:textId="270B2F00" w:rsidR="003422CF" w:rsidRDefault="003422CF" w:rsidP="00023CE2">
            <w:pPr>
              <w:jc w:val="both"/>
              <w:rPr>
                <w:rFonts w:ascii="Arial" w:hAnsi="Arial" w:cs="Arial"/>
              </w:rPr>
            </w:pPr>
            <w:r>
              <w:rPr>
                <w:rFonts w:ascii="Arial" w:hAnsi="Arial" w:cs="Arial"/>
              </w:rPr>
              <w:t>Efficacy should be assessed after at least 3 months (prior to transfer to primary care)</w:t>
            </w:r>
          </w:p>
        </w:tc>
        <w:tc>
          <w:tcPr>
            <w:tcW w:w="969" w:type="pct"/>
          </w:tcPr>
          <w:p w14:paraId="46E1B4B5" w14:textId="684550CE" w:rsidR="003422CF" w:rsidRDefault="003422CF" w:rsidP="00023CE2">
            <w:pPr>
              <w:jc w:val="both"/>
              <w:rPr>
                <w:rFonts w:ascii="Arial" w:hAnsi="Arial" w:cs="Arial"/>
              </w:rPr>
            </w:pPr>
            <w:r>
              <w:rPr>
                <w:rFonts w:ascii="Arial" w:hAnsi="Arial" w:cs="Arial"/>
              </w:rPr>
              <w:t>As advised by specialist.</w:t>
            </w:r>
          </w:p>
        </w:tc>
      </w:tr>
    </w:tbl>
    <w:p w14:paraId="725E2DE7" w14:textId="3EEF8300" w:rsidR="007C277A" w:rsidRDefault="007C277A" w:rsidP="00446032">
      <w:pPr>
        <w:jc w:val="both"/>
        <w:rPr>
          <w:rFonts w:ascii="Arial" w:hAnsi="Arial" w:cs="Arial"/>
        </w:rPr>
      </w:pPr>
    </w:p>
    <w:p w14:paraId="3B19765B" w14:textId="77777777" w:rsidR="00286206" w:rsidRDefault="00286206">
      <w:pPr>
        <w:rPr>
          <w:rFonts w:ascii="Arial" w:hAnsi="Arial" w:cs="Arial"/>
          <w:b/>
          <w:bCs/>
          <w:color w:val="002060"/>
        </w:rPr>
      </w:pPr>
      <w:r>
        <w:rPr>
          <w:rFonts w:ascii="Arial" w:hAnsi="Arial" w:cs="Arial"/>
          <w:b/>
          <w:bCs/>
          <w:color w:val="002060"/>
        </w:rPr>
        <w:br w:type="page"/>
      </w:r>
    </w:p>
    <w:p w14:paraId="1C3E5EAA" w14:textId="77777777" w:rsidR="00286206" w:rsidRDefault="00286206" w:rsidP="00446032">
      <w:pPr>
        <w:jc w:val="both"/>
        <w:rPr>
          <w:rFonts w:ascii="Arial" w:hAnsi="Arial" w:cs="Arial"/>
          <w:b/>
          <w:bCs/>
          <w:color w:val="002060"/>
        </w:rPr>
      </w:pPr>
    </w:p>
    <w:p w14:paraId="2DDFE737" w14:textId="5ADE465E" w:rsidR="00C16126" w:rsidRDefault="00C16126" w:rsidP="00446032">
      <w:pPr>
        <w:jc w:val="both"/>
        <w:rPr>
          <w:rFonts w:ascii="Arial" w:hAnsi="Arial" w:cs="Arial"/>
          <w:b/>
          <w:bCs/>
          <w:color w:val="002060"/>
        </w:rPr>
      </w:pPr>
      <w:r w:rsidRPr="00C16126">
        <w:rPr>
          <w:rFonts w:ascii="Arial" w:hAnsi="Arial" w:cs="Arial"/>
          <w:b/>
          <w:bCs/>
          <w:color w:val="002060"/>
        </w:rPr>
        <w:t>Product Choice</w:t>
      </w:r>
    </w:p>
    <w:tbl>
      <w:tblPr>
        <w:tblStyle w:val="TableGrid"/>
        <w:tblW w:w="5000" w:type="pct"/>
        <w:tblLook w:val="04A0" w:firstRow="1" w:lastRow="0" w:firstColumn="1" w:lastColumn="0" w:noHBand="0" w:noVBand="1"/>
      </w:tblPr>
      <w:tblGrid>
        <w:gridCol w:w="5694"/>
        <w:gridCol w:w="8254"/>
      </w:tblGrid>
      <w:tr w:rsidR="00680D3E" w:rsidRPr="00E64AF1" w14:paraId="6A467F06" w14:textId="77777777" w:rsidTr="00680D3E">
        <w:tc>
          <w:tcPr>
            <w:tcW w:w="2041" w:type="pct"/>
          </w:tcPr>
          <w:p w14:paraId="481BDBDF" w14:textId="742B9E47" w:rsidR="00680D3E" w:rsidRPr="00E64AF1" w:rsidRDefault="00680D3E">
            <w:pPr>
              <w:spacing w:line="278" w:lineRule="auto"/>
              <w:rPr>
                <w:rFonts w:ascii="Arial" w:hAnsi="Arial" w:cs="Arial"/>
              </w:rPr>
            </w:pPr>
            <w:r w:rsidRPr="002639B6">
              <w:rPr>
                <w:rFonts w:ascii="Arial" w:hAnsi="Arial" w:cs="Arial"/>
              </w:rPr>
              <w:t xml:space="preserve">Melatonin 2mg MR </w:t>
            </w:r>
            <w:r w:rsidR="004A1594">
              <w:rPr>
                <w:rFonts w:ascii="Arial" w:hAnsi="Arial" w:cs="Arial"/>
              </w:rPr>
              <w:t>tablets</w:t>
            </w:r>
            <w:r>
              <w:rPr>
                <w:rFonts w:ascii="Arial" w:hAnsi="Arial" w:cs="Arial"/>
              </w:rPr>
              <w:t>- prescribe generically</w:t>
            </w:r>
            <w:r w:rsidRPr="00E64AF1">
              <w:rPr>
                <w:rFonts w:ascii="Arial" w:hAnsi="Arial" w:cs="Arial"/>
              </w:rPr>
              <w:t xml:space="preserve"> (Adults)</w:t>
            </w:r>
            <w:r>
              <w:rPr>
                <w:rFonts w:ascii="Arial" w:hAnsi="Arial" w:cs="Arial"/>
              </w:rPr>
              <w:t xml:space="preserve">  </w:t>
            </w:r>
          </w:p>
        </w:tc>
        <w:tc>
          <w:tcPr>
            <w:tcW w:w="2959" w:type="pct"/>
          </w:tcPr>
          <w:p w14:paraId="6FCEC41D" w14:textId="513E3281" w:rsidR="00680D3E" w:rsidRPr="00E64AF1" w:rsidRDefault="00680D3E">
            <w:pPr>
              <w:spacing w:line="278" w:lineRule="auto"/>
              <w:rPr>
                <w:rFonts w:ascii="Arial" w:hAnsi="Arial" w:cs="Arial"/>
              </w:rPr>
            </w:pPr>
            <w:r w:rsidRPr="00E64AF1">
              <w:rPr>
                <w:rFonts w:ascii="Arial" w:hAnsi="Arial" w:cs="Arial"/>
              </w:rPr>
              <w:t>Primary Insomnia (over 55s)</w:t>
            </w:r>
          </w:p>
        </w:tc>
      </w:tr>
      <w:tr w:rsidR="00680D3E" w:rsidRPr="00E64AF1" w14:paraId="07BB4E30" w14:textId="77777777" w:rsidTr="00680D3E">
        <w:tc>
          <w:tcPr>
            <w:tcW w:w="2041" w:type="pct"/>
          </w:tcPr>
          <w:p w14:paraId="2D83F800" w14:textId="6D4723B4" w:rsidR="00680D3E" w:rsidRPr="00E64AF1" w:rsidRDefault="00680D3E">
            <w:pPr>
              <w:spacing w:line="278" w:lineRule="auto"/>
              <w:rPr>
                <w:rFonts w:ascii="Arial" w:hAnsi="Arial" w:cs="Arial"/>
              </w:rPr>
            </w:pPr>
            <w:r w:rsidRPr="002639B6">
              <w:rPr>
                <w:rFonts w:ascii="Arial" w:hAnsi="Arial" w:cs="Arial"/>
              </w:rPr>
              <w:t xml:space="preserve">Melatonin 2mg MR </w:t>
            </w:r>
            <w:r w:rsidR="004A1594">
              <w:rPr>
                <w:rFonts w:ascii="Arial" w:hAnsi="Arial" w:cs="Arial"/>
              </w:rPr>
              <w:t xml:space="preserve">tablets </w:t>
            </w:r>
            <w:r>
              <w:rPr>
                <w:rFonts w:ascii="Arial" w:hAnsi="Arial" w:cs="Arial"/>
              </w:rPr>
              <w:t xml:space="preserve">(prescribe generically) </w:t>
            </w:r>
            <w:r w:rsidRPr="00E64AF1">
              <w:rPr>
                <w:rFonts w:ascii="Arial" w:hAnsi="Arial" w:cs="Arial"/>
              </w:rPr>
              <w:t>(Children and Young People)</w:t>
            </w:r>
          </w:p>
        </w:tc>
        <w:tc>
          <w:tcPr>
            <w:tcW w:w="2959" w:type="pct"/>
          </w:tcPr>
          <w:p w14:paraId="3ACDE447" w14:textId="77777777" w:rsidR="00680D3E" w:rsidRPr="00E64AF1" w:rsidRDefault="00680D3E">
            <w:pPr>
              <w:spacing w:line="278" w:lineRule="auto"/>
              <w:rPr>
                <w:rFonts w:ascii="Arial" w:hAnsi="Arial" w:cs="Arial"/>
              </w:rPr>
            </w:pPr>
            <w:r w:rsidRPr="00E64AF1">
              <w:rPr>
                <w:rFonts w:ascii="Arial" w:hAnsi="Arial" w:cs="Arial"/>
              </w:rPr>
              <w:t>For continuation of established prescribing (NOT for new patients)</w:t>
            </w:r>
          </w:p>
        </w:tc>
      </w:tr>
      <w:tr w:rsidR="00680D3E" w:rsidRPr="00E64AF1" w14:paraId="317B3A07" w14:textId="77777777" w:rsidTr="00680D3E">
        <w:trPr>
          <w:trHeight w:val="300"/>
        </w:trPr>
        <w:tc>
          <w:tcPr>
            <w:tcW w:w="2041" w:type="pct"/>
            <w:vMerge w:val="restart"/>
          </w:tcPr>
          <w:p w14:paraId="37B34B79" w14:textId="77777777" w:rsidR="00680D3E" w:rsidRPr="00E64AF1" w:rsidRDefault="00680D3E">
            <w:pPr>
              <w:spacing w:line="278" w:lineRule="auto"/>
              <w:rPr>
                <w:rFonts w:ascii="Arial" w:hAnsi="Arial" w:cs="Arial"/>
              </w:rPr>
            </w:pPr>
          </w:p>
          <w:p w14:paraId="74633819" w14:textId="77777777" w:rsidR="00680D3E" w:rsidRPr="00E64AF1" w:rsidRDefault="00680D3E">
            <w:pPr>
              <w:spacing w:line="278" w:lineRule="auto"/>
              <w:rPr>
                <w:rFonts w:ascii="Arial" w:hAnsi="Arial" w:cs="Arial"/>
              </w:rPr>
            </w:pPr>
            <w:r w:rsidRPr="00E64AF1">
              <w:rPr>
                <w:rFonts w:ascii="Arial" w:hAnsi="Arial" w:cs="Arial"/>
              </w:rPr>
              <w:t>Adaflex (immediate release tablets 1mg, 2mg, 3mg, 4mg, 5mg) - Children and Young People</w:t>
            </w:r>
          </w:p>
          <w:p w14:paraId="1D6BFA70" w14:textId="77777777" w:rsidR="00680D3E" w:rsidRPr="00E64AF1" w:rsidRDefault="00680D3E">
            <w:pPr>
              <w:spacing w:line="278" w:lineRule="auto"/>
              <w:rPr>
                <w:rFonts w:ascii="Arial" w:hAnsi="Arial" w:cs="Arial"/>
              </w:rPr>
            </w:pPr>
          </w:p>
        </w:tc>
        <w:tc>
          <w:tcPr>
            <w:tcW w:w="2959" w:type="pct"/>
          </w:tcPr>
          <w:p w14:paraId="52736F22" w14:textId="77777777" w:rsidR="00680D3E" w:rsidRPr="00E64AF1" w:rsidRDefault="00680D3E">
            <w:pPr>
              <w:spacing w:line="278" w:lineRule="auto"/>
              <w:rPr>
                <w:rFonts w:ascii="Arial" w:hAnsi="Arial" w:cs="Arial"/>
              </w:rPr>
            </w:pPr>
            <w:r w:rsidRPr="00E64AF1">
              <w:rPr>
                <w:rFonts w:ascii="Arial" w:hAnsi="Arial" w:cs="Arial"/>
              </w:rPr>
              <w:t xml:space="preserve">FIRST CHOICE option unless child has autism spectrum disorder (ASD) and /or </w:t>
            </w:r>
            <w:r w:rsidRPr="002639B6">
              <w:rPr>
                <w:rFonts w:ascii="Arial" w:hAnsi="Arial" w:cs="Arial"/>
              </w:rPr>
              <w:t>neurogenetic disorders with aberrant diurnal melatonin secretion and /or nocturnal awakenings (Slentyo is licensed for these children) and sleep hygiene measures have been insufficient.</w:t>
            </w:r>
          </w:p>
        </w:tc>
      </w:tr>
      <w:tr w:rsidR="00680D3E" w:rsidRPr="00E64AF1" w14:paraId="19D128B9" w14:textId="77777777" w:rsidTr="00680D3E">
        <w:trPr>
          <w:trHeight w:val="2195"/>
        </w:trPr>
        <w:tc>
          <w:tcPr>
            <w:tcW w:w="2041" w:type="pct"/>
            <w:vMerge/>
          </w:tcPr>
          <w:p w14:paraId="5F6DEDBE" w14:textId="77777777" w:rsidR="00680D3E" w:rsidRPr="00E64AF1" w:rsidRDefault="00680D3E">
            <w:pPr>
              <w:spacing w:line="278" w:lineRule="auto"/>
              <w:rPr>
                <w:rFonts w:ascii="Arial" w:hAnsi="Arial" w:cs="Arial"/>
              </w:rPr>
            </w:pPr>
            <w:r w:rsidRPr="00E64AF1">
              <w:rPr>
                <w:rFonts w:ascii="Arial" w:hAnsi="Arial" w:cs="Arial"/>
              </w:rPr>
              <w:t>Adaflex (immediate release tablets 1mg, 2mg, 3mg, 4mg, 5mg) - Paediatrics</w:t>
            </w:r>
          </w:p>
          <w:p w14:paraId="17466BA4" w14:textId="77777777" w:rsidR="00680D3E" w:rsidRPr="00E64AF1" w:rsidRDefault="00680D3E">
            <w:pPr>
              <w:spacing w:line="278" w:lineRule="auto"/>
              <w:rPr>
                <w:rFonts w:ascii="Arial" w:hAnsi="Arial" w:cs="Arial"/>
              </w:rPr>
            </w:pPr>
          </w:p>
        </w:tc>
        <w:tc>
          <w:tcPr>
            <w:tcW w:w="2959" w:type="pct"/>
          </w:tcPr>
          <w:p w14:paraId="039C2F59" w14:textId="77777777" w:rsidR="00680D3E" w:rsidRPr="00E64AF1" w:rsidRDefault="00680D3E">
            <w:pPr>
              <w:spacing w:line="278" w:lineRule="auto"/>
              <w:rPr>
                <w:rFonts w:ascii="Arial" w:hAnsi="Arial" w:cs="Arial"/>
              </w:rPr>
            </w:pPr>
            <w:r w:rsidRPr="00E64AF1">
              <w:rPr>
                <w:rFonts w:ascii="Arial" w:hAnsi="Arial" w:cs="Arial"/>
              </w:rPr>
              <w:t>1-5mg tablets (Adaflex®) can be crushed and mixed with water directly before administration as a licensed use for insomnia in children and adolescents aged 6-17 years with ADHD</w:t>
            </w:r>
            <w:r>
              <w:rPr>
                <w:rFonts w:ascii="Arial" w:hAnsi="Arial" w:cs="Arial"/>
              </w:rPr>
              <w:t>, where sleep hygiene measures have been insufficient</w:t>
            </w:r>
            <w:r w:rsidRPr="00E64AF1">
              <w:rPr>
                <w:rFonts w:ascii="Arial" w:hAnsi="Arial" w:cs="Arial"/>
              </w:rPr>
              <w:t>. This is more cost – effective than prescribing the oral solution.</w:t>
            </w:r>
          </w:p>
        </w:tc>
      </w:tr>
      <w:tr w:rsidR="00680D3E" w:rsidRPr="00E64AF1" w14:paraId="34C753E2" w14:textId="77777777" w:rsidTr="00680D3E">
        <w:tc>
          <w:tcPr>
            <w:tcW w:w="2041" w:type="pct"/>
          </w:tcPr>
          <w:p w14:paraId="08140E50" w14:textId="45F0E058" w:rsidR="00680D3E" w:rsidRPr="00E64AF1" w:rsidRDefault="00680D3E">
            <w:pPr>
              <w:spacing w:line="278" w:lineRule="auto"/>
              <w:rPr>
                <w:rFonts w:ascii="Arial" w:hAnsi="Arial" w:cs="Arial"/>
              </w:rPr>
            </w:pPr>
            <w:r w:rsidRPr="00E64AF1">
              <w:rPr>
                <w:rFonts w:ascii="Arial" w:hAnsi="Arial" w:cs="Arial"/>
              </w:rPr>
              <w:t xml:space="preserve">Slenyto MR </w:t>
            </w:r>
            <w:r w:rsidR="004A1594">
              <w:rPr>
                <w:rFonts w:ascii="Arial" w:hAnsi="Arial" w:cs="Arial"/>
              </w:rPr>
              <w:t xml:space="preserve">tablets </w:t>
            </w:r>
            <w:r w:rsidRPr="00E64AF1">
              <w:rPr>
                <w:rFonts w:ascii="Arial" w:hAnsi="Arial" w:cs="Arial"/>
              </w:rPr>
              <w:t>(1mg, 5mg) - Children and Young People</w:t>
            </w:r>
          </w:p>
        </w:tc>
        <w:tc>
          <w:tcPr>
            <w:tcW w:w="2959" w:type="pct"/>
          </w:tcPr>
          <w:p w14:paraId="0475C305" w14:textId="77777777" w:rsidR="00680D3E" w:rsidRPr="00E64AF1" w:rsidRDefault="00680D3E">
            <w:pPr>
              <w:spacing w:line="278" w:lineRule="auto"/>
              <w:rPr>
                <w:rFonts w:ascii="Arial" w:hAnsi="Arial" w:cs="Arial"/>
              </w:rPr>
            </w:pPr>
            <w:r w:rsidRPr="00E64AF1">
              <w:rPr>
                <w:rFonts w:ascii="Arial" w:hAnsi="Arial" w:cs="Arial"/>
              </w:rPr>
              <w:t xml:space="preserve">Licensed for the treatment of insomnia in those aged 2-18 with Autism Spectrum Disorder (ASD) and / </w:t>
            </w:r>
            <w:r w:rsidRPr="00A35E38">
              <w:rPr>
                <w:rFonts w:ascii="Arial" w:hAnsi="Arial" w:cs="Arial"/>
              </w:rPr>
              <w:t>or neurogenetic disorders with aberrant diurnal melatonin secretion and /or nocturnal awakenings where sleep hygiene measures have been insufficient. </w:t>
            </w:r>
          </w:p>
        </w:tc>
      </w:tr>
      <w:tr w:rsidR="00680D3E" w:rsidRPr="00E64AF1" w14:paraId="60E1FBEA" w14:textId="77777777" w:rsidTr="00680D3E">
        <w:tc>
          <w:tcPr>
            <w:tcW w:w="2041" w:type="pct"/>
          </w:tcPr>
          <w:p w14:paraId="5DE9E05D" w14:textId="6453ED7A" w:rsidR="00680D3E" w:rsidRPr="00E64AF1" w:rsidRDefault="00680D3E">
            <w:pPr>
              <w:spacing w:line="278" w:lineRule="auto"/>
              <w:rPr>
                <w:rFonts w:ascii="Arial" w:hAnsi="Arial" w:cs="Arial"/>
              </w:rPr>
            </w:pPr>
            <w:r w:rsidRPr="00E64AF1">
              <w:rPr>
                <w:rFonts w:ascii="Arial" w:hAnsi="Arial" w:cs="Arial"/>
              </w:rPr>
              <w:t xml:space="preserve">Melatonin oral solution </w:t>
            </w:r>
            <w:r w:rsidR="00BD7AD4">
              <w:rPr>
                <w:rFonts w:ascii="Arial" w:hAnsi="Arial" w:cs="Arial"/>
              </w:rPr>
              <w:t>1mg / ml</w:t>
            </w:r>
          </w:p>
        </w:tc>
        <w:tc>
          <w:tcPr>
            <w:tcW w:w="2959" w:type="pct"/>
          </w:tcPr>
          <w:p w14:paraId="705132C3" w14:textId="77777777" w:rsidR="00680D3E" w:rsidRPr="00E64AF1" w:rsidRDefault="00680D3E">
            <w:pPr>
              <w:spacing w:line="278" w:lineRule="auto"/>
              <w:rPr>
                <w:rFonts w:ascii="Arial" w:hAnsi="Arial" w:cs="Arial"/>
              </w:rPr>
            </w:pPr>
            <w:r w:rsidRPr="00E64AF1">
              <w:rPr>
                <w:rFonts w:ascii="Arial" w:hAnsi="Arial" w:cs="Arial"/>
              </w:rPr>
              <w:t>Restricted to those who cannot take crushed Adaflex e.g. those with feeding tube.</w:t>
            </w:r>
          </w:p>
          <w:p w14:paraId="76156104" w14:textId="77777777" w:rsidR="00680D3E" w:rsidRPr="00E64AF1" w:rsidRDefault="00680D3E">
            <w:pPr>
              <w:spacing w:line="278" w:lineRule="auto"/>
              <w:rPr>
                <w:rFonts w:ascii="Arial" w:hAnsi="Arial" w:cs="Arial"/>
              </w:rPr>
            </w:pPr>
            <w:r w:rsidRPr="00E64AF1">
              <w:rPr>
                <w:rFonts w:ascii="Arial" w:hAnsi="Arial" w:cs="Arial"/>
              </w:rPr>
              <w:t>Specify brand on prescription</w:t>
            </w:r>
          </w:p>
          <w:p w14:paraId="51864489" w14:textId="0A983A05" w:rsidR="00680D3E" w:rsidRDefault="00930FFF">
            <w:pPr>
              <w:spacing w:line="278" w:lineRule="auto"/>
              <w:rPr>
                <w:rFonts w:ascii="Arial" w:hAnsi="Arial" w:cs="Arial"/>
                <w:b/>
                <w:bCs/>
                <w:iCs/>
              </w:rPr>
            </w:pPr>
            <w:r w:rsidRPr="0087341A">
              <w:rPr>
                <w:rFonts w:ascii="Arial" w:hAnsi="Arial" w:cs="Arial"/>
                <w:b/>
                <w:bCs/>
              </w:rPr>
              <w:t xml:space="preserve">Children </w:t>
            </w:r>
            <w:r w:rsidR="00470CF9" w:rsidRPr="0087341A">
              <w:rPr>
                <w:rFonts w:ascii="Arial" w:hAnsi="Arial" w:cs="Arial"/>
                <w:b/>
                <w:bCs/>
              </w:rPr>
              <w:t>under 6 years of age</w:t>
            </w:r>
            <w:r w:rsidR="00470CF9">
              <w:rPr>
                <w:rFonts w:ascii="Arial" w:hAnsi="Arial" w:cs="Arial"/>
              </w:rPr>
              <w:t xml:space="preserve"> (NB – unlicensed use): </w:t>
            </w:r>
            <w:hyperlink r:id="rId13" w:history="1">
              <w:r w:rsidR="0087341A" w:rsidRPr="0087341A">
                <w:rPr>
                  <w:rStyle w:val="Hyperlink"/>
                  <w:rFonts w:ascii="Arial" w:hAnsi="Arial" w:cs="Arial"/>
                  <w:b/>
                  <w:bCs/>
                  <w:iCs/>
                </w:rPr>
                <w:t>Melatonin Consilient Health</w:t>
              </w:r>
            </w:hyperlink>
            <w:r w:rsidR="0087341A" w:rsidRPr="0087341A">
              <w:rPr>
                <w:rFonts w:ascii="Arial" w:hAnsi="Arial" w:cs="Arial"/>
                <w:b/>
                <w:bCs/>
                <w:iCs/>
              </w:rPr>
              <w:t xml:space="preserve"> </w:t>
            </w:r>
            <w:r w:rsidR="0087341A" w:rsidRPr="0087341A">
              <w:rPr>
                <w:rFonts w:ascii="Arial" w:hAnsi="Arial" w:cs="Arial"/>
                <w:iCs/>
              </w:rPr>
              <w:t>1 mg/ml oral solution</w:t>
            </w:r>
          </w:p>
          <w:p w14:paraId="72250023" w14:textId="60141A01" w:rsidR="0087341A" w:rsidRPr="00E64AF1" w:rsidRDefault="0087341A">
            <w:pPr>
              <w:spacing w:line="278" w:lineRule="auto"/>
              <w:rPr>
                <w:rFonts w:ascii="Arial" w:hAnsi="Arial" w:cs="Arial"/>
              </w:rPr>
            </w:pPr>
            <w:r>
              <w:rPr>
                <w:rFonts w:ascii="Arial" w:hAnsi="Arial" w:cs="Arial"/>
                <w:b/>
                <w:bCs/>
                <w:iCs/>
              </w:rPr>
              <w:lastRenderedPageBreak/>
              <w:t xml:space="preserve">Children over 6 years of age: </w:t>
            </w:r>
            <w:hyperlink r:id="rId14" w:history="1">
              <w:r w:rsidR="00BD7AD4" w:rsidRPr="00BD7AD4">
                <w:rPr>
                  <w:rStyle w:val="Hyperlink"/>
                  <w:rFonts w:ascii="Arial" w:hAnsi="Arial" w:cs="Arial"/>
                  <w:b/>
                  <w:bCs/>
                  <w:iCs/>
                </w:rPr>
                <w:t>Ceyesto</w:t>
              </w:r>
            </w:hyperlink>
            <w:r w:rsidR="00BD7AD4" w:rsidRPr="00BD7AD4">
              <w:rPr>
                <w:rFonts w:ascii="Arial" w:hAnsi="Arial" w:cs="Arial"/>
                <w:b/>
                <w:bCs/>
                <w:iCs/>
              </w:rPr>
              <w:t xml:space="preserve"> </w:t>
            </w:r>
            <w:r w:rsidR="00BD7AD4" w:rsidRPr="00BD7AD4">
              <w:rPr>
                <w:rFonts w:ascii="Arial" w:hAnsi="Arial" w:cs="Arial"/>
                <w:iCs/>
              </w:rPr>
              <w:t>1mg/ml Oral Solution</w:t>
            </w:r>
          </w:p>
          <w:p w14:paraId="4CD34A9B" w14:textId="77777777" w:rsidR="00680D3E" w:rsidRPr="00E64AF1" w:rsidRDefault="00680D3E" w:rsidP="0087341A">
            <w:pPr>
              <w:rPr>
                <w:rFonts w:ascii="Arial" w:hAnsi="Arial" w:cs="Arial"/>
              </w:rPr>
            </w:pPr>
          </w:p>
        </w:tc>
      </w:tr>
      <w:tr w:rsidR="00680D3E" w:rsidRPr="00E64AF1" w14:paraId="6A2AD9F4" w14:textId="77777777" w:rsidTr="00680D3E">
        <w:tc>
          <w:tcPr>
            <w:tcW w:w="2041" w:type="pct"/>
          </w:tcPr>
          <w:p w14:paraId="588A3784" w14:textId="1C723F23" w:rsidR="00680D3E" w:rsidRPr="00E64AF1" w:rsidRDefault="00680D3E">
            <w:pPr>
              <w:spacing w:line="278" w:lineRule="auto"/>
              <w:rPr>
                <w:rFonts w:ascii="Arial" w:hAnsi="Arial" w:cs="Arial"/>
              </w:rPr>
            </w:pPr>
            <w:r w:rsidRPr="00A35E38">
              <w:rPr>
                <w:rFonts w:ascii="Arial" w:hAnsi="Arial" w:cs="Arial"/>
              </w:rPr>
              <w:lastRenderedPageBreak/>
              <w:t xml:space="preserve">Melatonin 2mg MR </w:t>
            </w:r>
            <w:r w:rsidR="004A1594">
              <w:rPr>
                <w:rFonts w:ascii="Arial" w:hAnsi="Arial" w:cs="Arial"/>
              </w:rPr>
              <w:t xml:space="preserve">tablets </w:t>
            </w:r>
            <w:r>
              <w:rPr>
                <w:rFonts w:ascii="Arial" w:hAnsi="Arial" w:cs="Arial"/>
              </w:rPr>
              <w:t>(prescribe generically)</w:t>
            </w:r>
          </w:p>
        </w:tc>
        <w:tc>
          <w:tcPr>
            <w:tcW w:w="2959" w:type="pct"/>
          </w:tcPr>
          <w:p w14:paraId="4980B84A" w14:textId="77777777" w:rsidR="00680D3E" w:rsidRPr="00E64AF1" w:rsidRDefault="00680D3E">
            <w:pPr>
              <w:spacing w:line="278" w:lineRule="auto"/>
              <w:rPr>
                <w:rFonts w:ascii="Arial" w:hAnsi="Arial" w:cs="Arial"/>
              </w:rPr>
            </w:pPr>
            <w:r w:rsidRPr="00E64AF1">
              <w:rPr>
                <w:rFonts w:ascii="Arial" w:hAnsi="Arial" w:cs="Arial"/>
              </w:rPr>
              <w:t>For other unlicensed indications</w:t>
            </w:r>
          </w:p>
        </w:tc>
      </w:tr>
      <w:tr w:rsidR="00680D3E" w:rsidRPr="00E64AF1" w14:paraId="68DEBDD9" w14:textId="77777777" w:rsidTr="00680D3E">
        <w:tc>
          <w:tcPr>
            <w:tcW w:w="2041" w:type="pct"/>
          </w:tcPr>
          <w:p w14:paraId="08F85523" w14:textId="77777777" w:rsidR="00680D3E" w:rsidRPr="00E64AF1" w:rsidRDefault="00680D3E">
            <w:pPr>
              <w:spacing w:line="278" w:lineRule="auto"/>
              <w:rPr>
                <w:rFonts w:ascii="Arial" w:hAnsi="Arial" w:cs="Arial"/>
              </w:rPr>
            </w:pPr>
            <w:r w:rsidRPr="00E64AF1">
              <w:rPr>
                <w:rFonts w:ascii="Arial" w:hAnsi="Arial" w:cs="Arial"/>
              </w:rPr>
              <w:t>Melatonin (Hospital Use Only)</w:t>
            </w:r>
            <w:r>
              <w:rPr>
                <w:rFonts w:ascii="Arial" w:hAnsi="Arial" w:cs="Arial"/>
              </w:rPr>
              <w:t xml:space="preserve"> - </w:t>
            </w:r>
            <w:r w:rsidRPr="00A35E38">
              <w:rPr>
                <w:rFonts w:ascii="Arial" w:hAnsi="Arial" w:cs="Arial"/>
              </w:rPr>
              <w:t>Adaflex</w:t>
            </w:r>
          </w:p>
        </w:tc>
        <w:tc>
          <w:tcPr>
            <w:tcW w:w="2959" w:type="pct"/>
          </w:tcPr>
          <w:p w14:paraId="39E6DDFB" w14:textId="77777777" w:rsidR="00680D3E" w:rsidRPr="00E64AF1" w:rsidRDefault="00680D3E">
            <w:pPr>
              <w:spacing w:line="278" w:lineRule="auto"/>
              <w:rPr>
                <w:rFonts w:ascii="Arial" w:hAnsi="Arial" w:cs="Arial"/>
              </w:rPr>
            </w:pPr>
            <w:r w:rsidRPr="00E64AF1">
              <w:rPr>
                <w:rFonts w:ascii="Arial" w:hAnsi="Arial" w:cs="Arial"/>
              </w:rPr>
              <w:t xml:space="preserve">Approved for use by Neurophysiology for sedation in children </w:t>
            </w:r>
            <w:r w:rsidRPr="004A1594">
              <w:rPr>
                <w:rFonts w:ascii="Arial" w:hAnsi="Arial" w:cs="Arial"/>
              </w:rPr>
              <w:t xml:space="preserve">and adults </w:t>
            </w:r>
            <w:r w:rsidRPr="00E64AF1">
              <w:rPr>
                <w:rFonts w:ascii="Arial" w:hAnsi="Arial" w:cs="Arial"/>
              </w:rPr>
              <w:t>undergoing sleep EEG.</w:t>
            </w:r>
          </w:p>
        </w:tc>
      </w:tr>
      <w:tr w:rsidR="003507A1" w:rsidRPr="00E64AF1" w14:paraId="617B7385" w14:textId="77777777" w:rsidTr="00680D3E">
        <w:tc>
          <w:tcPr>
            <w:tcW w:w="2041" w:type="pct"/>
          </w:tcPr>
          <w:p w14:paraId="134340F6" w14:textId="08AA4C0E" w:rsidR="003507A1" w:rsidRPr="00E64AF1" w:rsidRDefault="00BD2C58">
            <w:pPr>
              <w:rPr>
                <w:rFonts w:ascii="Arial" w:hAnsi="Arial" w:cs="Arial"/>
              </w:rPr>
            </w:pPr>
            <w:r>
              <w:rPr>
                <w:rFonts w:ascii="Arial" w:hAnsi="Arial" w:cs="Arial"/>
              </w:rPr>
              <w:t>Melatonin capsules (Colonis)</w:t>
            </w:r>
          </w:p>
        </w:tc>
        <w:tc>
          <w:tcPr>
            <w:tcW w:w="2959" w:type="pct"/>
          </w:tcPr>
          <w:p w14:paraId="161FEAB2" w14:textId="64774CB5" w:rsidR="003507A1" w:rsidRPr="00E64AF1" w:rsidRDefault="00BD2C58">
            <w:pPr>
              <w:rPr>
                <w:rFonts w:ascii="Arial" w:hAnsi="Arial" w:cs="Arial"/>
              </w:rPr>
            </w:pPr>
            <w:r w:rsidRPr="00E64AF1">
              <w:rPr>
                <w:rFonts w:ascii="Arial" w:hAnsi="Arial" w:cs="Arial"/>
              </w:rPr>
              <w:t>DO NOT PRESCRIBE</w:t>
            </w:r>
            <w:r>
              <w:rPr>
                <w:rFonts w:ascii="Arial" w:hAnsi="Arial" w:cs="Arial"/>
              </w:rPr>
              <w:t xml:space="preserve"> </w:t>
            </w:r>
            <w:r w:rsidR="00265636">
              <w:rPr>
                <w:rFonts w:ascii="Arial" w:hAnsi="Arial" w:cs="Arial"/>
              </w:rPr>
              <w:t>(licensed for short term treatment of jet lag in adults</w:t>
            </w:r>
            <w:r w:rsidR="0089275C">
              <w:rPr>
                <w:rFonts w:ascii="Arial" w:hAnsi="Arial" w:cs="Arial"/>
              </w:rPr>
              <w:t xml:space="preserve"> and </w:t>
            </w:r>
            <w:r w:rsidR="006A5AFB">
              <w:rPr>
                <w:rFonts w:ascii="Arial" w:hAnsi="Arial" w:cs="Arial"/>
              </w:rPr>
              <w:t xml:space="preserve">capsules are </w:t>
            </w:r>
            <w:r w:rsidR="0089275C">
              <w:rPr>
                <w:rFonts w:ascii="Arial" w:hAnsi="Arial" w:cs="Arial"/>
              </w:rPr>
              <w:t>high cost)</w:t>
            </w:r>
          </w:p>
        </w:tc>
      </w:tr>
    </w:tbl>
    <w:p w14:paraId="726FDA6F" w14:textId="77777777" w:rsidR="00680D3E" w:rsidRPr="00C16126" w:rsidRDefault="00680D3E" w:rsidP="00446032">
      <w:pPr>
        <w:jc w:val="both"/>
        <w:rPr>
          <w:rFonts w:ascii="Arial" w:hAnsi="Arial" w:cs="Arial"/>
          <w:b/>
          <w:bCs/>
          <w:color w:val="002060"/>
        </w:rPr>
      </w:pPr>
    </w:p>
    <w:sectPr w:rsidR="00680D3E" w:rsidRPr="00C16126" w:rsidSect="00420125">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30018" w14:textId="77777777" w:rsidR="00E63D84" w:rsidRDefault="00E63D84" w:rsidP="000716B3">
      <w:pPr>
        <w:spacing w:after="0" w:line="240" w:lineRule="auto"/>
      </w:pPr>
      <w:r>
        <w:separator/>
      </w:r>
    </w:p>
  </w:endnote>
  <w:endnote w:type="continuationSeparator" w:id="0">
    <w:p w14:paraId="41644A45" w14:textId="77777777" w:rsidR="00E63D84" w:rsidRDefault="00E63D84" w:rsidP="000716B3">
      <w:pPr>
        <w:spacing w:after="0" w:line="240" w:lineRule="auto"/>
      </w:pPr>
      <w:r>
        <w:continuationSeparator/>
      </w:r>
    </w:p>
  </w:endnote>
  <w:endnote w:type="continuationNotice" w:id="1">
    <w:p w14:paraId="79619F60" w14:textId="77777777" w:rsidR="00E63D84" w:rsidRDefault="00E63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BC0" w14:textId="79DFE231" w:rsidR="00C3584B" w:rsidRDefault="00C3584B">
    <w:pPr>
      <w:pStyle w:val="Footer"/>
    </w:pPr>
    <w:r>
      <w:t xml:space="preserve">Melatonin </w:t>
    </w:r>
    <w:r w:rsidR="00FE5C24">
      <w:t xml:space="preserve">Prescribing </w:t>
    </w:r>
    <w:r w:rsidR="00F16F03">
      <w:t>Guideline</w:t>
    </w:r>
    <w:r w:rsidR="00FE5C24">
      <w:t xml:space="preserve"> – draft</w:t>
    </w:r>
    <w:r w:rsidR="00FE5C24">
      <w:tab/>
    </w:r>
    <w:r w:rsidR="00FE5C24">
      <w:tab/>
    </w:r>
    <w:r w:rsidR="00FE5C24">
      <w:tab/>
    </w:r>
    <w:r w:rsidR="00FE5C24">
      <w:tab/>
    </w:r>
    <w:r w:rsidR="00FE5C24">
      <w:tab/>
      <w:t>HNY v1.0</w:t>
    </w:r>
  </w:p>
  <w:p w14:paraId="7B9C551B" w14:textId="77777777" w:rsidR="00B24129" w:rsidRDefault="00FE5C24">
    <w:pPr>
      <w:pStyle w:val="Footer"/>
    </w:pPr>
    <w:r>
      <w:t>Approved by HNY ICB:</w:t>
    </w:r>
  </w:p>
  <w:p w14:paraId="63DD6564" w14:textId="52106F4C" w:rsidR="00FE5C24" w:rsidRDefault="00FE5C24">
    <w:pPr>
      <w:pStyle w:val="Footer"/>
    </w:pPr>
    <w:r>
      <w:t>Review Date</w:t>
    </w:r>
    <w:r w:rsidR="00B2412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953D2" w14:textId="77777777" w:rsidR="00E63D84" w:rsidRDefault="00E63D84" w:rsidP="000716B3">
      <w:pPr>
        <w:spacing w:after="0" w:line="240" w:lineRule="auto"/>
      </w:pPr>
      <w:r>
        <w:separator/>
      </w:r>
    </w:p>
  </w:footnote>
  <w:footnote w:type="continuationSeparator" w:id="0">
    <w:p w14:paraId="5BAB13E0" w14:textId="77777777" w:rsidR="00E63D84" w:rsidRDefault="00E63D84" w:rsidP="000716B3">
      <w:pPr>
        <w:spacing w:after="0" w:line="240" w:lineRule="auto"/>
      </w:pPr>
      <w:r>
        <w:continuationSeparator/>
      </w:r>
    </w:p>
  </w:footnote>
  <w:footnote w:type="continuationNotice" w:id="1">
    <w:p w14:paraId="5240F8BF" w14:textId="77777777" w:rsidR="00E63D84" w:rsidRDefault="00E63D84">
      <w:pPr>
        <w:spacing w:after="0" w:line="240" w:lineRule="auto"/>
      </w:pPr>
    </w:p>
  </w:footnote>
  <w:footnote w:id="2">
    <w:p w14:paraId="2A5AA9FA" w14:textId="5C4A7C6A" w:rsidR="00E5244D" w:rsidRDefault="00E5244D">
      <w:pPr>
        <w:pStyle w:val="FootnoteText"/>
      </w:pPr>
      <w:r>
        <w:rPr>
          <w:rStyle w:val="FootnoteReference"/>
        </w:rPr>
        <w:footnoteRef/>
      </w:r>
      <w:r>
        <w:t xml:space="preserve"> </w:t>
      </w:r>
      <w:hyperlink r:id="rId1" w:history="1">
        <w:r w:rsidR="00FB2D71" w:rsidRPr="00FB2D71">
          <w:rPr>
            <w:rStyle w:val="Hyperlink"/>
          </w:rPr>
          <w:t>PrescQIPP bulletin - Melatonin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B461" w14:textId="3FA69D66" w:rsidR="000716B3" w:rsidRDefault="00C46E8D" w:rsidP="000716B3">
    <w:pPr>
      <w:pStyle w:val="Header"/>
    </w:pPr>
    <w:r w:rsidRPr="00EC13F4">
      <w:rPr>
        <w:noProof/>
        <w:lang w:eastAsia="en-GB"/>
      </w:rPr>
      <w:drawing>
        <wp:anchor distT="0" distB="0" distL="114300" distR="114300" simplePos="0" relativeHeight="251658241" behindDoc="1" locked="0" layoutInCell="1" allowOverlap="1" wp14:anchorId="7D9371C2" wp14:editId="75F12F43">
          <wp:simplePos x="0" y="0"/>
          <wp:positionH relativeFrom="margin">
            <wp:align>right</wp:align>
          </wp:positionH>
          <wp:positionV relativeFrom="paragraph">
            <wp:posOffset>-295910</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sdt>
      <w:sdtPr>
        <w:id w:val="241308247"/>
        <w:docPartObj>
          <w:docPartGallery w:val="Watermarks"/>
          <w:docPartUnique/>
        </w:docPartObj>
      </w:sdtPr>
      <w:sdtContent>
        <w:r w:rsidR="00000000">
          <w:rPr>
            <w:noProof/>
          </w:rPr>
          <w:pict w14:anchorId="39C28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716B3" w:rsidRPr="00EC13F4">
      <w:rPr>
        <w:noProof/>
        <w:lang w:eastAsia="en-GB"/>
      </w:rPr>
      <w:drawing>
        <wp:anchor distT="0" distB="0" distL="114300" distR="114300" simplePos="0" relativeHeight="251658240" behindDoc="1" locked="0" layoutInCell="1" allowOverlap="1" wp14:anchorId="41562529" wp14:editId="0086FEB9">
          <wp:simplePos x="0" y="0"/>
          <wp:positionH relativeFrom="margin">
            <wp:posOffset>-561975</wp:posOffset>
          </wp:positionH>
          <wp:positionV relativeFrom="paragraph">
            <wp:posOffset>-10160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66E65"/>
    <w:multiLevelType w:val="hybridMultilevel"/>
    <w:tmpl w:val="C4BC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C55E5"/>
    <w:multiLevelType w:val="hybridMultilevel"/>
    <w:tmpl w:val="F3F494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845195516">
    <w:abstractNumId w:val="1"/>
  </w:num>
  <w:num w:numId="2" w16cid:durableId="137095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B3"/>
    <w:rsid w:val="00023CE2"/>
    <w:rsid w:val="00054D43"/>
    <w:rsid w:val="000716B3"/>
    <w:rsid w:val="0009653D"/>
    <w:rsid w:val="000A5653"/>
    <w:rsid w:val="00106101"/>
    <w:rsid w:val="0011429D"/>
    <w:rsid w:val="0012364C"/>
    <w:rsid w:val="00161B1B"/>
    <w:rsid w:val="00166CDA"/>
    <w:rsid w:val="00196F02"/>
    <w:rsid w:val="001A75E7"/>
    <w:rsid w:val="001C6944"/>
    <w:rsid w:val="001C71AA"/>
    <w:rsid w:val="001F3A97"/>
    <w:rsid w:val="001F5B64"/>
    <w:rsid w:val="00206357"/>
    <w:rsid w:val="002270C8"/>
    <w:rsid w:val="00242F80"/>
    <w:rsid w:val="002639B6"/>
    <w:rsid w:val="00265636"/>
    <w:rsid w:val="00275502"/>
    <w:rsid w:val="00286206"/>
    <w:rsid w:val="002B0C09"/>
    <w:rsid w:val="003014AD"/>
    <w:rsid w:val="003355AE"/>
    <w:rsid w:val="003422CF"/>
    <w:rsid w:val="00346971"/>
    <w:rsid w:val="003507A1"/>
    <w:rsid w:val="00356E99"/>
    <w:rsid w:val="00357FE2"/>
    <w:rsid w:val="0038485C"/>
    <w:rsid w:val="003946DE"/>
    <w:rsid w:val="003C5E05"/>
    <w:rsid w:val="003D30ED"/>
    <w:rsid w:val="00420125"/>
    <w:rsid w:val="00425333"/>
    <w:rsid w:val="00432D4C"/>
    <w:rsid w:val="00446032"/>
    <w:rsid w:val="00455E4D"/>
    <w:rsid w:val="00470CF9"/>
    <w:rsid w:val="0048055A"/>
    <w:rsid w:val="0048171C"/>
    <w:rsid w:val="004A1594"/>
    <w:rsid w:val="004A5782"/>
    <w:rsid w:val="004A61DE"/>
    <w:rsid w:val="004B5671"/>
    <w:rsid w:val="004D2950"/>
    <w:rsid w:val="004E2594"/>
    <w:rsid w:val="004E336B"/>
    <w:rsid w:val="004E743F"/>
    <w:rsid w:val="004E7A87"/>
    <w:rsid w:val="00512020"/>
    <w:rsid w:val="00516B5C"/>
    <w:rsid w:val="00546A7E"/>
    <w:rsid w:val="005617EA"/>
    <w:rsid w:val="00596E46"/>
    <w:rsid w:val="005A0B39"/>
    <w:rsid w:val="005A394C"/>
    <w:rsid w:val="005B46B3"/>
    <w:rsid w:val="005C25C6"/>
    <w:rsid w:val="005F7E4E"/>
    <w:rsid w:val="00603A7E"/>
    <w:rsid w:val="0060479D"/>
    <w:rsid w:val="006717C2"/>
    <w:rsid w:val="00680D3E"/>
    <w:rsid w:val="00690CC6"/>
    <w:rsid w:val="006A5AFB"/>
    <w:rsid w:val="006B5542"/>
    <w:rsid w:val="006F3710"/>
    <w:rsid w:val="007154D8"/>
    <w:rsid w:val="00742856"/>
    <w:rsid w:val="00781D34"/>
    <w:rsid w:val="0078783C"/>
    <w:rsid w:val="007B3E2F"/>
    <w:rsid w:val="007C277A"/>
    <w:rsid w:val="007F6907"/>
    <w:rsid w:val="00825261"/>
    <w:rsid w:val="00846D9F"/>
    <w:rsid w:val="00850B51"/>
    <w:rsid w:val="0087341A"/>
    <w:rsid w:val="00876FEC"/>
    <w:rsid w:val="00885219"/>
    <w:rsid w:val="0089020B"/>
    <w:rsid w:val="0089275C"/>
    <w:rsid w:val="008A4375"/>
    <w:rsid w:val="008F123F"/>
    <w:rsid w:val="00913883"/>
    <w:rsid w:val="00930FFF"/>
    <w:rsid w:val="00950428"/>
    <w:rsid w:val="009564A9"/>
    <w:rsid w:val="009639C3"/>
    <w:rsid w:val="009840DD"/>
    <w:rsid w:val="00987F5A"/>
    <w:rsid w:val="009C2572"/>
    <w:rsid w:val="009F4202"/>
    <w:rsid w:val="00A35E38"/>
    <w:rsid w:val="00A96506"/>
    <w:rsid w:val="00AB7643"/>
    <w:rsid w:val="00AC2FF8"/>
    <w:rsid w:val="00AE4933"/>
    <w:rsid w:val="00AF448F"/>
    <w:rsid w:val="00B02C92"/>
    <w:rsid w:val="00B24129"/>
    <w:rsid w:val="00B47F40"/>
    <w:rsid w:val="00B776F8"/>
    <w:rsid w:val="00B84DF9"/>
    <w:rsid w:val="00B872DC"/>
    <w:rsid w:val="00B8737F"/>
    <w:rsid w:val="00BD2C58"/>
    <w:rsid w:val="00BD7AD4"/>
    <w:rsid w:val="00C16126"/>
    <w:rsid w:val="00C32614"/>
    <w:rsid w:val="00C3584B"/>
    <w:rsid w:val="00C45A81"/>
    <w:rsid w:val="00C46E8D"/>
    <w:rsid w:val="00C9460F"/>
    <w:rsid w:val="00CB0BA4"/>
    <w:rsid w:val="00CB1DBD"/>
    <w:rsid w:val="00CB75EC"/>
    <w:rsid w:val="00CC5A3C"/>
    <w:rsid w:val="00CC6882"/>
    <w:rsid w:val="00CD578A"/>
    <w:rsid w:val="00CE3E6F"/>
    <w:rsid w:val="00CE6D5F"/>
    <w:rsid w:val="00D209F7"/>
    <w:rsid w:val="00D62029"/>
    <w:rsid w:val="00D72242"/>
    <w:rsid w:val="00DE22C6"/>
    <w:rsid w:val="00DE3857"/>
    <w:rsid w:val="00DF4DA5"/>
    <w:rsid w:val="00E11861"/>
    <w:rsid w:val="00E17AFF"/>
    <w:rsid w:val="00E25777"/>
    <w:rsid w:val="00E45B0A"/>
    <w:rsid w:val="00E5244D"/>
    <w:rsid w:val="00E63D84"/>
    <w:rsid w:val="00E653CC"/>
    <w:rsid w:val="00F05AC5"/>
    <w:rsid w:val="00F16F03"/>
    <w:rsid w:val="00F32331"/>
    <w:rsid w:val="00F32D74"/>
    <w:rsid w:val="00F36832"/>
    <w:rsid w:val="00F616F2"/>
    <w:rsid w:val="00F63BC2"/>
    <w:rsid w:val="00F75DE4"/>
    <w:rsid w:val="00F92D64"/>
    <w:rsid w:val="00FA1221"/>
    <w:rsid w:val="00FB2D71"/>
    <w:rsid w:val="00FB5FFE"/>
    <w:rsid w:val="00FC3FAE"/>
    <w:rsid w:val="00FE22FB"/>
    <w:rsid w:val="00FE5C24"/>
    <w:rsid w:val="00FF6A78"/>
    <w:rsid w:val="26262D19"/>
    <w:rsid w:val="594A3902"/>
    <w:rsid w:val="7632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2F0E5"/>
  <w15:chartTrackingRefBased/>
  <w15:docId w15:val="{9C4FB0A6-46F0-4006-931F-EC1DF60C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6B3"/>
    <w:rPr>
      <w:rFonts w:eastAsiaTheme="majorEastAsia" w:cstheme="majorBidi"/>
      <w:color w:val="272727" w:themeColor="text1" w:themeTint="D8"/>
    </w:rPr>
  </w:style>
  <w:style w:type="paragraph" w:styleId="Title">
    <w:name w:val="Title"/>
    <w:basedOn w:val="Normal"/>
    <w:next w:val="Normal"/>
    <w:link w:val="TitleChar"/>
    <w:uiPriority w:val="10"/>
    <w:qFormat/>
    <w:rsid w:val="00071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6B3"/>
    <w:pPr>
      <w:spacing w:before="160"/>
      <w:jc w:val="center"/>
    </w:pPr>
    <w:rPr>
      <w:i/>
      <w:iCs/>
      <w:color w:val="404040" w:themeColor="text1" w:themeTint="BF"/>
    </w:rPr>
  </w:style>
  <w:style w:type="character" w:customStyle="1" w:styleId="QuoteChar">
    <w:name w:val="Quote Char"/>
    <w:basedOn w:val="DefaultParagraphFont"/>
    <w:link w:val="Quote"/>
    <w:uiPriority w:val="29"/>
    <w:rsid w:val="000716B3"/>
    <w:rPr>
      <w:i/>
      <w:iCs/>
      <w:color w:val="404040" w:themeColor="text1" w:themeTint="BF"/>
    </w:rPr>
  </w:style>
  <w:style w:type="paragraph" w:styleId="ListParagraph">
    <w:name w:val="List Paragraph"/>
    <w:basedOn w:val="Normal"/>
    <w:uiPriority w:val="34"/>
    <w:qFormat/>
    <w:rsid w:val="000716B3"/>
    <w:pPr>
      <w:ind w:left="720"/>
      <w:contextualSpacing/>
    </w:pPr>
  </w:style>
  <w:style w:type="character" w:styleId="IntenseEmphasis">
    <w:name w:val="Intense Emphasis"/>
    <w:basedOn w:val="DefaultParagraphFont"/>
    <w:uiPriority w:val="21"/>
    <w:qFormat/>
    <w:rsid w:val="000716B3"/>
    <w:rPr>
      <w:i/>
      <w:iCs/>
      <w:color w:val="0F4761" w:themeColor="accent1" w:themeShade="BF"/>
    </w:rPr>
  </w:style>
  <w:style w:type="paragraph" w:styleId="IntenseQuote">
    <w:name w:val="Intense Quote"/>
    <w:basedOn w:val="Normal"/>
    <w:next w:val="Normal"/>
    <w:link w:val="IntenseQuoteChar"/>
    <w:uiPriority w:val="30"/>
    <w:qFormat/>
    <w:rsid w:val="00071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6B3"/>
    <w:rPr>
      <w:i/>
      <w:iCs/>
      <w:color w:val="0F4761" w:themeColor="accent1" w:themeShade="BF"/>
    </w:rPr>
  </w:style>
  <w:style w:type="character" w:styleId="IntenseReference">
    <w:name w:val="Intense Reference"/>
    <w:basedOn w:val="DefaultParagraphFont"/>
    <w:uiPriority w:val="32"/>
    <w:qFormat/>
    <w:rsid w:val="000716B3"/>
    <w:rPr>
      <w:b/>
      <w:bCs/>
      <w:smallCaps/>
      <w:color w:val="0F4761" w:themeColor="accent1" w:themeShade="BF"/>
      <w:spacing w:val="5"/>
    </w:rPr>
  </w:style>
  <w:style w:type="paragraph" w:styleId="Header">
    <w:name w:val="header"/>
    <w:basedOn w:val="Normal"/>
    <w:link w:val="HeaderChar"/>
    <w:uiPriority w:val="99"/>
    <w:unhideWhenUsed/>
    <w:rsid w:val="00071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B3"/>
  </w:style>
  <w:style w:type="paragraph" w:styleId="Footer">
    <w:name w:val="footer"/>
    <w:basedOn w:val="Normal"/>
    <w:link w:val="FooterChar"/>
    <w:uiPriority w:val="99"/>
    <w:unhideWhenUsed/>
    <w:rsid w:val="00071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B3"/>
  </w:style>
  <w:style w:type="table" w:styleId="TableGrid">
    <w:name w:val="Table Grid"/>
    <w:basedOn w:val="TableNormal"/>
    <w:uiPriority w:val="39"/>
    <w:rsid w:val="0011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FE2"/>
    <w:rPr>
      <w:color w:val="467886" w:themeColor="hyperlink"/>
      <w:u w:val="single"/>
    </w:rPr>
  </w:style>
  <w:style w:type="character" w:styleId="UnresolvedMention">
    <w:name w:val="Unresolved Mention"/>
    <w:basedOn w:val="DefaultParagraphFont"/>
    <w:uiPriority w:val="99"/>
    <w:semiHidden/>
    <w:unhideWhenUsed/>
    <w:rsid w:val="00357FE2"/>
    <w:rPr>
      <w:color w:val="605E5C"/>
      <w:shd w:val="clear" w:color="auto" w:fill="E1DFDD"/>
    </w:rPr>
  </w:style>
  <w:style w:type="paragraph" w:styleId="FootnoteText">
    <w:name w:val="footnote text"/>
    <w:basedOn w:val="Normal"/>
    <w:link w:val="FootnoteTextChar"/>
    <w:uiPriority w:val="99"/>
    <w:semiHidden/>
    <w:unhideWhenUsed/>
    <w:rsid w:val="00E524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44D"/>
    <w:rPr>
      <w:sz w:val="20"/>
      <w:szCs w:val="20"/>
    </w:rPr>
  </w:style>
  <w:style w:type="character" w:styleId="FootnoteReference">
    <w:name w:val="footnote reference"/>
    <w:basedOn w:val="DefaultParagraphFont"/>
    <w:uiPriority w:val="99"/>
    <w:semiHidden/>
    <w:unhideWhenUsed/>
    <w:rsid w:val="00E5244D"/>
    <w:rPr>
      <w:vertAlign w:val="superscript"/>
    </w:rPr>
  </w:style>
  <w:style w:type="character" w:styleId="CommentReference">
    <w:name w:val="annotation reference"/>
    <w:basedOn w:val="DefaultParagraphFont"/>
    <w:uiPriority w:val="99"/>
    <w:semiHidden/>
    <w:unhideWhenUsed/>
    <w:rsid w:val="00680D3E"/>
    <w:rPr>
      <w:sz w:val="16"/>
      <w:szCs w:val="16"/>
    </w:rPr>
  </w:style>
  <w:style w:type="paragraph" w:styleId="CommentText">
    <w:name w:val="annotation text"/>
    <w:basedOn w:val="Normal"/>
    <w:link w:val="CommentTextChar"/>
    <w:uiPriority w:val="99"/>
    <w:unhideWhenUsed/>
    <w:rsid w:val="00680D3E"/>
    <w:pPr>
      <w:spacing w:line="240" w:lineRule="auto"/>
    </w:pPr>
    <w:rPr>
      <w:sz w:val="20"/>
      <w:szCs w:val="20"/>
    </w:rPr>
  </w:style>
  <w:style w:type="character" w:customStyle="1" w:styleId="CommentTextChar">
    <w:name w:val="Comment Text Char"/>
    <w:basedOn w:val="DefaultParagraphFont"/>
    <w:link w:val="CommentText"/>
    <w:uiPriority w:val="99"/>
    <w:rsid w:val="00680D3E"/>
    <w:rPr>
      <w:sz w:val="20"/>
      <w:szCs w:val="20"/>
    </w:rPr>
  </w:style>
  <w:style w:type="paragraph" w:styleId="CommentSubject">
    <w:name w:val="annotation subject"/>
    <w:basedOn w:val="CommentText"/>
    <w:next w:val="CommentText"/>
    <w:link w:val="CommentSubjectChar"/>
    <w:uiPriority w:val="99"/>
    <w:semiHidden/>
    <w:unhideWhenUsed/>
    <w:rsid w:val="004E2594"/>
    <w:rPr>
      <w:b/>
      <w:bCs/>
    </w:rPr>
  </w:style>
  <w:style w:type="character" w:customStyle="1" w:styleId="CommentSubjectChar">
    <w:name w:val="Comment Subject Char"/>
    <w:basedOn w:val="CommentTextChar"/>
    <w:link w:val="CommentSubject"/>
    <w:uiPriority w:val="99"/>
    <w:semiHidden/>
    <w:rsid w:val="004E25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2352">
      <w:bodyDiv w:val="1"/>
      <w:marLeft w:val="0"/>
      <w:marRight w:val="0"/>
      <w:marTop w:val="0"/>
      <w:marBottom w:val="0"/>
      <w:divBdr>
        <w:top w:val="none" w:sz="0" w:space="0" w:color="auto"/>
        <w:left w:val="none" w:sz="0" w:space="0" w:color="auto"/>
        <w:bottom w:val="none" w:sz="0" w:space="0" w:color="auto"/>
        <w:right w:val="none" w:sz="0" w:space="0" w:color="auto"/>
      </w:divBdr>
    </w:div>
    <w:div w:id="15490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ilienthealth.co.uk/produc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ks.nice.org.uk/topics/insomnia/management/managing-insomn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ng87/resources/attention-deficit-hyperactivity-disorder-diagnosis-and-management-pdf-183769973293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org.uk/emc/product/15067/smp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rescqipp.info/media/zyobihaq/318-melatonin-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D27E-1457-438F-88C1-19C1A819CBA7}">
  <ds:schemaRefs>
    <ds:schemaRef ds:uri="http://schemas.microsoft.com/sharepoint/v3/contenttype/forms"/>
  </ds:schemaRefs>
</ds:datastoreItem>
</file>

<file path=customXml/itemProps2.xml><?xml version="1.0" encoding="utf-8"?>
<ds:datastoreItem xmlns:ds="http://schemas.openxmlformats.org/officeDocument/2006/customXml" ds:itemID="{C46F937D-8698-4854-99C6-F51E91A9E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A4DD2-046A-42BD-AC19-088692060CE5}">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4.xml><?xml version="1.0" encoding="utf-8"?>
<ds:datastoreItem xmlns:ds="http://schemas.openxmlformats.org/officeDocument/2006/customXml" ds:itemID="{0BCABCBB-BC9C-47D2-B05D-82CEE168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Links>
    <vt:vector size="18" baseType="variant">
      <vt:variant>
        <vt:i4>1245274</vt:i4>
      </vt:variant>
      <vt:variant>
        <vt:i4>3</vt:i4>
      </vt:variant>
      <vt:variant>
        <vt:i4>0</vt:i4>
      </vt:variant>
      <vt:variant>
        <vt:i4>5</vt:i4>
      </vt:variant>
      <vt:variant>
        <vt:lpwstr>https://cks.nice.org.uk/topics/insomnia/management/managing-insomnia/</vt:lpwstr>
      </vt:variant>
      <vt:variant>
        <vt:lpwstr/>
      </vt:variant>
      <vt:variant>
        <vt:i4>7536756</vt:i4>
      </vt:variant>
      <vt:variant>
        <vt:i4>0</vt:i4>
      </vt:variant>
      <vt:variant>
        <vt:i4>0</vt:i4>
      </vt:variant>
      <vt:variant>
        <vt:i4>5</vt:i4>
      </vt:variant>
      <vt:variant>
        <vt:lpwstr>https://www.nice.org.uk/guidance/ng87/resources/attention-deficit-hyperactivity-disorder-diagnosis-and-management-pdf-1837699732933</vt:lpwstr>
      </vt:variant>
      <vt:variant>
        <vt:lpwstr/>
      </vt:variant>
      <vt:variant>
        <vt:i4>6881314</vt:i4>
      </vt:variant>
      <vt:variant>
        <vt:i4>0</vt:i4>
      </vt:variant>
      <vt:variant>
        <vt:i4>0</vt:i4>
      </vt:variant>
      <vt:variant>
        <vt:i4>5</vt:i4>
      </vt:variant>
      <vt:variant>
        <vt:lpwstr>https://www.prescqipp.info/media/zyobihaq/318-melatonin-2-0.pdf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Rachel (NHS HUMBER AND NORTH YORKSHIRE ICB - 42D)</dc:creator>
  <cp:keywords/>
  <dc:description/>
  <cp:lastModifiedBy>STANIFORTH, Rachel (NHS HUMBER AND NORTH YORKSHIRE ICB - 42D)</cp:lastModifiedBy>
  <cp:revision>37</cp:revision>
  <dcterms:created xsi:type="dcterms:W3CDTF">2025-04-10T00:33:00Z</dcterms:created>
  <dcterms:modified xsi:type="dcterms:W3CDTF">2025-04-16T11:43:00Z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