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F5C52" w14:textId="083EAF97" w:rsidR="007030B7" w:rsidRDefault="006E26D1" w:rsidP="007909C3">
      <w:pPr>
        <w:pStyle w:val="BodyText"/>
      </w:pPr>
      <w:r w:rsidRPr="00EC13F4">
        <w:rPr>
          <w:noProof/>
          <w:lang w:eastAsia="en-GB"/>
        </w:rPr>
        <w:drawing>
          <wp:anchor distT="0" distB="0" distL="114300" distR="114300" simplePos="0" relativeHeight="251662336" behindDoc="1" locked="0" layoutInCell="1" allowOverlap="1" wp14:anchorId="19741DDF" wp14:editId="7531D5E9">
            <wp:simplePos x="0" y="0"/>
            <wp:positionH relativeFrom="column">
              <wp:posOffset>-140335</wp:posOffset>
            </wp:positionH>
            <wp:positionV relativeFrom="paragraph">
              <wp:posOffset>0</wp:posOffset>
            </wp:positionV>
            <wp:extent cx="2209800" cy="466725"/>
            <wp:effectExtent l="0" t="0" r="0" b="9525"/>
            <wp:wrapTight wrapText="bothSides">
              <wp:wrapPolygon edited="0">
                <wp:start x="0" y="0"/>
                <wp:lineTo x="0" y="21159"/>
                <wp:lineTo x="21414" y="21159"/>
                <wp:lineTo x="21414" y="0"/>
                <wp:lineTo x="0" y="0"/>
              </wp:wrapPolygon>
            </wp:wrapTight>
            <wp:docPr id="986309439" name="Picture 98630943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09439" name="Picture 986309439" descr="A close-up of a logo&#10;&#10;Description automatically generated"/>
                    <pic:cNvPicPr/>
                  </pic:nvPicPr>
                  <pic:blipFill rotWithShape="1">
                    <a:blip r:embed="rId8">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59264" behindDoc="0" locked="0" layoutInCell="1" allowOverlap="1" wp14:anchorId="74E5E3DB" wp14:editId="74FB1C3C">
                <wp:simplePos x="0" y="0"/>
                <wp:positionH relativeFrom="column">
                  <wp:posOffset>1082675</wp:posOffset>
                </wp:positionH>
                <wp:positionV relativeFrom="paragraph">
                  <wp:posOffset>308610</wp:posOffset>
                </wp:positionV>
                <wp:extent cx="8356600"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0" cy="685800"/>
                        </a:xfrm>
                        <a:prstGeom prst="rect">
                          <a:avLst/>
                        </a:prstGeom>
                        <a:noFill/>
                        <a:ln w="9525">
                          <a:noFill/>
                          <a:miter lim="800000"/>
                          <a:headEnd/>
                          <a:tailEnd/>
                        </a:ln>
                      </wps:spPr>
                      <wps:txbx>
                        <w:txbxContent>
                          <w:p w14:paraId="71C15149" w14:textId="26299B1E" w:rsidR="007030B7" w:rsidRPr="009E2578" w:rsidRDefault="007030B7" w:rsidP="007030B7">
                            <w:pPr>
                              <w:jc w:val="center"/>
                              <w:rPr>
                                <w:sz w:val="32"/>
                                <w:szCs w:val="32"/>
                              </w:rPr>
                            </w:pPr>
                            <w:r w:rsidRPr="009E2578">
                              <w:rPr>
                                <w:b/>
                                <w:sz w:val="32"/>
                                <w:szCs w:val="32"/>
                              </w:rPr>
                              <w:t xml:space="preserve">SUMMARY OF RECOMMENDATIONS FOR </w:t>
                            </w:r>
                            <w:r w:rsidR="006E26D1">
                              <w:rPr>
                                <w:b/>
                                <w:sz w:val="32"/>
                                <w:szCs w:val="32"/>
                              </w:rPr>
                              <w:t>HNY</w:t>
                            </w:r>
                            <w:r w:rsidRPr="009E2578">
                              <w:rPr>
                                <w:b/>
                                <w:sz w:val="32"/>
                                <w:szCs w:val="32"/>
                              </w:rPr>
                              <w:t>-WIDE CONSULTATION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E5E3DB" id="_x0000_t202" coordsize="21600,21600" o:spt="202" path="m,l,21600r21600,l21600,xe">
                <v:stroke joinstyle="miter"/>
                <v:path gradientshapeok="t" o:connecttype="rect"/>
              </v:shapetype>
              <v:shape id="Text Box 2" o:spid="_x0000_s1026" type="#_x0000_t202" style="position:absolute;margin-left:85.25pt;margin-top:24.3pt;width:658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" filled="f" stroked="f">
                <v:textbox>
                  <w:txbxContent>
                    <w:p w14:paraId="71C15149" w14:textId="26299B1E" w:rsidR="007030B7" w:rsidRPr="009E2578" w:rsidRDefault="007030B7" w:rsidP="007030B7">
                      <w:pPr>
                        <w:jc w:val="center"/>
                        <w:rPr>
                          <w:sz w:val="32"/>
                          <w:szCs w:val="32"/>
                        </w:rPr>
                      </w:pPr>
                      <w:r w:rsidRPr="009E2578">
                        <w:rPr>
                          <w:b/>
                          <w:sz w:val="32"/>
                          <w:szCs w:val="32"/>
                        </w:rPr>
                        <w:t xml:space="preserve">SUMMARY OF RECOMMENDATIONS FOR </w:t>
                      </w:r>
                      <w:r w:rsidR="006E26D1">
                        <w:rPr>
                          <w:b/>
                          <w:sz w:val="32"/>
                          <w:szCs w:val="32"/>
                        </w:rPr>
                        <w:t>HNY</w:t>
                      </w:r>
                      <w:r w:rsidRPr="009E2578">
                        <w:rPr>
                          <w:b/>
                          <w:sz w:val="32"/>
                          <w:szCs w:val="32"/>
                        </w:rPr>
                        <w:t>-WIDE CONSULTATION</w:t>
                      </w:r>
                    </w:p>
                  </w:txbxContent>
                </v:textbox>
                <w10:wrap type="square"/>
              </v:shape>
            </w:pict>
          </mc:Fallback>
        </mc:AlternateContent>
      </w:r>
      <w:r w:rsidRPr="00EC13F4">
        <w:rPr>
          <w:noProof/>
          <w:lang w:eastAsia="en-GB"/>
        </w:rPr>
        <w:drawing>
          <wp:anchor distT="0" distB="0" distL="114300" distR="114300" simplePos="0" relativeHeight="251661312" behindDoc="1" locked="0" layoutInCell="1" allowOverlap="1" wp14:anchorId="18B67ECE" wp14:editId="7CB0FB35">
            <wp:simplePos x="0" y="0"/>
            <wp:positionH relativeFrom="column">
              <wp:posOffset>8972550</wp:posOffset>
            </wp:positionH>
            <wp:positionV relativeFrom="paragraph">
              <wp:posOffset>0</wp:posOffset>
            </wp:positionV>
            <wp:extent cx="1259840" cy="766445"/>
            <wp:effectExtent l="0" t="0" r="0" b="0"/>
            <wp:wrapTight wrapText="bothSides">
              <wp:wrapPolygon edited="0">
                <wp:start x="0" y="0"/>
                <wp:lineTo x="0" y="20938"/>
                <wp:lineTo x="21230" y="20938"/>
                <wp:lineTo x="21230" y="0"/>
                <wp:lineTo x="0" y="0"/>
              </wp:wrapPolygon>
            </wp:wrapTight>
            <wp:docPr id="1580305060" name="Picture 158030506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05060" name="Picture 1580305060"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p>
    <w:p w14:paraId="39EEFB36" w14:textId="77777777" w:rsidR="007030B7" w:rsidRDefault="007030B7" w:rsidP="007909C3">
      <w:pPr>
        <w:pStyle w:val="BodyText"/>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AE0F8"/>
        <w:tblLook w:val="01E0" w:firstRow="1" w:lastRow="1" w:firstColumn="1" w:lastColumn="1" w:noHBand="0" w:noVBand="0"/>
      </w:tblPr>
      <w:tblGrid>
        <w:gridCol w:w="9066"/>
        <w:gridCol w:w="6379"/>
      </w:tblGrid>
      <w:tr w:rsidR="00CF38AF" w:rsidRPr="00965AE6" w14:paraId="4A0106AA" w14:textId="77777777" w:rsidTr="00965AE6">
        <w:trPr>
          <w:cantSplit/>
          <w:tblHeader/>
        </w:trPr>
        <w:tc>
          <w:tcPr>
            <w:tcW w:w="2935" w:type="pct"/>
            <w:shd w:val="clear" w:color="auto" w:fill="C9ECFB"/>
          </w:tcPr>
          <w:p w14:paraId="761B604A" w14:textId="37BDA0CE" w:rsidR="00CF38AF" w:rsidRPr="00965AE6" w:rsidRDefault="00121DDE" w:rsidP="00773CBE">
            <w:pPr>
              <w:tabs>
                <w:tab w:val="clear" w:pos="975"/>
              </w:tabs>
              <w:rPr>
                <w:rFonts w:ascii="Helvetica" w:eastAsia="Calibri" w:hAnsi="Helvetica" w:cs="Helvetica"/>
                <w:b/>
                <w:sz w:val="24"/>
                <w:szCs w:val="24"/>
              </w:rPr>
            </w:pPr>
            <w:r w:rsidRPr="00965AE6">
              <w:rPr>
                <w:rFonts w:ascii="Helvetica" w:eastAsia="Calibri" w:hAnsi="Helvetica" w:cs="Helvetica"/>
                <w:b/>
                <w:sz w:val="24"/>
                <w:szCs w:val="24"/>
              </w:rPr>
              <w:t>Recommendations</w:t>
            </w:r>
            <w:r w:rsidR="00CF38AF" w:rsidRPr="00965AE6">
              <w:rPr>
                <w:rFonts w:ascii="Helvetica" w:eastAsia="Calibri" w:hAnsi="Helvetica" w:cs="Helvetica"/>
                <w:b/>
                <w:sz w:val="24"/>
                <w:szCs w:val="24"/>
              </w:rPr>
              <w:t xml:space="preserve"> made </w:t>
            </w:r>
            <w:r w:rsidR="00CF38AF" w:rsidRPr="00965AE6">
              <w:rPr>
                <w:rFonts w:ascii="Helvetica" w:eastAsia="Calibri" w:hAnsi="Helvetica" w:cs="Helvetica"/>
                <w:b/>
                <w:color w:val="000000" w:themeColor="text1"/>
                <w:sz w:val="24"/>
                <w:szCs w:val="24"/>
              </w:rPr>
              <w:t>by</w:t>
            </w:r>
            <w:r w:rsidRPr="00965AE6">
              <w:rPr>
                <w:rFonts w:ascii="Helvetica" w:eastAsia="Calibri" w:hAnsi="Helvetica" w:cs="Helvetica"/>
                <w:b/>
                <w:color w:val="000000" w:themeColor="text1"/>
                <w:sz w:val="24"/>
                <w:szCs w:val="24"/>
              </w:rPr>
              <w:t xml:space="preserve"> </w:t>
            </w:r>
            <w:r w:rsidR="00960231" w:rsidRPr="00965AE6">
              <w:rPr>
                <w:rFonts w:ascii="Helvetica" w:eastAsia="Calibri" w:hAnsi="Helvetica" w:cs="Helvetica"/>
                <w:b/>
                <w:color w:val="000000" w:themeColor="text1"/>
                <w:sz w:val="24"/>
                <w:szCs w:val="24"/>
              </w:rPr>
              <w:t xml:space="preserve">Medicines Formulary Group </w:t>
            </w:r>
            <w:r w:rsidRPr="00965AE6">
              <w:rPr>
                <w:rFonts w:ascii="Helvetica" w:eastAsia="Calibri" w:hAnsi="Helvetica" w:cs="Helvetica"/>
                <w:b/>
                <w:color w:val="000000" w:themeColor="text1"/>
                <w:sz w:val="24"/>
                <w:szCs w:val="24"/>
              </w:rPr>
              <w:t xml:space="preserve">at </w:t>
            </w:r>
            <w:r w:rsidRPr="00965AE6">
              <w:rPr>
                <w:rFonts w:ascii="Helvetica" w:eastAsia="Calibri" w:hAnsi="Helvetica" w:cs="Helvetica"/>
                <w:b/>
                <w:sz w:val="24"/>
                <w:szCs w:val="24"/>
              </w:rPr>
              <w:t>their meeting on:</w:t>
            </w:r>
          </w:p>
        </w:tc>
        <w:sdt>
          <w:sdtPr>
            <w:rPr>
              <w:rFonts w:ascii="Helvetica" w:eastAsia="Calibri" w:hAnsi="Helvetica" w:cs="Helvetica"/>
              <w:bCs/>
              <w:sz w:val="24"/>
              <w:szCs w:val="24"/>
            </w:rPr>
            <w:id w:val="-1408532192"/>
            <w:placeholder>
              <w:docPart w:val="DefaultPlaceholder_-1854013437"/>
            </w:placeholder>
            <w:date w:fullDate="2025-03-19T00:00:00Z">
              <w:dateFormat w:val="dd MMMM yyyy"/>
              <w:lid w:val="en-GB"/>
              <w:storeMappedDataAs w:val="dateTime"/>
              <w:calendar w:val="gregorian"/>
            </w:date>
          </w:sdtPr>
          <w:sdtEndPr/>
          <w:sdtContent>
            <w:tc>
              <w:tcPr>
                <w:tcW w:w="2065" w:type="pct"/>
                <w:shd w:val="clear" w:color="auto" w:fill="C9ECFB"/>
              </w:tcPr>
              <w:p w14:paraId="17CF765C" w14:textId="7BBC49DE" w:rsidR="00CF38AF" w:rsidRPr="00965AE6" w:rsidRDefault="00960231" w:rsidP="00773CBE">
                <w:pPr>
                  <w:tabs>
                    <w:tab w:val="clear" w:pos="975"/>
                  </w:tabs>
                  <w:rPr>
                    <w:rFonts w:ascii="Helvetica" w:eastAsia="Calibri" w:hAnsi="Helvetica" w:cs="Helvetica"/>
                    <w:bCs/>
                    <w:sz w:val="24"/>
                    <w:szCs w:val="24"/>
                  </w:rPr>
                </w:pPr>
                <w:r w:rsidRPr="00965AE6">
                  <w:rPr>
                    <w:rFonts w:ascii="Helvetica" w:eastAsia="Calibri" w:hAnsi="Helvetica" w:cs="Helvetica"/>
                    <w:bCs/>
                    <w:sz w:val="24"/>
                    <w:szCs w:val="24"/>
                  </w:rPr>
                  <w:t>19 March 2025</w:t>
                </w:r>
              </w:p>
            </w:tc>
          </w:sdtContent>
        </w:sdt>
      </w:tr>
    </w:tbl>
    <w:p w14:paraId="2E891FA4" w14:textId="77777777" w:rsidR="001F28EB" w:rsidRDefault="001F28EB" w:rsidP="00383A54">
      <w:pPr>
        <w:spacing w:before="0" w:after="0"/>
        <w:rPr>
          <w:sz w:val="20"/>
          <w:lang w:val="en-US" w:eastAsia="ja-JP"/>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5"/>
      </w:tblGrid>
      <w:tr w:rsidR="009C22A2" w:rsidRPr="00383A54" w14:paraId="65FDC242" w14:textId="77777777" w:rsidTr="006E26D1">
        <w:trPr>
          <w:cantSplit/>
        </w:trPr>
        <w:tc>
          <w:tcPr>
            <w:tcW w:w="5000" w:type="pct"/>
            <w:shd w:val="clear" w:color="auto" w:fill="auto"/>
          </w:tcPr>
          <w:p w14:paraId="618C7F55" w14:textId="77777777" w:rsidR="009C22A2" w:rsidRPr="00383A54" w:rsidRDefault="009C22A2" w:rsidP="006E26D1">
            <w:pPr>
              <w:tabs>
                <w:tab w:val="clear" w:pos="975"/>
              </w:tabs>
              <w:spacing w:before="120" w:after="120"/>
              <w:jc w:val="center"/>
              <w:rPr>
                <w:sz w:val="24"/>
                <w:szCs w:val="24"/>
              </w:rPr>
            </w:pPr>
            <w:r>
              <w:rPr>
                <w:rFonts w:eastAsia="Calibri"/>
                <w:b/>
                <w:color w:val="1F497D"/>
                <w:sz w:val="24"/>
                <w:szCs w:val="24"/>
              </w:rPr>
              <w:t>Local Recommendations</w:t>
            </w:r>
          </w:p>
        </w:tc>
      </w:tr>
    </w:tbl>
    <w:p w14:paraId="322AF07B" w14:textId="77777777" w:rsidR="00383A54" w:rsidRPr="006E26D1" w:rsidRDefault="00383A54" w:rsidP="00383A54">
      <w:pPr>
        <w:spacing w:before="0" w:after="0"/>
        <w:rPr>
          <w:sz w:val="20"/>
          <w:szCs w:val="20"/>
          <w:lang w:val="en-US" w:eastAsia="ja-JP"/>
        </w:rPr>
      </w:pPr>
    </w:p>
    <w:tbl>
      <w:tblPr>
        <w:tblW w:w="1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2"/>
        <w:gridCol w:w="2204"/>
        <w:gridCol w:w="2410"/>
        <w:gridCol w:w="2547"/>
        <w:gridCol w:w="2839"/>
        <w:gridCol w:w="3537"/>
      </w:tblGrid>
      <w:tr w:rsidR="00BE73A7" w:rsidRPr="00965AE6" w14:paraId="58618552" w14:textId="77777777" w:rsidTr="00965AE6">
        <w:trPr>
          <w:cantSplit/>
          <w:tblHeader/>
        </w:trPr>
        <w:tc>
          <w:tcPr>
            <w:tcW w:w="1902" w:type="dxa"/>
            <w:tcBorders>
              <w:bottom w:val="single" w:sz="4" w:space="0" w:color="auto"/>
            </w:tcBorders>
            <w:shd w:val="clear" w:color="auto" w:fill="C9ECFB"/>
          </w:tcPr>
          <w:p w14:paraId="01C0390F" w14:textId="6C3E2E00" w:rsidR="00121DDE" w:rsidRPr="00965AE6" w:rsidRDefault="00121DDE" w:rsidP="007909C3">
            <w:pPr>
              <w:tabs>
                <w:tab w:val="clear" w:pos="975"/>
              </w:tabs>
              <w:rPr>
                <w:rFonts w:eastAsia="Calibri"/>
                <w:b/>
                <w:sz w:val="22"/>
                <w:szCs w:val="22"/>
              </w:rPr>
            </w:pPr>
            <w:bookmarkStart w:id="0" w:name="_Hlk117164764"/>
            <w:r w:rsidRPr="00965AE6">
              <w:rPr>
                <w:rFonts w:eastAsia="Calibri"/>
                <w:b/>
                <w:sz w:val="22"/>
                <w:szCs w:val="22"/>
              </w:rPr>
              <w:t xml:space="preserve">Drug and indication </w:t>
            </w:r>
          </w:p>
        </w:tc>
        <w:tc>
          <w:tcPr>
            <w:tcW w:w="2204" w:type="dxa"/>
            <w:tcBorders>
              <w:bottom w:val="single" w:sz="4" w:space="0" w:color="auto"/>
            </w:tcBorders>
            <w:shd w:val="clear" w:color="auto" w:fill="C9ECFB"/>
          </w:tcPr>
          <w:p w14:paraId="465998DD" w14:textId="7858FD60" w:rsidR="00121DDE" w:rsidRPr="00965AE6" w:rsidRDefault="00121DDE" w:rsidP="007909C3">
            <w:pPr>
              <w:tabs>
                <w:tab w:val="clear" w:pos="975"/>
              </w:tabs>
              <w:rPr>
                <w:rFonts w:eastAsia="Calibri"/>
                <w:b/>
                <w:sz w:val="22"/>
                <w:szCs w:val="22"/>
              </w:rPr>
            </w:pPr>
            <w:r w:rsidRPr="00965AE6">
              <w:rPr>
                <w:rFonts w:eastAsia="Calibri"/>
                <w:b/>
                <w:sz w:val="22"/>
                <w:szCs w:val="22"/>
              </w:rPr>
              <w:t>Rationale / criteria</w:t>
            </w:r>
          </w:p>
        </w:tc>
        <w:tc>
          <w:tcPr>
            <w:tcW w:w="2410" w:type="dxa"/>
            <w:tcBorders>
              <w:bottom w:val="single" w:sz="4" w:space="0" w:color="auto"/>
            </w:tcBorders>
            <w:shd w:val="clear" w:color="auto" w:fill="C9ECFB"/>
          </w:tcPr>
          <w:p w14:paraId="764A3AC3" w14:textId="780F09CB" w:rsidR="00121DDE" w:rsidRPr="00965AE6" w:rsidRDefault="00121DDE" w:rsidP="007909C3">
            <w:pPr>
              <w:tabs>
                <w:tab w:val="clear" w:pos="975"/>
              </w:tabs>
              <w:rPr>
                <w:rFonts w:eastAsia="Calibri"/>
                <w:b/>
                <w:sz w:val="22"/>
                <w:szCs w:val="22"/>
              </w:rPr>
            </w:pPr>
            <w:r w:rsidRPr="00965AE6">
              <w:rPr>
                <w:rFonts w:eastAsia="Calibri"/>
                <w:b/>
                <w:sz w:val="22"/>
                <w:szCs w:val="22"/>
              </w:rPr>
              <w:t xml:space="preserve">Status and formulary position proposed </w:t>
            </w:r>
          </w:p>
        </w:tc>
        <w:tc>
          <w:tcPr>
            <w:tcW w:w="2547" w:type="dxa"/>
            <w:tcBorders>
              <w:bottom w:val="single" w:sz="4" w:space="0" w:color="auto"/>
            </w:tcBorders>
            <w:shd w:val="clear" w:color="auto" w:fill="C9ECFB"/>
          </w:tcPr>
          <w:p w14:paraId="18BD51F0" w14:textId="3CED56E6" w:rsidR="00121DDE" w:rsidRPr="00965AE6" w:rsidRDefault="00121DDE" w:rsidP="007909C3">
            <w:pPr>
              <w:tabs>
                <w:tab w:val="clear" w:pos="975"/>
              </w:tabs>
              <w:rPr>
                <w:rFonts w:eastAsia="Calibri"/>
                <w:b/>
                <w:sz w:val="22"/>
                <w:szCs w:val="22"/>
              </w:rPr>
            </w:pPr>
            <w:r w:rsidRPr="00965AE6">
              <w:rPr>
                <w:rFonts w:eastAsia="Calibri"/>
                <w:b/>
                <w:sz w:val="22"/>
                <w:szCs w:val="22"/>
              </w:rPr>
              <w:t>Notes on decision</w:t>
            </w:r>
          </w:p>
        </w:tc>
        <w:tc>
          <w:tcPr>
            <w:tcW w:w="2839" w:type="dxa"/>
            <w:tcBorders>
              <w:bottom w:val="single" w:sz="4" w:space="0" w:color="auto"/>
            </w:tcBorders>
            <w:shd w:val="clear" w:color="auto" w:fill="C9ECFB"/>
          </w:tcPr>
          <w:p w14:paraId="410EBF71" w14:textId="5CEC1B80" w:rsidR="00121DDE" w:rsidRPr="00965AE6" w:rsidRDefault="00121DDE" w:rsidP="007909C3">
            <w:pPr>
              <w:tabs>
                <w:tab w:val="clear" w:pos="975"/>
              </w:tabs>
              <w:rPr>
                <w:rFonts w:eastAsia="Calibri"/>
                <w:b/>
                <w:sz w:val="22"/>
                <w:szCs w:val="22"/>
              </w:rPr>
            </w:pPr>
            <w:r w:rsidRPr="00965AE6">
              <w:rPr>
                <w:rFonts w:eastAsia="Calibri"/>
                <w:b/>
                <w:sz w:val="22"/>
                <w:szCs w:val="22"/>
              </w:rPr>
              <w:t>Cost impact</w:t>
            </w:r>
          </w:p>
        </w:tc>
        <w:tc>
          <w:tcPr>
            <w:tcW w:w="3537" w:type="dxa"/>
            <w:tcBorders>
              <w:bottom w:val="single" w:sz="4" w:space="0" w:color="auto"/>
            </w:tcBorders>
            <w:shd w:val="clear" w:color="auto" w:fill="C9ECFB"/>
          </w:tcPr>
          <w:p w14:paraId="63DF0E3F" w14:textId="57AE4554" w:rsidR="00121DDE" w:rsidRPr="00965AE6" w:rsidRDefault="00121DDE" w:rsidP="007909C3">
            <w:pPr>
              <w:tabs>
                <w:tab w:val="clear" w:pos="975"/>
              </w:tabs>
              <w:rPr>
                <w:rFonts w:eastAsia="Calibri"/>
                <w:b/>
                <w:sz w:val="22"/>
                <w:szCs w:val="22"/>
              </w:rPr>
            </w:pPr>
            <w:r w:rsidRPr="00965AE6">
              <w:rPr>
                <w:rFonts w:eastAsia="Calibri"/>
                <w:b/>
                <w:sz w:val="22"/>
                <w:szCs w:val="22"/>
              </w:rPr>
              <w:t>Commissioning / service implications</w:t>
            </w:r>
          </w:p>
        </w:tc>
      </w:tr>
      <w:bookmarkEnd w:id="0"/>
      <w:tr w:rsidR="00BE73A7" w:rsidRPr="00965AE6" w14:paraId="1C081F0E" w14:textId="77777777" w:rsidTr="00965AE6">
        <w:trPr>
          <w:cantSplit/>
        </w:trPr>
        <w:tc>
          <w:tcPr>
            <w:tcW w:w="1902" w:type="dxa"/>
            <w:shd w:val="clear" w:color="auto" w:fill="auto"/>
          </w:tcPr>
          <w:p w14:paraId="6DCEFAAE" w14:textId="4FDFCEDA" w:rsidR="00121DDE" w:rsidRPr="00965AE6" w:rsidRDefault="00D7352C" w:rsidP="00C352B4">
            <w:pPr>
              <w:tabs>
                <w:tab w:val="clear" w:pos="975"/>
              </w:tabs>
              <w:rPr>
                <w:b/>
                <w:bCs/>
                <w:sz w:val="22"/>
                <w:szCs w:val="22"/>
              </w:rPr>
            </w:pPr>
            <w:r w:rsidRPr="00965AE6">
              <w:rPr>
                <w:b/>
                <w:bCs/>
                <w:sz w:val="22"/>
                <w:szCs w:val="22"/>
              </w:rPr>
              <w:t>Ivermectin</w:t>
            </w:r>
            <w:r w:rsidR="005C247D" w:rsidRPr="00965AE6">
              <w:rPr>
                <w:b/>
                <w:bCs/>
                <w:sz w:val="22"/>
                <w:szCs w:val="22"/>
              </w:rPr>
              <w:t xml:space="preserve"> for scabies</w:t>
            </w:r>
          </w:p>
        </w:tc>
        <w:tc>
          <w:tcPr>
            <w:tcW w:w="2204" w:type="dxa"/>
          </w:tcPr>
          <w:p w14:paraId="3873E6FD" w14:textId="245ADE86" w:rsidR="00684989" w:rsidRPr="00965AE6" w:rsidRDefault="00F80854" w:rsidP="00C352B4">
            <w:pPr>
              <w:tabs>
                <w:tab w:val="clear" w:pos="975"/>
              </w:tabs>
              <w:rPr>
                <w:sz w:val="22"/>
                <w:szCs w:val="22"/>
              </w:rPr>
            </w:pPr>
            <w:r w:rsidRPr="00965AE6">
              <w:rPr>
                <w:sz w:val="22"/>
                <w:szCs w:val="22"/>
              </w:rPr>
              <w:t>The previous RAG status was due to no licensed product be</w:t>
            </w:r>
            <w:r w:rsidR="00E60233" w:rsidRPr="00965AE6">
              <w:rPr>
                <w:sz w:val="22"/>
                <w:szCs w:val="22"/>
              </w:rPr>
              <w:t>ing</w:t>
            </w:r>
            <w:r w:rsidRPr="00965AE6">
              <w:rPr>
                <w:sz w:val="22"/>
                <w:szCs w:val="22"/>
              </w:rPr>
              <w:t xml:space="preserve"> available which is no longer the case. </w:t>
            </w:r>
          </w:p>
        </w:tc>
        <w:tc>
          <w:tcPr>
            <w:tcW w:w="2410" w:type="dxa"/>
            <w:shd w:val="clear" w:color="auto" w:fill="auto"/>
          </w:tcPr>
          <w:p w14:paraId="3F9E55AC" w14:textId="7568947B" w:rsidR="00BC41B8" w:rsidRPr="00965AE6" w:rsidRDefault="00B86F8E" w:rsidP="00BC41B8">
            <w:pPr>
              <w:tabs>
                <w:tab w:val="clear" w:pos="975"/>
              </w:tabs>
              <w:rPr>
                <w:iCs/>
                <w:sz w:val="22"/>
                <w:szCs w:val="22"/>
              </w:rPr>
            </w:pPr>
            <w:r w:rsidRPr="00965AE6">
              <w:rPr>
                <w:iCs/>
                <w:sz w:val="22"/>
                <w:szCs w:val="22"/>
              </w:rPr>
              <w:t>Change from Red</w:t>
            </w:r>
            <w:r w:rsidR="00BE1E4C" w:rsidRPr="00965AE6">
              <w:rPr>
                <w:iCs/>
                <w:sz w:val="22"/>
                <w:szCs w:val="22"/>
              </w:rPr>
              <w:t xml:space="preserve"> to</w:t>
            </w:r>
            <w:r w:rsidR="00B95880" w:rsidRPr="00965AE6">
              <w:rPr>
                <w:iCs/>
                <w:sz w:val="22"/>
                <w:szCs w:val="22"/>
              </w:rPr>
              <w:t xml:space="preserve"> </w:t>
            </w:r>
            <w:r w:rsidR="00BE1E4C" w:rsidRPr="00965AE6">
              <w:rPr>
                <w:iCs/>
                <w:sz w:val="22"/>
                <w:szCs w:val="22"/>
              </w:rPr>
              <w:t xml:space="preserve">Green </w:t>
            </w:r>
            <w:r w:rsidR="00E01A76" w:rsidRPr="00965AE6">
              <w:rPr>
                <w:iCs/>
                <w:sz w:val="22"/>
                <w:szCs w:val="22"/>
              </w:rPr>
              <w:t xml:space="preserve">(with guideline) </w:t>
            </w:r>
          </w:p>
          <w:p w14:paraId="186AF4E0" w14:textId="77777777" w:rsidR="00E60233" w:rsidRPr="00965AE6" w:rsidRDefault="00E60233" w:rsidP="00BC41B8">
            <w:pPr>
              <w:tabs>
                <w:tab w:val="clear" w:pos="975"/>
              </w:tabs>
              <w:rPr>
                <w:sz w:val="22"/>
                <w:szCs w:val="22"/>
              </w:rPr>
            </w:pPr>
          </w:p>
          <w:p w14:paraId="51714277" w14:textId="1CF8DC90" w:rsidR="00BE1E4C" w:rsidRPr="00965AE6" w:rsidRDefault="00B95880" w:rsidP="00C352B4">
            <w:pPr>
              <w:tabs>
                <w:tab w:val="clear" w:pos="975"/>
              </w:tabs>
              <w:rPr>
                <w:sz w:val="22"/>
                <w:szCs w:val="22"/>
              </w:rPr>
            </w:pPr>
            <w:r w:rsidRPr="00965AE6">
              <w:rPr>
                <w:sz w:val="22"/>
                <w:szCs w:val="22"/>
              </w:rPr>
              <w:t xml:space="preserve">It is proposed that the ICB adopts the </w:t>
            </w:r>
            <w:r w:rsidRPr="00965AE6">
              <w:rPr>
                <w:bCs/>
                <w:sz w:val="22"/>
                <w:szCs w:val="22"/>
              </w:rPr>
              <w:t>national Primary Care Dermatology Society clinical guideline for management of scabies</w:t>
            </w:r>
            <w:r w:rsidRPr="00965AE6">
              <w:rPr>
                <w:rFonts w:cs="Times New Roman"/>
                <w:bCs/>
                <w:sz w:val="22"/>
                <w:szCs w:val="22"/>
              </w:rPr>
              <w:t xml:space="preserve">; </w:t>
            </w:r>
            <w:hyperlink r:id="rId10" w:history="1">
              <w:r w:rsidRPr="00965AE6">
                <w:rPr>
                  <w:rStyle w:val="Hyperlink"/>
                  <w:bCs/>
                  <w:sz w:val="22"/>
                  <w:szCs w:val="22"/>
                </w:rPr>
                <w:t>https://www.pcds.org.uk/clinical-guidance/scabies</w:t>
              </w:r>
            </w:hyperlink>
            <w:r w:rsidRPr="00965AE6">
              <w:rPr>
                <w:bCs/>
                <w:sz w:val="22"/>
                <w:szCs w:val="22"/>
              </w:rPr>
              <w:t xml:space="preserve"> </w:t>
            </w:r>
            <w:r w:rsidRPr="00965AE6">
              <w:rPr>
                <w:sz w:val="22"/>
                <w:szCs w:val="22"/>
              </w:rPr>
              <w:t xml:space="preserve">which sets out the place in therapy for </w:t>
            </w:r>
            <w:proofErr w:type="spellStart"/>
            <w:r w:rsidRPr="00965AE6">
              <w:rPr>
                <w:sz w:val="22"/>
                <w:szCs w:val="22"/>
              </w:rPr>
              <w:t>Ivermectin</w:t>
            </w:r>
            <w:proofErr w:type="spellEnd"/>
            <w:r w:rsidR="00D63C15" w:rsidRPr="00965AE6">
              <w:rPr>
                <w:sz w:val="22"/>
                <w:szCs w:val="22"/>
              </w:rPr>
              <w:t>.</w:t>
            </w:r>
          </w:p>
        </w:tc>
        <w:tc>
          <w:tcPr>
            <w:tcW w:w="2547" w:type="dxa"/>
            <w:shd w:val="clear" w:color="auto" w:fill="auto"/>
          </w:tcPr>
          <w:p w14:paraId="2516EDCE" w14:textId="5E8C4EBD" w:rsidR="00B95880" w:rsidRPr="00965AE6" w:rsidRDefault="00CD5BCE" w:rsidP="00B95880">
            <w:pPr>
              <w:tabs>
                <w:tab w:val="clear" w:pos="975"/>
              </w:tabs>
              <w:rPr>
                <w:iCs/>
                <w:sz w:val="22"/>
                <w:szCs w:val="22"/>
              </w:rPr>
            </w:pPr>
            <w:r w:rsidRPr="00965AE6">
              <w:rPr>
                <w:iCs/>
                <w:sz w:val="22"/>
                <w:szCs w:val="22"/>
              </w:rPr>
              <w:t xml:space="preserve">The </w:t>
            </w:r>
            <w:r w:rsidR="004D1E35" w:rsidRPr="00965AE6">
              <w:rPr>
                <w:iCs/>
                <w:sz w:val="22"/>
                <w:szCs w:val="22"/>
              </w:rPr>
              <w:t>PCDS guideline states d</w:t>
            </w:r>
            <w:r w:rsidR="00B95880" w:rsidRPr="00965AE6">
              <w:rPr>
                <w:iCs/>
                <w:sz w:val="22"/>
                <w:szCs w:val="22"/>
              </w:rPr>
              <w:t>iscussion with / referral to a dermatologist should be considered in the following cases:</w:t>
            </w:r>
          </w:p>
          <w:p w14:paraId="7BADAEAE" w14:textId="77777777" w:rsidR="00B95880" w:rsidRPr="00965AE6" w:rsidRDefault="00B95880" w:rsidP="00B95880">
            <w:pPr>
              <w:pStyle w:val="ListParagraph"/>
              <w:numPr>
                <w:ilvl w:val="0"/>
                <w:numId w:val="46"/>
              </w:numPr>
              <w:tabs>
                <w:tab w:val="clear" w:pos="975"/>
              </w:tabs>
              <w:rPr>
                <w:iCs/>
                <w:sz w:val="22"/>
                <w:szCs w:val="22"/>
              </w:rPr>
            </w:pPr>
            <w:r w:rsidRPr="00965AE6">
              <w:rPr>
                <w:iCs/>
                <w:sz w:val="22"/>
                <w:szCs w:val="22"/>
              </w:rPr>
              <w:t>Diagnostic uncertainty / failure to respond to adequate treatment of the patient and contacts</w:t>
            </w:r>
          </w:p>
          <w:p w14:paraId="511347EA" w14:textId="4A2567F8" w:rsidR="00B95880" w:rsidRPr="00965AE6" w:rsidRDefault="00B95880" w:rsidP="00B95880">
            <w:pPr>
              <w:pStyle w:val="ListParagraph"/>
              <w:numPr>
                <w:ilvl w:val="0"/>
                <w:numId w:val="46"/>
              </w:numPr>
              <w:tabs>
                <w:tab w:val="clear" w:pos="975"/>
              </w:tabs>
              <w:rPr>
                <w:iCs/>
                <w:sz w:val="22"/>
                <w:szCs w:val="22"/>
              </w:rPr>
            </w:pPr>
            <w:r w:rsidRPr="00965AE6">
              <w:rPr>
                <w:iCs/>
                <w:sz w:val="22"/>
                <w:szCs w:val="22"/>
              </w:rPr>
              <w:t>An outbreak in a nursing or other care home</w:t>
            </w:r>
            <w:r w:rsidR="00D93E50" w:rsidRPr="00965AE6">
              <w:rPr>
                <w:iCs/>
                <w:sz w:val="22"/>
                <w:szCs w:val="22"/>
              </w:rPr>
              <w:t>.</w:t>
            </w:r>
          </w:p>
          <w:p w14:paraId="010F9ECF" w14:textId="6C0EA9EB" w:rsidR="00121DDE" w:rsidRPr="00965AE6" w:rsidRDefault="00121DDE" w:rsidP="00C352B4">
            <w:pPr>
              <w:tabs>
                <w:tab w:val="clear" w:pos="975"/>
              </w:tabs>
              <w:rPr>
                <w:rFonts w:eastAsiaTheme="minorHAnsi"/>
                <w:sz w:val="22"/>
                <w:szCs w:val="22"/>
              </w:rPr>
            </w:pPr>
          </w:p>
        </w:tc>
        <w:tc>
          <w:tcPr>
            <w:tcW w:w="2839" w:type="dxa"/>
          </w:tcPr>
          <w:p w14:paraId="154A5DA7" w14:textId="77777777" w:rsidR="00C67A4F" w:rsidRPr="00965AE6" w:rsidRDefault="00C1143F" w:rsidP="00C352B4">
            <w:pPr>
              <w:tabs>
                <w:tab w:val="clear" w:pos="975"/>
              </w:tabs>
              <w:rPr>
                <w:rStyle w:val="Style1"/>
                <w:rFonts w:eastAsia="MS Gothic"/>
                <w:sz w:val="22"/>
                <w:szCs w:val="22"/>
              </w:rPr>
            </w:pPr>
            <w:r w:rsidRPr="00965AE6">
              <w:rPr>
                <w:rStyle w:val="Style1"/>
                <w:rFonts w:eastAsia="MS Gothic"/>
                <w:sz w:val="22"/>
                <w:szCs w:val="22"/>
              </w:rPr>
              <w:t xml:space="preserve">This is not a new application but a change in RAG status of the drug Ivermectin from RED to green (with guideline). </w:t>
            </w:r>
          </w:p>
          <w:p w14:paraId="4F4C1AEE" w14:textId="18873008" w:rsidR="00121DDE" w:rsidRPr="00965AE6" w:rsidRDefault="00C1143F" w:rsidP="00C352B4">
            <w:pPr>
              <w:tabs>
                <w:tab w:val="clear" w:pos="975"/>
              </w:tabs>
              <w:rPr>
                <w:sz w:val="22"/>
                <w:szCs w:val="22"/>
              </w:rPr>
            </w:pPr>
            <w:r w:rsidRPr="00965AE6">
              <w:rPr>
                <w:rStyle w:val="Style1"/>
                <w:rFonts w:eastAsia="MS Gothic"/>
                <w:sz w:val="22"/>
                <w:szCs w:val="22"/>
              </w:rPr>
              <w:t xml:space="preserve">The cost of the drug is the same within both primary and secondary care (Drug </w:t>
            </w:r>
            <w:r w:rsidR="009B608D" w:rsidRPr="00965AE6">
              <w:rPr>
                <w:rStyle w:val="Style1"/>
                <w:rFonts w:eastAsia="MS Gothic"/>
                <w:sz w:val="22"/>
                <w:szCs w:val="22"/>
              </w:rPr>
              <w:t>T</w:t>
            </w:r>
            <w:r w:rsidRPr="00965AE6">
              <w:rPr>
                <w:rStyle w:val="Style1"/>
                <w:rFonts w:eastAsia="MS Gothic"/>
                <w:sz w:val="22"/>
                <w:szCs w:val="22"/>
              </w:rPr>
              <w:t>ariff</w:t>
            </w:r>
            <w:r w:rsidR="009B608D" w:rsidRPr="00965AE6">
              <w:rPr>
                <w:rStyle w:val="Style1"/>
                <w:rFonts w:eastAsia="MS Gothic"/>
                <w:sz w:val="22"/>
                <w:szCs w:val="22"/>
              </w:rPr>
              <w:t xml:space="preserve"> March 2025</w:t>
            </w:r>
            <w:r w:rsidRPr="00965AE6">
              <w:rPr>
                <w:rStyle w:val="Style1"/>
                <w:rFonts w:eastAsia="MS Gothic"/>
                <w:sz w:val="22"/>
                <w:szCs w:val="22"/>
              </w:rPr>
              <w:t>; 4 tablets = £55) so there will be no increase in spend to the system</w:t>
            </w:r>
          </w:p>
        </w:tc>
        <w:tc>
          <w:tcPr>
            <w:tcW w:w="3537" w:type="dxa"/>
            <w:shd w:val="clear" w:color="auto" w:fill="FFFFFF"/>
          </w:tcPr>
          <w:p w14:paraId="35B1EAFD" w14:textId="5A0A61C3" w:rsidR="00792C42" w:rsidRPr="00965AE6" w:rsidRDefault="005C247D" w:rsidP="00C352B4">
            <w:pPr>
              <w:tabs>
                <w:tab w:val="clear" w:pos="975"/>
              </w:tabs>
              <w:rPr>
                <w:sz w:val="22"/>
                <w:szCs w:val="22"/>
              </w:rPr>
            </w:pPr>
            <w:r w:rsidRPr="00965AE6">
              <w:rPr>
                <w:sz w:val="22"/>
                <w:szCs w:val="22"/>
              </w:rPr>
              <w:t>At present the RAG status for this drug is Red which means that the patient needs to be referred into secondary care to access this treatment. It would be more appropriate for this to be available within primary care as this drug does not warrant specialist input. The previous RAG status was due to no licensed product been available which is no longer the case. This change means that patients will receive more timely treatment and reduce unnecessary workload on dermatology departments.</w:t>
            </w:r>
          </w:p>
        </w:tc>
      </w:tr>
      <w:tr w:rsidR="006E26D1" w:rsidRPr="00965AE6" w14:paraId="086ACA26" w14:textId="77777777" w:rsidTr="00965AE6">
        <w:trPr>
          <w:cantSplit/>
          <w:trHeight w:val="567"/>
        </w:trPr>
        <w:tc>
          <w:tcPr>
            <w:tcW w:w="1902" w:type="dxa"/>
            <w:shd w:val="clear" w:color="auto" w:fill="auto"/>
          </w:tcPr>
          <w:p w14:paraId="1BFDDB83" w14:textId="67BB9503" w:rsidR="006E26D1" w:rsidRPr="00965AE6" w:rsidRDefault="001A16D7" w:rsidP="00C352B4">
            <w:pPr>
              <w:tabs>
                <w:tab w:val="clear" w:pos="975"/>
              </w:tabs>
              <w:rPr>
                <w:b/>
                <w:bCs/>
                <w:sz w:val="22"/>
                <w:szCs w:val="22"/>
              </w:rPr>
            </w:pPr>
            <w:r w:rsidRPr="00965AE6">
              <w:rPr>
                <w:b/>
                <w:bCs/>
                <w:sz w:val="22"/>
                <w:szCs w:val="22"/>
              </w:rPr>
              <w:lastRenderedPageBreak/>
              <w:t>Budesonide suppositories</w:t>
            </w:r>
          </w:p>
        </w:tc>
        <w:tc>
          <w:tcPr>
            <w:tcW w:w="2204" w:type="dxa"/>
          </w:tcPr>
          <w:p w14:paraId="0ECFEC06" w14:textId="360337AC" w:rsidR="0039749B" w:rsidRPr="00965AE6" w:rsidRDefault="0062032D" w:rsidP="0039749B">
            <w:pPr>
              <w:tabs>
                <w:tab w:val="clear" w:pos="975"/>
              </w:tabs>
              <w:rPr>
                <w:sz w:val="22"/>
                <w:szCs w:val="22"/>
              </w:rPr>
            </w:pPr>
            <w:r w:rsidRPr="00965AE6">
              <w:rPr>
                <w:sz w:val="22"/>
                <w:szCs w:val="22"/>
              </w:rPr>
              <w:t xml:space="preserve">This formulary application is to add budesonide 4mg suppositories to formulary as an alternative to 5mg prednisolone suppositories </w:t>
            </w:r>
            <w:r w:rsidR="00767BE3" w:rsidRPr="00965AE6">
              <w:rPr>
                <w:sz w:val="22"/>
                <w:szCs w:val="22"/>
              </w:rPr>
              <w:t>(</w:t>
            </w:r>
            <w:r w:rsidRPr="00965AE6">
              <w:rPr>
                <w:sz w:val="22"/>
                <w:szCs w:val="22"/>
              </w:rPr>
              <w:t>where a suppository formulation is the most appropriate treatment option.</w:t>
            </w:r>
            <w:r w:rsidR="00767BE3" w:rsidRPr="00965AE6">
              <w:rPr>
                <w:sz w:val="22"/>
                <w:szCs w:val="22"/>
              </w:rPr>
              <w:t>)</w:t>
            </w:r>
          </w:p>
          <w:p w14:paraId="74DAF585" w14:textId="61845907" w:rsidR="006E26D1" w:rsidRPr="00965AE6" w:rsidRDefault="006E26D1" w:rsidP="00C352B4">
            <w:pPr>
              <w:tabs>
                <w:tab w:val="clear" w:pos="975"/>
              </w:tabs>
              <w:rPr>
                <w:sz w:val="22"/>
                <w:szCs w:val="22"/>
              </w:rPr>
            </w:pPr>
          </w:p>
        </w:tc>
        <w:tc>
          <w:tcPr>
            <w:tcW w:w="2410" w:type="dxa"/>
            <w:shd w:val="clear" w:color="auto" w:fill="auto"/>
          </w:tcPr>
          <w:p w14:paraId="38716C69" w14:textId="04D83EEC" w:rsidR="00AC0D39" w:rsidRPr="00965AE6" w:rsidRDefault="00AC0D39" w:rsidP="00760D9E">
            <w:pPr>
              <w:spacing w:before="20" w:after="20"/>
              <w:rPr>
                <w:rFonts w:eastAsia="Arial"/>
                <w:b/>
                <w:bCs/>
                <w:sz w:val="22"/>
                <w:szCs w:val="22"/>
              </w:rPr>
            </w:pPr>
            <w:r w:rsidRPr="00965AE6">
              <w:rPr>
                <w:rFonts w:eastAsia="Arial"/>
                <w:b/>
                <w:bCs/>
                <w:sz w:val="22"/>
                <w:szCs w:val="22"/>
              </w:rPr>
              <w:t>Align formularies;</w:t>
            </w:r>
          </w:p>
          <w:p w14:paraId="55465147" w14:textId="77777777" w:rsidR="00AC0D39" w:rsidRPr="00965AE6" w:rsidRDefault="00AC0D39" w:rsidP="00760D9E">
            <w:pPr>
              <w:spacing w:before="20" w:after="20"/>
              <w:rPr>
                <w:rFonts w:eastAsia="Arial"/>
                <w:b/>
                <w:bCs/>
                <w:sz w:val="22"/>
                <w:szCs w:val="22"/>
              </w:rPr>
            </w:pPr>
          </w:p>
          <w:p w14:paraId="3AA5200C" w14:textId="77777777" w:rsidR="00AC0D39" w:rsidRPr="00965AE6" w:rsidRDefault="00AC0D39" w:rsidP="00760D9E">
            <w:pPr>
              <w:spacing w:before="20" w:after="20"/>
              <w:rPr>
                <w:rFonts w:eastAsia="Arial"/>
                <w:bCs/>
                <w:sz w:val="22"/>
                <w:szCs w:val="22"/>
              </w:rPr>
            </w:pPr>
            <w:r w:rsidRPr="00965AE6">
              <w:rPr>
                <w:rFonts w:eastAsia="Arial"/>
                <w:bCs/>
                <w:sz w:val="22"/>
                <w:szCs w:val="22"/>
              </w:rPr>
              <w:t xml:space="preserve">Budesonide suppositories </w:t>
            </w:r>
          </w:p>
          <w:p w14:paraId="5234FC79" w14:textId="17FF5D25" w:rsidR="00AC0D39" w:rsidRPr="00965AE6" w:rsidRDefault="00AC0D39" w:rsidP="00760D9E">
            <w:pPr>
              <w:spacing w:before="20" w:after="20"/>
              <w:rPr>
                <w:rFonts w:eastAsia="Arial"/>
                <w:bCs/>
                <w:sz w:val="22"/>
                <w:szCs w:val="22"/>
              </w:rPr>
            </w:pPr>
            <w:r w:rsidRPr="00965AE6">
              <w:rPr>
                <w:rFonts w:eastAsia="Arial"/>
                <w:bCs/>
                <w:sz w:val="22"/>
                <w:szCs w:val="22"/>
              </w:rPr>
              <w:t>Amber SR first line</w:t>
            </w:r>
          </w:p>
          <w:p w14:paraId="3D634D55" w14:textId="77777777" w:rsidR="00AC0D39" w:rsidRPr="00965AE6" w:rsidRDefault="00AC0D39" w:rsidP="00760D9E">
            <w:pPr>
              <w:spacing w:before="20" w:after="20"/>
              <w:rPr>
                <w:rFonts w:eastAsia="Arial"/>
                <w:bCs/>
                <w:sz w:val="22"/>
                <w:szCs w:val="22"/>
              </w:rPr>
            </w:pPr>
          </w:p>
          <w:p w14:paraId="08702CAF" w14:textId="77777777" w:rsidR="00AC0D39" w:rsidRPr="00965AE6" w:rsidRDefault="00760D9E" w:rsidP="00760D9E">
            <w:pPr>
              <w:spacing w:before="20" w:after="20"/>
              <w:rPr>
                <w:rFonts w:eastAsia="Arial"/>
                <w:bCs/>
                <w:sz w:val="22"/>
                <w:szCs w:val="22"/>
              </w:rPr>
            </w:pPr>
            <w:r w:rsidRPr="00965AE6">
              <w:rPr>
                <w:rFonts w:eastAsia="Arial"/>
                <w:bCs/>
                <w:sz w:val="22"/>
                <w:szCs w:val="22"/>
              </w:rPr>
              <w:t xml:space="preserve">Prednisolone </w:t>
            </w:r>
            <w:r w:rsidR="00AC0D39" w:rsidRPr="00965AE6">
              <w:rPr>
                <w:rFonts w:eastAsia="Arial"/>
                <w:bCs/>
                <w:sz w:val="22"/>
                <w:szCs w:val="22"/>
              </w:rPr>
              <w:t xml:space="preserve">suppositories </w:t>
            </w:r>
          </w:p>
          <w:p w14:paraId="2DFD7225" w14:textId="0BA9B422" w:rsidR="00760D9E" w:rsidRPr="00965AE6" w:rsidRDefault="00760D9E" w:rsidP="00760D9E">
            <w:pPr>
              <w:spacing w:before="20" w:after="20"/>
              <w:rPr>
                <w:rFonts w:eastAsia="Arial"/>
                <w:sz w:val="22"/>
                <w:szCs w:val="22"/>
              </w:rPr>
            </w:pPr>
            <w:r w:rsidRPr="00965AE6">
              <w:rPr>
                <w:rFonts w:eastAsia="Arial"/>
                <w:bCs/>
                <w:sz w:val="22"/>
                <w:szCs w:val="22"/>
              </w:rPr>
              <w:t>Amber SR second line</w:t>
            </w:r>
          </w:p>
          <w:p w14:paraId="0F09F3B8" w14:textId="77777777" w:rsidR="006E26D1" w:rsidRPr="00965AE6" w:rsidRDefault="006E26D1" w:rsidP="00C352B4">
            <w:pPr>
              <w:tabs>
                <w:tab w:val="clear" w:pos="975"/>
              </w:tabs>
              <w:rPr>
                <w:iCs/>
                <w:sz w:val="22"/>
                <w:szCs w:val="22"/>
              </w:rPr>
            </w:pPr>
          </w:p>
        </w:tc>
        <w:tc>
          <w:tcPr>
            <w:tcW w:w="2547" w:type="dxa"/>
            <w:shd w:val="clear" w:color="auto" w:fill="auto"/>
          </w:tcPr>
          <w:p w14:paraId="0BD78BD3" w14:textId="689493AF" w:rsidR="006E26D1" w:rsidRPr="00965AE6" w:rsidRDefault="00AB681C" w:rsidP="00C352B4">
            <w:pPr>
              <w:tabs>
                <w:tab w:val="clear" w:pos="975"/>
              </w:tabs>
              <w:rPr>
                <w:rFonts w:eastAsiaTheme="minorHAnsi"/>
                <w:sz w:val="22"/>
                <w:szCs w:val="22"/>
              </w:rPr>
            </w:pPr>
            <w:r w:rsidRPr="00965AE6">
              <w:rPr>
                <w:sz w:val="22"/>
                <w:szCs w:val="22"/>
              </w:rPr>
              <w:t>Prednisolone 5mg suppositories are used twice a da</w:t>
            </w:r>
            <w:r w:rsidR="00AC0D39" w:rsidRPr="00965AE6">
              <w:rPr>
                <w:sz w:val="22"/>
                <w:szCs w:val="22"/>
              </w:rPr>
              <w:t>y</w:t>
            </w:r>
            <w:r w:rsidRPr="00965AE6">
              <w:rPr>
                <w:sz w:val="22"/>
                <w:szCs w:val="22"/>
              </w:rPr>
              <w:t>, u</w:t>
            </w:r>
            <w:r w:rsidR="0062032D" w:rsidRPr="00965AE6">
              <w:rPr>
                <w:sz w:val="22"/>
                <w:szCs w:val="22"/>
              </w:rPr>
              <w:t>sing a suppository in the morning can be impractical for patients</w:t>
            </w:r>
            <w:r w:rsidR="00AC0D39" w:rsidRPr="00965AE6">
              <w:rPr>
                <w:sz w:val="22"/>
                <w:szCs w:val="22"/>
              </w:rPr>
              <w:t xml:space="preserve">. </w:t>
            </w:r>
            <w:r w:rsidR="00903316" w:rsidRPr="00965AE6">
              <w:rPr>
                <w:sz w:val="22"/>
                <w:szCs w:val="22"/>
              </w:rPr>
              <w:t xml:space="preserve">Budesonide 4mg suppositories are licensed to be used once daily </w:t>
            </w:r>
            <w:r w:rsidR="0062032D" w:rsidRPr="00965AE6">
              <w:rPr>
                <w:sz w:val="22"/>
                <w:szCs w:val="22"/>
              </w:rPr>
              <w:t xml:space="preserve">(at night) </w:t>
            </w:r>
            <w:r w:rsidR="00903316" w:rsidRPr="00965AE6">
              <w:rPr>
                <w:sz w:val="22"/>
                <w:szCs w:val="22"/>
              </w:rPr>
              <w:t>are</w:t>
            </w:r>
            <w:r w:rsidR="0062032D" w:rsidRPr="00965AE6">
              <w:rPr>
                <w:sz w:val="22"/>
                <w:szCs w:val="22"/>
              </w:rPr>
              <w:t xml:space="preserve"> more acceptable for patients.</w:t>
            </w:r>
          </w:p>
        </w:tc>
        <w:tc>
          <w:tcPr>
            <w:tcW w:w="2839" w:type="dxa"/>
          </w:tcPr>
          <w:p w14:paraId="1B85BF3A" w14:textId="048308B5" w:rsidR="006E26D1" w:rsidRPr="00965AE6" w:rsidRDefault="00760D9E" w:rsidP="00C352B4">
            <w:pPr>
              <w:tabs>
                <w:tab w:val="clear" w:pos="975"/>
              </w:tabs>
              <w:rPr>
                <w:sz w:val="22"/>
                <w:szCs w:val="22"/>
              </w:rPr>
            </w:pPr>
            <w:r w:rsidRPr="00965AE6">
              <w:rPr>
                <w:sz w:val="22"/>
                <w:szCs w:val="22"/>
              </w:rPr>
              <w:t>Cost saving</w:t>
            </w:r>
            <w:r w:rsidR="00903316" w:rsidRPr="00965AE6">
              <w:rPr>
                <w:sz w:val="22"/>
                <w:szCs w:val="22"/>
              </w:rPr>
              <w:t>;</w:t>
            </w:r>
          </w:p>
          <w:p w14:paraId="7505CC43" w14:textId="77777777" w:rsidR="0062032D" w:rsidRPr="00965AE6" w:rsidRDefault="0062032D" w:rsidP="0062032D">
            <w:pPr>
              <w:tabs>
                <w:tab w:val="clear" w:pos="975"/>
              </w:tabs>
              <w:rPr>
                <w:sz w:val="22"/>
                <w:szCs w:val="22"/>
              </w:rPr>
            </w:pPr>
            <w:r w:rsidRPr="00965AE6">
              <w:rPr>
                <w:sz w:val="22"/>
                <w:szCs w:val="22"/>
              </w:rPr>
              <w:t>Prednisolone 5mg suppositories are used twice a day, costing £50.27 / day.</w:t>
            </w:r>
          </w:p>
          <w:p w14:paraId="7A7A2F61" w14:textId="5C1E6443" w:rsidR="0062032D" w:rsidRPr="00965AE6" w:rsidRDefault="0062032D" w:rsidP="0062032D">
            <w:pPr>
              <w:tabs>
                <w:tab w:val="clear" w:pos="975"/>
              </w:tabs>
              <w:rPr>
                <w:sz w:val="22"/>
                <w:szCs w:val="22"/>
              </w:rPr>
            </w:pPr>
            <w:r w:rsidRPr="00965AE6">
              <w:rPr>
                <w:sz w:val="22"/>
                <w:szCs w:val="22"/>
              </w:rPr>
              <w:t xml:space="preserve">Budesonide 4mg suppositories are licensed to be </w:t>
            </w:r>
            <w:r w:rsidR="00AB681C" w:rsidRPr="00965AE6">
              <w:rPr>
                <w:sz w:val="22"/>
                <w:szCs w:val="22"/>
              </w:rPr>
              <w:t>used</w:t>
            </w:r>
            <w:r w:rsidRPr="00965AE6">
              <w:rPr>
                <w:sz w:val="22"/>
                <w:szCs w:val="22"/>
              </w:rPr>
              <w:t xml:space="preserve"> once daily and cost £6.60 / day.</w:t>
            </w:r>
          </w:p>
          <w:p w14:paraId="671BD70C" w14:textId="09082C88" w:rsidR="0062032D" w:rsidRPr="00965AE6" w:rsidRDefault="0062032D" w:rsidP="00C352B4">
            <w:pPr>
              <w:tabs>
                <w:tab w:val="clear" w:pos="975"/>
              </w:tabs>
              <w:rPr>
                <w:sz w:val="22"/>
                <w:szCs w:val="22"/>
              </w:rPr>
            </w:pPr>
          </w:p>
        </w:tc>
        <w:tc>
          <w:tcPr>
            <w:tcW w:w="3537" w:type="dxa"/>
            <w:shd w:val="clear" w:color="auto" w:fill="FFFFFF"/>
          </w:tcPr>
          <w:p w14:paraId="3215C672" w14:textId="722153F3" w:rsidR="006E26D1" w:rsidRPr="00965AE6" w:rsidRDefault="0017186C" w:rsidP="00C352B4">
            <w:pPr>
              <w:tabs>
                <w:tab w:val="clear" w:pos="975"/>
              </w:tabs>
              <w:rPr>
                <w:sz w:val="22"/>
                <w:szCs w:val="22"/>
              </w:rPr>
            </w:pPr>
            <w:r w:rsidRPr="00965AE6">
              <w:rPr>
                <w:sz w:val="22"/>
                <w:szCs w:val="22"/>
              </w:rPr>
              <w:t xml:space="preserve">No change to current service. </w:t>
            </w:r>
          </w:p>
        </w:tc>
      </w:tr>
    </w:tbl>
    <w:p w14:paraId="1D11733C" w14:textId="4A67EF5D" w:rsidR="00ED4F43" w:rsidRDefault="00ED4F43" w:rsidP="00383A54">
      <w:pPr>
        <w:spacing w:before="0" w:after="0"/>
        <w:rPr>
          <w:sz w:val="20"/>
          <w:lang w:val="en-US" w:eastAsia="ja-JP"/>
        </w:rPr>
      </w:pPr>
    </w:p>
    <w:p w14:paraId="750ACE10" w14:textId="77777777" w:rsidR="006E26D1" w:rsidRDefault="006E26D1" w:rsidP="00383A54">
      <w:pPr>
        <w:spacing w:before="0" w:after="0"/>
        <w:rPr>
          <w:sz w:val="20"/>
          <w:lang w:val="en-US" w:eastAsia="ja-JP"/>
        </w:rPr>
      </w:pPr>
    </w:p>
    <w:tbl>
      <w:tblPr>
        <w:tblpPr w:leftFromText="180" w:rightFromText="180" w:vertAnchor="text" w:horzAnchor="margin" w:tblpX="-22" w:tblpY="21"/>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5"/>
      </w:tblGrid>
      <w:tr w:rsidR="009C22A2" w:rsidRPr="00383A54" w14:paraId="662A5E34" w14:textId="77777777" w:rsidTr="009C22A2">
        <w:trPr>
          <w:cantSplit/>
        </w:trPr>
        <w:tc>
          <w:tcPr>
            <w:tcW w:w="5000" w:type="pct"/>
            <w:shd w:val="clear" w:color="auto" w:fill="auto"/>
          </w:tcPr>
          <w:p w14:paraId="1334A854" w14:textId="77777777" w:rsidR="009C22A2" w:rsidRPr="00383A54" w:rsidRDefault="009C22A2" w:rsidP="00901B84">
            <w:pPr>
              <w:tabs>
                <w:tab w:val="clear" w:pos="975"/>
              </w:tabs>
              <w:spacing w:before="120" w:after="120"/>
              <w:jc w:val="center"/>
              <w:rPr>
                <w:sz w:val="24"/>
                <w:szCs w:val="24"/>
              </w:rPr>
            </w:pPr>
            <w:r>
              <w:rPr>
                <w:rFonts w:eastAsia="Calibri"/>
                <w:b/>
                <w:color w:val="1F497D"/>
                <w:sz w:val="24"/>
                <w:szCs w:val="24"/>
              </w:rPr>
              <w:t>NICE Technology Appraisals and Guidance</w:t>
            </w:r>
          </w:p>
        </w:tc>
      </w:tr>
    </w:tbl>
    <w:p w14:paraId="6D0E09B9" w14:textId="77777777" w:rsidR="00ED412F" w:rsidRPr="00383A54" w:rsidRDefault="00ED412F" w:rsidP="00383A54">
      <w:pPr>
        <w:spacing w:before="0" w:after="0"/>
        <w:rPr>
          <w:sz w:val="20"/>
          <w:lang w:val="en-US" w:eastAsia="ja-JP"/>
        </w:rPr>
      </w:pPr>
    </w:p>
    <w:tbl>
      <w:tblPr>
        <w:tblW w:w="1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7"/>
        <w:gridCol w:w="2712"/>
        <w:gridCol w:w="2268"/>
        <w:gridCol w:w="2977"/>
        <w:gridCol w:w="3395"/>
      </w:tblGrid>
      <w:tr w:rsidR="006E26D1" w:rsidRPr="00253EC1" w14:paraId="735BDCC7" w14:textId="77777777" w:rsidTr="006E26D1">
        <w:trPr>
          <w:cantSplit/>
          <w:trHeight w:val="548"/>
          <w:tblHeader/>
        </w:trPr>
        <w:tc>
          <w:tcPr>
            <w:tcW w:w="0" w:type="auto"/>
            <w:tcBorders>
              <w:bottom w:val="single" w:sz="4" w:space="0" w:color="auto"/>
            </w:tcBorders>
            <w:shd w:val="clear" w:color="auto" w:fill="C9ECFB"/>
          </w:tcPr>
          <w:p w14:paraId="07A40E0F" w14:textId="6207FA31" w:rsidR="006E26D1" w:rsidRPr="007909C3" w:rsidRDefault="006E26D1" w:rsidP="00063CFB">
            <w:pPr>
              <w:tabs>
                <w:tab w:val="clear" w:pos="975"/>
              </w:tabs>
              <w:rPr>
                <w:rFonts w:eastAsia="Calibri"/>
                <w:b/>
              </w:rPr>
            </w:pPr>
            <w:r>
              <w:rPr>
                <w:rFonts w:eastAsia="Calibri"/>
                <w:b/>
              </w:rPr>
              <w:t>NICE Technology appraisal or guidance</w:t>
            </w:r>
          </w:p>
        </w:tc>
        <w:tc>
          <w:tcPr>
            <w:tcW w:w="2712" w:type="dxa"/>
            <w:tcBorders>
              <w:bottom w:val="single" w:sz="4" w:space="0" w:color="auto"/>
            </w:tcBorders>
            <w:shd w:val="clear" w:color="auto" w:fill="C9ECFB"/>
          </w:tcPr>
          <w:p w14:paraId="38F6EF07" w14:textId="77777777" w:rsidR="006E26D1" w:rsidRPr="007909C3" w:rsidRDefault="006E26D1" w:rsidP="00063CFB">
            <w:pPr>
              <w:tabs>
                <w:tab w:val="clear" w:pos="975"/>
              </w:tabs>
              <w:rPr>
                <w:rFonts w:eastAsia="Calibri"/>
                <w:b/>
              </w:rPr>
            </w:pPr>
            <w:r>
              <w:rPr>
                <w:rFonts w:eastAsia="Calibri"/>
                <w:b/>
              </w:rPr>
              <w:t>Status and formulary position assigned</w:t>
            </w:r>
          </w:p>
        </w:tc>
        <w:tc>
          <w:tcPr>
            <w:tcW w:w="2268" w:type="dxa"/>
            <w:tcBorders>
              <w:bottom w:val="single" w:sz="4" w:space="0" w:color="auto"/>
            </w:tcBorders>
            <w:shd w:val="clear" w:color="auto" w:fill="C9ECFB"/>
          </w:tcPr>
          <w:p w14:paraId="743CAF7D" w14:textId="77777777" w:rsidR="006E26D1" w:rsidRPr="007909C3" w:rsidRDefault="006E26D1" w:rsidP="00063CFB">
            <w:pPr>
              <w:tabs>
                <w:tab w:val="clear" w:pos="975"/>
              </w:tabs>
              <w:rPr>
                <w:rFonts w:eastAsia="Calibri"/>
                <w:b/>
              </w:rPr>
            </w:pPr>
            <w:r>
              <w:rPr>
                <w:rFonts w:eastAsia="Calibri"/>
                <w:b/>
              </w:rPr>
              <w:t>Notes on decision</w:t>
            </w:r>
          </w:p>
        </w:tc>
        <w:tc>
          <w:tcPr>
            <w:tcW w:w="2977" w:type="dxa"/>
            <w:tcBorders>
              <w:bottom w:val="single" w:sz="4" w:space="0" w:color="auto"/>
            </w:tcBorders>
            <w:shd w:val="clear" w:color="auto" w:fill="C9ECFB"/>
          </w:tcPr>
          <w:p w14:paraId="57254758" w14:textId="77777777" w:rsidR="006E26D1" w:rsidRPr="007909C3" w:rsidRDefault="006E26D1" w:rsidP="00063CFB">
            <w:pPr>
              <w:tabs>
                <w:tab w:val="clear" w:pos="975"/>
              </w:tabs>
              <w:rPr>
                <w:rFonts w:eastAsia="Calibri"/>
                <w:b/>
              </w:rPr>
            </w:pPr>
            <w:r>
              <w:rPr>
                <w:rFonts w:eastAsia="Calibri"/>
                <w:b/>
              </w:rPr>
              <w:t>Cost impact</w:t>
            </w:r>
          </w:p>
        </w:tc>
        <w:tc>
          <w:tcPr>
            <w:tcW w:w="3395" w:type="dxa"/>
            <w:tcBorders>
              <w:bottom w:val="single" w:sz="4" w:space="0" w:color="auto"/>
            </w:tcBorders>
            <w:shd w:val="clear" w:color="auto" w:fill="C9ECFB"/>
          </w:tcPr>
          <w:p w14:paraId="4C2EDB67" w14:textId="77777777" w:rsidR="006E26D1" w:rsidRPr="007909C3" w:rsidRDefault="006E26D1" w:rsidP="00063CFB">
            <w:pPr>
              <w:tabs>
                <w:tab w:val="clear" w:pos="975"/>
              </w:tabs>
              <w:rPr>
                <w:rFonts w:eastAsia="Calibri"/>
                <w:b/>
              </w:rPr>
            </w:pPr>
            <w:r>
              <w:rPr>
                <w:rFonts w:eastAsia="Calibri"/>
                <w:b/>
              </w:rPr>
              <w:t>Commissioning / service implications</w:t>
            </w:r>
          </w:p>
        </w:tc>
      </w:tr>
      <w:tr w:rsidR="006E26D1" w:rsidRPr="00253EC1" w14:paraId="6BC80449" w14:textId="77777777" w:rsidTr="006E26D1">
        <w:trPr>
          <w:cantSplit/>
          <w:trHeight w:val="548"/>
        </w:trPr>
        <w:tc>
          <w:tcPr>
            <w:tcW w:w="0" w:type="auto"/>
            <w:shd w:val="clear" w:color="auto" w:fill="auto"/>
          </w:tcPr>
          <w:p w14:paraId="3F0A24CF" w14:textId="7EC72B8D" w:rsidR="006E26D1" w:rsidRPr="00040B38" w:rsidRDefault="00040B38" w:rsidP="00870354">
            <w:pPr>
              <w:tabs>
                <w:tab w:val="clear" w:pos="975"/>
              </w:tabs>
              <w:rPr>
                <w:bCs/>
              </w:rPr>
            </w:pPr>
            <w:r w:rsidRPr="00040B38">
              <w:rPr>
                <w:bCs/>
              </w:rPr>
              <w:t>There were no appraisals for ICB-commissioned medicines this month</w:t>
            </w:r>
          </w:p>
        </w:tc>
        <w:tc>
          <w:tcPr>
            <w:tcW w:w="2712" w:type="dxa"/>
            <w:shd w:val="clear" w:color="auto" w:fill="auto"/>
          </w:tcPr>
          <w:p w14:paraId="5443BC92" w14:textId="124D53BF" w:rsidR="006E26D1" w:rsidRPr="00870354" w:rsidRDefault="006E26D1" w:rsidP="00F01329"/>
        </w:tc>
        <w:tc>
          <w:tcPr>
            <w:tcW w:w="2268" w:type="dxa"/>
            <w:shd w:val="clear" w:color="auto" w:fill="auto"/>
          </w:tcPr>
          <w:p w14:paraId="45A61B56" w14:textId="54752AB5" w:rsidR="006E26D1" w:rsidRPr="00870354" w:rsidRDefault="006E26D1" w:rsidP="00F01329"/>
        </w:tc>
        <w:tc>
          <w:tcPr>
            <w:tcW w:w="2977" w:type="dxa"/>
          </w:tcPr>
          <w:p w14:paraId="6210A9C8" w14:textId="7F1E877D" w:rsidR="006E26D1" w:rsidRPr="006E26D1" w:rsidRDefault="006E26D1" w:rsidP="006E26D1"/>
        </w:tc>
        <w:tc>
          <w:tcPr>
            <w:tcW w:w="3395" w:type="dxa"/>
            <w:shd w:val="clear" w:color="auto" w:fill="FFFFFF"/>
          </w:tcPr>
          <w:p w14:paraId="3AFB2F0C" w14:textId="763E70AA" w:rsidR="006E26D1" w:rsidRPr="00870354" w:rsidRDefault="006E26D1" w:rsidP="00870354"/>
        </w:tc>
      </w:tr>
      <w:tr w:rsidR="00040B38" w:rsidRPr="00253EC1" w14:paraId="3CABA8D2" w14:textId="77777777" w:rsidTr="00C04ECC">
        <w:trPr>
          <w:cantSplit/>
          <w:trHeight w:val="548"/>
        </w:trPr>
        <w:tc>
          <w:tcPr>
            <w:tcW w:w="15439" w:type="dxa"/>
            <w:gridSpan w:val="5"/>
            <w:shd w:val="clear" w:color="auto" w:fill="auto"/>
          </w:tcPr>
          <w:p w14:paraId="303365F5" w14:textId="77777777" w:rsidR="00040B38" w:rsidRDefault="00040B38" w:rsidP="00040B38">
            <w:r w:rsidRPr="00DD60AE">
              <w:t>The following NHSE-commissioned medicines received positive NICE appraisals. They will be assessed by provider trusts once all necessary information is available, and if added to the HNY formulary they will have a status of RED</w:t>
            </w:r>
          </w:p>
          <w:p w14:paraId="386C3C3F" w14:textId="77777777" w:rsidR="00040B38" w:rsidRPr="00F805A1" w:rsidRDefault="00040B38" w:rsidP="00040B38">
            <w:pPr>
              <w:tabs>
                <w:tab w:val="clear" w:pos="975"/>
              </w:tabs>
              <w:rPr>
                <w:b/>
                <w:bCs/>
              </w:rPr>
            </w:pPr>
            <w:hyperlink r:id="rId11" w:history="1">
              <w:r w:rsidRPr="00F805A1">
                <w:rPr>
                  <w:rStyle w:val="Hyperlink"/>
                  <w:rFonts w:cs="Arial"/>
                  <w:b/>
                  <w:bCs/>
                </w:rPr>
                <w:t xml:space="preserve">TA1036: </w:t>
              </w:r>
              <w:proofErr w:type="spellStart"/>
              <w:r w:rsidRPr="00F805A1">
                <w:rPr>
                  <w:rStyle w:val="Hyperlink"/>
                  <w:rFonts w:cs="Arial"/>
                  <w:b/>
                  <w:bCs/>
                </w:rPr>
                <w:t>Elacestrant</w:t>
              </w:r>
              <w:proofErr w:type="spellEnd"/>
              <w:r w:rsidRPr="00F805A1">
                <w:rPr>
                  <w:rStyle w:val="Hyperlink"/>
                  <w:rFonts w:cs="Arial"/>
                  <w:b/>
                  <w:bCs/>
                </w:rPr>
                <w:t xml:space="preserve"> for treating oestrogen receptor-positive HER2-negative advanced breast cancer with an ESR1 mutation after endocrine treatment</w:t>
              </w:r>
            </w:hyperlink>
          </w:p>
          <w:p w14:paraId="3B620549" w14:textId="77777777" w:rsidR="00040B38" w:rsidRPr="00032528" w:rsidRDefault="00040B38" w:rsidP="00040B38">
            <w:pPr>
              <w:tabs>
                <w:tab w:val="clear" w:pos="975"/>
              </w:tabs>
              <w:rPr>
                <w:b/>
                <w:bCs/>
              </w:rPr>
            </w:pPr>
            <w:hyperlink r:id="rId12" w:history="1">
              <w:r w:rsidRPr="00032528">
                <w:rPr>
                  <w:rStyle w:val="Hyperlink"/>
                  <w:rFonts w:cs="Arial"/>
                  <w:b/>
                  <w:bCs/>
                </w:rPr>
                <w:t>TA1037: Pembrolizumab for adjuvant treatment of resected non-small-cell lung cancer</w:t>
              </w:r>
            </w:hyperlink>
          </w:p>
          <w:p w14:paraId="31C11CD9" w14:textId="77777777" w:rsidR="00040B38" w:rsidRPr="00F23C1E" w:rsidRDefault="00040B38" w:rsidP="00040B38">
            <w:pPr>
              <w:tabs>
                <w:tab w:val="clear" w:pos="975"/>
              </w:tabs>
              <w:rPr>
                <w:b/>
                <w:bCs/>
              </w:rPr>
            </w:pPr>
            <w:hyperlink r:id="rId13" w:history="1">
              <w:r w:rsidRPr="00F23C1E">
                <w:rPr>
                  <w:rStyle w:val="Hyperlink"/>
                  <w:rFonts w:cs="Arial"/>
                  <w:b/>
                  <w:bCs/>
                </w:rPr>
                <w:t>TA1038: Selpercatinib for advanced thyroid cancer with RET alterations after treatment with a targeted cancer drug in people 12 years and over</w:t>
              </w:r>
            </w:hyperlink>
          </w:p>
          <w:p w14:paraId="3A5FB6FF" w14:textId="77777777" w:rsidR="00040B38" w:rsidRPr="00C14E92" w:rsidRDefault="00040B38" w:rsidP="00040B38">
            <w:pPr>
              <w:tabs>
                <w:tab w:val="clear" w:pos="975"/>
              </w:tabs>
              <w:rPr>
                <w:b/>
                <w:bCs/>
              </w:rPr>
            </w:pPr>
            <w:hyperlink r:id="rId14" w:history="1">
              <w:r w:rsidRPr="00C14E92">
                <w:rPr>
                  <w:rStyle w:val="Hyperlink"/>
                  <w:rFonts w:cs="Arial"/>
                  <w:b/>
                  <w:bCs/>
                </w:rPr>
                <w:t>TA1039: Selpercatinib for advanced thyroid cancer with RET alterations untreated with a targeted cancer drug in people 12 years and over</w:t>
              </w:r>
            </w:hyperlink>
          </w:p>
          <w:p w14:paraId="593C73BE" w14:textId="77777777" w:rsidR="00040B38" w:rsidRPr="005555DD" w:rsidRDefault="00040B38" w:rsidP="00040B38">
            <w:pPr>
              <w:tabs>
                <w:tab w:val="clear" w:pos="975"/>
              </w:tabs>
              <w:rPr>
                <w:b/>
                <w:bCs/>
              </w:rPr>
            </w:pPr>
            <w:hyperlink r:id="rId15" w:history="1">
              <w:r w:rsidRPr="005555DD">
                <w:rPr>
                  <w:rStyle w:val="Hyperlink"/>
                  <w:rFonts w:cs="Arial"/>
                  <w:b/>
                  <w:bCs/>
                </w:rPr>
                <w:t>TA1040: Olaparib for treating BRCA mutation-positive HER2-negative advanced breast cancer after chemotherapy</w:t>
              </w:r>
            </w:hyperlink>
          </w:p>
          <w:p w14:paraId="1A525E1B" w14:textId="77777777" w:rsidR="00040B38" w:rsidRPr="00AE674D" w:rsidRDefault="00040B38" w:rsidP="00040B38">
            <w:pPr>
              <w:tabs>
                <w:tab w:val="clear" w:pos="975"/>
              </w:tabs>
              <w:rPr>
                <w:b/>
                <w:bCs/>
              </w:rPr>
            </w:pPr>
            <w:hyperlink r:id="rId16" w:history="1">
              <w:r w:rsidRPr="00AE674D">
                <w:rPr>
                  <w:rStyle w:val="Hyperlink"/>
                  <w:rFonts w:cs="Arial"/>
                  <w:b/>
                  <w:bCs/>
                </w:rPr>
                <w:t>TA1041: Durvalumab with etoposide and either carboplatin or cisplatin for untreated extensive-stage small-cell lung cancer</w:t>
              </w:r>
            </w:hyperlink>
          </w:p>
          <w:p w14:paraId="0A4DDF8A" w14:textId="77777777" w:rsidR="00040B38" w:rsidRPr="00AE674D" w:rsidRDefault="00040B38" w:rsidP="00040B38">
            <w:pPr>
              <w:tabs>
                <w:tab w:val="clear" w:pos="975"/>
              </w:tabs>
              <w:rPr>
                <w:b/>
                <w:bCs/>
              </w:rPr>
            </w:pPr>
            <w:hyperlink r:id="rId17" w:history="1">
              <w:r w:rsidRPr="00AE674D">
                <w:rPr>
                  <w:rStyle w:val="Hyperlink"/>
                  <w:rFonts w:cs="Arial"/>
                  <w:b/>
                  <w:bCs/>
                </w:rPr>
                <w:t>TA1042: Selpercatinib for previously treated RET fusion-positive advanced non-small-cell lung cancer</w:t>
              </w:r>
            </w:hyperlink>
          </w:p>
          <w:p w14:paraId="0A5FBE63" w14:textId="77777777" w:rsidR="00040B38" w:rsidRPr="00E26DFE" w:rsidRDefault="00040B38" w:rsidP="00040B38">
            <w:pPr>
              <w:tabs>
                <w:tab w:val="clear" w:pos="975"/>
              </w:tabs>
              <w:rPr>
                <w:rStyle w:val="Hyperlink"/>
                <w:rFonts w:cs="Arial"/>
                <w:b/>
                <w:bCs/>
              </w:rPr>
            </w:pPr>
            <w:r>
              <w:rPr>
                <w:b/>
                <w:bCs/>
              </w:rPr>
              <w:fldChar w:fldCharType="begin"/>
            </w:r>
            <w:r>
              <w:rPr>
                <w:b/>
                <w:bCs/>
              </w:rPr>
              <w:instrText>HYPERLINK "https://www.nice.org.uk/guidance/ta1043"</w:instrText>
            </w:r>
            <w:r>
              <w:rPr>
                <w:b/>
                <w:bCs/>
              </w:rPr>
              <w:fldChar w:fldCharType="separate"/>
            </w:r>
            <w:r w:rsidRPr="00E26DFE">
              <w:rPr>
                <w:rStyle w:val="Hyperlink"/>
                <w:rFonts w:cs="Arial"/>
                <w:b/>
                <w:bCs/>
              </w:rPr>
              <w:t>TA1043: Osimertinib for adjuvant treatment of EGFR mutation-positive non-small-cell lung cancer after complete tumour resection</w:t>
            </w:r>
          </w:p>
          <w:p w14:paraId="3A3920CA" w14:textId="05EA79B7" w:rsidR="00040B38" w:rsidRPr="00040B38" w:rsidRDefault="00040B38" w:rsidP="00040B38">
            <w:pPr>
              <w:tabs>
                <w:tab w:val="clear" w:pos="975"/>
              </w:tabs>
              <w:rPr>
                <w:b/>
                <w:bCs/>
              </w:rPr>
            </w:pPr>
            <w:r>
              <w:rPr>
                <w:b/>
                <w:bCs/>
              </w:rPr>
              <w:fldChar w:fldCharType="end"/>
            </w:r>
            <w:hyperlink r:id="rId18" w:history="1">
              <w:r w:rsidRPr="00DF77F8">
                <w:rPr>
                  <w:rStyle w:val="Hyperlink"/>
                  <w:rFonts w:cs="Arial"/>
                  <w:b/>
                  <w:bCs/>
                </w:rPr>
                <w:t xml:space="preserve">TA1044: </w:t>
              </w:r>
              <w:proofErr w:type="spellStart"/>
              <w:r w:rsidRPr="00DF77F8">
                <w:rPr>
                  <w:rStyle w:val="Hyperlink"/>
                  <w:rFonts w:cs="Arial"/>
                  <w:b/>
                  <w:bCs/>
                </w:rPr>
                <w:t>Exagamglogene</w:t>
              </w:r>
              <w:proofErr w:type="spellEnd"/>
              <w:r w:rsidRPr="00DF77F8">
                <w:rPr>
                  <w:rStyle w:val="Hyperlink"/>
                  <w:rFonts w:cs="Arial"/>
                  <w:b/>
                  <w:bCs/>
                </w:rPr>
                <w:t xml:space="preserve"> </w:t>
              </w:r>
              <w:proofErr w:type="spellStart"/>
              <w:r w:rsidRPr="00DF77F8">
                <w:rPr>
                  <w:rStyle w:val="Hyperlink"/>
                  <w:rFonts w:cs="Arial"/>
                  <w:b/>
                  <w:bCs/>
                </w:rPr>
                <w:t>autotemcel</w:t>
              </w:r>
              <w:proofErr w:type="spellEnd"/>
              <w:r w:rsidRPr="00DF77F8">
                <w:rPr>
                  <w:rStyle w:val="Hyperlink"/>
                  <w:rFonts w:cs="Arial"/>
                  <w:b/>
                  <w:bCs/>
                </w:rPr>
                <w:t xml:space="preserve"> for treating severe sickle cell disease in people 12 years and over</w:t>
              </w:r>
            </w:hyperlink>
          </w:p>
        </w:tc>
      </w:tr>
      <w:tr w:rsidR="00890B23" w:rsidRPr="00253EC1" w14:paraId="0F3428C8" w14:textId="77777777" w:rsidTr="006E26D1">
        <w:trPr>
          <w:cantSplit/>
        </w:trPr>
        <w:tc>
          <w:tcPr>
            <w:tcW w:w="0" w:type="auto"/>
            <w:gridSpan w:val="5"/>
            <w:shd w:val="clear" w:color="auto" w:fill="auto"/>
          </w:tcPr>
          <w:p w14:paraId="74745772" w14:textId="77777777" w:rsidR="00890B23" w:rsidRDefault="00890B23" w:rsidP="0028306A">
            <w:pPr>
              <w:jc w:val="center"/>
              <w:rPr>
                <w:iCs/>
              </w:rPr>
            </w:pPr>
            <w:r w:rsidRPr="0028306A">
              <w:rPr>
                <w:rFonts w:eastAsia="Calibri"/>
                <w:sz w:val="20"/>
                <w:szCs w:val="20"/>
              </w:rPr>
              <w:t>All links to MHRA drug safety updates added to formulary as published. Significant alerts where further action is required are highlighted.</w:t>
            </w:r>
          </w:p>
        </w:tc>
      </w:tr>
    </w:tbl>
    <w:p w14:paraId="6A3D49F8" w14:textId="4C4B9C0A" w:rsidR="00686FE4" w:rsidRPr="00432265" w:rsidRDefault="00686FE4" w:rsidP="00432265">
      <w:pPr>
        <w:pStyle w:val="BodyText"/>
        <w:tabs>
          <w:tab w:val="clear" w:pos="975"/>
        </w:tabs>
        <w:spacing w:before="68" w:after="0"/>
        <w:ind w:left="1"/>
        <w:jc w:val="center"/>
        <w:rPr>
          <w:rFonts w:ascii="Helvetica" w:hAnsi="Helvetica" w:cs="Helvetica"/>
          <w:color w:val="4C4D4F"/>
        </w:rPr>
      </w:pPr>
    </w:p>
    <w:p w14:paraId="2AD71F3F" w14:textId="1F7D0753" w:rsidR="00121DDE" w:rsidRDefault="006E26D1" w:rsidP="00432265">
      <w:pPr>
        <w:pStyle w:val="BodyText"/>
        <w:spacing w:before="68"/>
        <w:ind w:left="1"/>
        <w:jc w:val="center"/>
        <w:rPr>
          <w:color w:val="4C4D4F"/>
        </w:rPr>
      </w:pPr>
      <w:r>
        <w:rPr>
          <w:color w:val="4C4D4F"/>
        </w:rPr>
        <w:t>HNY APC</w:t>
      </w:r>
      <w:r w:rsidR="00121DDE">
        <w:rPr>
          <w:color w:val="4C4D4F"/>
        </w:rPr>
        <w:t xml:space="preserve"> Professional Secretariat Provided by:</w:t>
      </w:r>
    </w:p>
    <w:p w14:paraId="6B573C23" w14:textId="1FD433E2" w:rsidR="00432265" w:rsidRDefault="00432265" w:rsidP="00432265">
      <w:pPr>
        <w:pStyle w:val="BodyText"/>
        <w:spacing w:before="68"/>
        <w:ind w:left="1"/>
        <w:jc w:val="center"/>
      </w:pPr>
      <w:r>
        <w:rPr>
          <w:color w:val="4C4D4F"/>
        </w:rPr>
        <w:t>Regional Drug and Therapeutics Centre</w:t>
      </w:r>
    </w:p>
    <w:p w14:paraId="0CAAF172" w14:textId="77777777" w:rsidR="00432265" w:rsidRDefault="00432265" w:rsidP="00432265">
      <w:pPr>
        <w:pStyle w:val="BodyText"/>
        <w:spacing w:before="4"/>
        <w:ind w:left="1"/>
        <w:jc w:val="center"/>
      </w:pPr>
      <w:r>
        <w:rPr>
          <w:color w:val="4C4D4F"/>
        </w:rPr>
        <w:t>16/17 Framlington Place, Newcastle upon Tyne, NE2 4AB</w:t>
      </w:r>
    </w:p>
    <w:p w14:paraId="1DD35C27" w14:textId="77777777" w:rsidR="007D1CB6" w:rsidRDefault="007D1CB6" w:rsidP="007D1CB6">
      <w:pPr>
        <w:tabs>
          <w:tab w:val="left" w:pos="1770"/>
          <w:tab w:val="left" w:pos="3611"/>
          <w:tab w:val="left" w:pos="6712"/>
        </w:tabs>
        <w:spacing w:before="3"/>
        <w:jc w:val="center"/>
        <w:rPr>
          <w:sz w:val="15"/>
        </w:rPr>
      </w:pPr>
      <w:r>
        <w:rPr>
          <w:color w:val="4C4D4F"/>
          <w:spacing w:val="-5"/>
        </w:rPr>
        <w:t xml:space="preserve">Tel: </w:t>
      </w:r>
      <w:r>
        <w:rPr>
          <w:b/>
          <w:color w:val="4C4D4F"/>
        </w:rPr>
        <w:t>0191</w:t>
      </w:r>
      <w:r>
        <w:rPr>
          <w:b/>
          <w:color w:val="4C4D4F"/>
          <w:spacing w:val="15"/>
        </w:rPr>
        <w:t xml:space="preserve"> </w:t>
      </w:r>
      <w:r>
        <w:rPr>
          <w:b/>
          <w:color w:val="4C4D4F"/>
        </w:rPr>
        <w:t>213</w:t>
      </w:r>
      <w:r>
        <w:rPr>
          <w:b/>
          <w:color w:val="4C4D4F"/>
          <w:spacing w:val="5"/>
        </w:rPr>
        <w:t xml:space="preserve"> </w:t>
      </w:r>
      <w:r>
        <w:rPr>
          <w:b/>
          <w:color w:val="4C4D4F"/>
        </w:rPr>
        <w:t>7855</w:t>
      </w:r>
      <w:r>
        <w:rPr>
          <w:b/>
          <w:color w:val="4C4D4F"/>
        </w:rPr>
        <w:tab/>
      </w:r>
      <w:r>
        <w:rPr>
          <w:color w:val="4C4D4F"/>
        </w:rPr>
        <w:t>email</w:t>
      </w:r>
      <w:r w:rsidRPr="006E26D1">
        <w:rPr>
          <w:color w:val="4C4D4F"/>
        </w:rPr>
        <w:t xml:space="preserve">:  </w:t>
      </w:r>
      <w:hyperlink r:id="rId19" w:history="1">
        <w:r w:rsidRPr="00EF6157">
          <w:rPr>
            <w:rStyle w:val="Hyperlink"/>
            <w:rFonts w:cs="Arial"/>
          </w:rPr>
          <w:t>nuth.nyrdtc.rxsupp@nhs.net</w:t>
        </w:r>
      </w:hyperlink>
      <w:r>
        <w:t xml:space="preserve"> </w:t>
      </w:r>
      <w:r>
        <w:rPr>
          <w:color w:val="4C4D4F"/>
          <w:spacing w:val="19"/>
        </w:rPr>
        <w:t xml:space="preserve">  </w:t>
      </w:r>
      <w:r>
        <w:rPr>
          <w:color w:val="4C4D4F"/>
        </w:rPr>
        <w:t>visit:</w:t>
      </w:r>
      <w:r>
        <w:rPr>
          <w:color w:val="4C4D4F"/>
          <w:spacing w:val="4"/>
        </w:rPr>
        <w:t xml:space="preserve"> </w:t>
      </w:r>
      <w:hyperlink r:id="rId20" w:history="1">
        <w:r w:rsidRPr="00EF6157">
          <w:rPr>
            <w:rStyle w:val="Hyperlink"/>
            <w:rFonts w:cs="Arial"/>
          </w:rPr>
          <w:t>https://humberandnorthyorkshire.org.uk/area-prescribing-committee-apc/</w:t>
        </w:r>
      </w:hyperlink>
      <w:r>
        <w:t xml:space="preserve"> </w:t>
      </w:r>
    </w:p>
    <w:p w14:paraId="5602DB6E" w14:textId="77777777" w:rsidR="00432265" w:rsidRDefault="00432265" w:rsidP="00432265">
      <w:pPr>
        <w:pStyle w:val="BodyText"/>
        <w:spacing w:before="8"/>
        <w:rPr>
          <w:sz w:val="15"/>
        </w:rPr>
      </w:pPr>
    </w:p>
    <w:p w14:paraId="46A8EF24" w14:textId="77777777" w:rsidR="00432265" w:rsidRDefault="00432265" w:rsidP="00432265">
      <w:pPr>
        <w:ind w:left="12"/>
        <w:jc w:val="center"/>
      </w:pPr>
      <w:r>
        <w:rPr>
          <w:noProof/>
          <w:position w:val="-15"/>
          <w:lang w:eastAsia="en-GB"/>
        </w:rPr>
        <w:drawing>
          <wp:inline distT="0" distB="0" distL="0" distR="0" wp14:anchorId="29439FBE" wp14:editId="22541797">
            <wp:extent cx="295147" cy="295147"/>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1" cstate="print"/>
                    <a:stretch>
                      <a:fillRect/>
                    </a:stretch>
                  </pic:blipFill>
                  <pic:spPr>
                    <a:xfrm>
                      <a:off x="0" y="0"/>
                      <a:ext cx="295147" cy="295147"/>
                    </a:xfrm>
                    <a:prstGeom prst="rect">
                      <a:avLst/>
                    </a:prstGeom>
                  </pic:spPr>
                </pic:pic>
              </a:graphicData>
            </a:graphic>
          </wp:inline>
        </w:drawing>
      </w:r>
      <w:r>
        <w:rPr>
          <w:rFonts w:ascii="Times New Roman"/>
          <w:sz w:val="20"/>
        </w:rPr>
        <w:t xml:space="preserve">  </w:t>
      </w:r>
      <w:r>
        <w:rPr>
          <w:rFonts w:ascii="Times New Roman"/>
          <w:spacing w:val="-10"/>
          <w:sz w:val="20"/>
        </w:rPr>
        <w:t xml:space="preserve"> </w:t>
      </w:r>
      <w:hyperlink r:id="rId22">
        <w:r>
          <w:rPr>
            <w:color w:val="456DA9"/>
          </w:rPr>
          <w:t>@RDTC_Rx</w:t>
        </w:r>
      </w:hyperlink>
    </w:p>
    <w:p w14:paraId="59EB0C4C" w14:textId="77777777" w:rsidR="00432265" w:rsidRDefault="00432265" w:rsidP="00432265">
      <w:pPr>
        <w:spacing w:before="56" w:line="266" w:lineRule="auto"/>
        <w:ind w:left="613" w:right="610"/>
        <w:jc w:val="center"/>
        <w:rPr>
          <w:sz w:val="13"/>
        </w:rPr>
      </w:pPr>
      <w:r>
        <w:rPr>
          <w:color w:val="4C4D4F"/>
          <w:sz w:val="13"/>
        </w:rPr>
        <w:t>THIS DOCUMENT IS INTENDED FOR USE BY NHS HEALTHCARE PROFESSIONALS AND CANNOT BE USED FOR COMMERCIAL OR MARKETING PURPOSES. PATIENT INFORMATION ON MANY TOPICS CAN BE ACCESSED VIA NHS CHOICES</w:t>
      </w:r>
    </w:p>
    <w:p w14:paraId="0C19F98F" w14:textId="2FE1250D" w:rsidR="00560ADF" w:rsidRDefault="00560ADF" w:rsidP="00432265">
      <w:pPr>
        <w:pStyle w:val="BodyText"/>
        <w:tabs>
          <w:tab w:val="clear" w:pos="975"/>
        </w:tabs>
        <w:spacing w:before="68" w:after="0"/>
        <w:ind w:left="1"/>
        <w:jc w:val="center"/>
      </w:pPr>
      <w:bookmarkStart w:id="1" w:name="_GoBack"/>
      <w:bookmarkEnd w:id="1"/>
    </w:p>
    <w:sectPr w:rsidR="00560ADF" w:rsidSect="006E26D1">
      <w:footerReference w:type="even" r:id="rId23"/>
      <w:footerReference w:type="default" r:id="rId24"/>
      <w:footerReference w:type="first" r:id="rId25"/>
      <w:pgSz w:w="16840" w:h="11910" w:orient="landscape" w:code="9"/>
      <w:pgMar w:top="567" w:right="522" w:bottom="992" w:left="425" w:header="720" w:footer="1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CDC8B" w14:textId="77777777" w:rsidR="00DB6E24" w:rsidRDefault="00DB6E24" w:rsidP="007909C3">
      <w:r>
        <w:separator/>
      </w:r>
    </w:p>
  </w:endnote>
  <w:endnote w:type="continuationSeparator" w:id="0">
    <w:p w14:paraId="1CEC1E11" w14:textId="77777777" w:rsidR="00DB6E24" w:rsidRDefault="00DB6E24" w:rsidP="0079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Oblique">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18DE6" w14:textId="2EE8E88A" w:rsidR="00383A54" w:rsidRDefault="00383A54" w:rsidP="007909C3">
    <w:pPr>
      <w:pStyle w:val="Footer"/>
    </w:pPr>
    <w:r>
      <w:rPr>
        <w:noProof/>
        <w:sz w:val="13"/>
        <w:lang w:eastAsia="en-GB"/>
      </w:rPr>
      <w:drawing>
        <wp:inline distT="0" distB="0" distL="0" distR="0" wp14:anchorId="0D21034A" wp14:editId="4687F224">
          <wp:extent cx="539497" cy="222504"/>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 xml:space="preserve">Produced by the Regional Drug and Therapeutics Centre                                                                                             </w:t>
    </w:r>
    <w:r>
      <w:t xml:space="preserve">                                                </w:t>
    </w:r>
    <w:r w:rsidRPr="00B47BFE">
      <w:t xml:space="preserve"> </w:t>
    </w:r>
    <w:r>
      <w:tab/>
    </w:r>
    <w:r>
      <w:tab/>
    </w:r>
    <w:r w:rsidR="001849DB">
      <w:t>August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2AC2A" w14:textId="3FC72CA4" w:rsidR="00761464" w:rsidRDefault="00383A54" w:rsidP="007909C3">
    <w:pPr>
      <w:pStyle w:val="Footer"/>
    </w:pPr>
    <w:r>
      <w:rPr>
        <w:noProof/>
        <w:sz w:val="13"/>
        <w:lang w:eastAsia="en-GB"/>
      </w:rPr>
      <w:drawing>
        <wp:inline distT="0" distB="0" distL="0" distR="0" wp14:anchorId="68613B1F" wp14:editId="7526119D">
          <wp:extent cx="539497" cy="222504"/>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Produced by the Regional Drug and Therapeutics Centre</w:t>
    </w:r>
    <w:r>
      <w:tab/>
    </w:r>
    <w:r>
      <w:tab/>
    </w:r>
    <w:r>
      <w:tab/>
    </w:r>
    <w:r>
      <w:tab/>
    </w:r>
    <w:r>
      <w:tab/>
    </w:r>
    <w:r>
      <w:tab/>
    </w:r>
    <w:r>
      <w:tab/>
    </w:r>
    <w:r>
      <w:tab/>
    </w:r>
    <w:r>
      <w:tab/>
    </w:r>
    <w:r w:rsidR="00040B38">
      <w:t>March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931AC" w14:textId="6FA03133" w:rsidR="00383A54" w:rsidRDefault="00383A54" w:rsidP="007909C3">
    <w:pPr>
      <w:pStyle w:val="Footer"/>
    </w:pPr>
    <w:r>
      <w:rPr>
        <w:noProof/>
        <w:sz w:val="13"/>
        <w:lang w:eastAsia="en-GB"/>
      </w:rPr>
      <w:drawing>
        <wp:inline distT="0" distB="0" distL="0" distR="0" wp14:anchorId="507EAFD1" wp14:editId="272BC177">
          <wp:extent cx="539497" cy="222504"/>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ab/>
      <w:t xml:space="preserve">               </w:t>
    </w:r>
    <w:r w:rsidRPr="00B47BFE">
      <w:t xml:space="preserve">Produced by the Regional Drug and Therapeutics Centre                                                                                             </w:t>
    </w:r>
    <w:r>
      <w:t xml:space="preserve">                                            </w:t>
    </w:r>
    <w:r w:rsidRPr="00B47BFE">
      <w:t xml:space="preserve">  </w:t>
    </w:r>
    <w:r>
      <w:tab/>
    </w:r>
    <w:r>
      <w:tab/>
    </w:r>
    <w:r w:rsidR="00827FE8">
      <w:t>October</w:t>
    </w:r>
    <w:r w:rsidR="00870354">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16769" w14:textId="77777777" w:rsidR="00DB6E24" w:rsidRDefault="00DB6E24" w:rsidP="007909C3">
      <w:r>
        <w:separator/>
      </w:r>
    </w:p>
  </w:footnote>
  <w:footnote w:type="continuationSeparator" w:id="0">
    <w:p w14:paraId="7E2E17CD" w14:textId="77777777" w:rsidR="00DB6E24" w:rsidRDefault="00DB6E24" w:rsidP="00790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09FC"/>
    <w:multiLevelType w:val="hybridMultilevel"/>
    <w:tmpl w:val="81728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985E9F"/>
    <w:multiLevelType w:val="hybridMultilevel"/>
    <w:tmpl w:val="926E2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194D70"/>
    <w:multiLevelType w:val="hybridMultilevel"/>
    <w:tmpl w:val="FE26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74084"/>
    <w:multiLevelType w:val="hybridMultilevel"/>
    <w:tmpl w:val="A468D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42594"/>
    <w:multiLevelType w:val="hybridMultilevel"/>
    <w:tmpl w:val="6CA2E71E"/>
    <w:lvl w:ilvl="0" w:tplc="1E16A09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75114"/>
    <w:multiLevelType w:val="hybridMultilevel"/>
    <w:tmpl w:val="5866B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C767B9"/>
    <w:multiLevelType w:val="hybridMultilevel"/>
    <w:tmpl w:val="C79A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44FA8"/>
    <w:multiLevelType w:val="multilevel"/>
    <w:tmpl w:val="2DA0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31435F"/>
    <w:multiLevelType w:val="hybridMultilevel"/>
    <w:tmpl w:val="C1CC3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D56930"/>
    <w:multiLevelType w:val="hybridMultilevel"/>
    <w:tmpl w:val="1792AE5E"/>
    <w:lvl w:ilvl="0" w:tplc="CA0CD1C2">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0B0FC3"/>
    <w:multiLevelType w:val="multilevel"/>
    <w:tmpl w:val="C27A7EA0"/>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1057B79"/>
    <w:multiLevelType w:val="hybridMultilevel"/>
    <w:tmpl w:val="BA608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DE67A9"/>
    <w:multiLevelType w:val="hybridMultilevel"/>
    <w:tmpl w:val="152EE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9B2297"/>
    <w:multiLevelType w:val="hybridMultilevel"/>
    <w:tmpl w:val="73EA6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351A25"/>
    <w:multiLevelType w:val="hybridMultilevel"/>
    <w:tmpl w:val="76EA7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744259"/>
    <w:multiLevelType w:val="hybridMultilevel"/>
    <w:tmpl w:val="4546F0D0"/>
    <w:lvl w:ilvl="0" w:tplc="7AFECBD6">
      <w:numFmt w:val="bullet"/>
      <w:lvlText w:val="-"/>
      <w:lvlJc w:val="left"/>
      <w:pPr>
        <w:ind w:left="410" w:hanging="360"/>
      </w:pPr>
      <w:rPr>
        <w:rFonts w:ascii="Arial" w:eastAsia="Helvetica" w:hAnsi="Arial" w:cs="Aria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6" w15:restartNumberingAfterBreak="0">
    <w:nsid w:val="281A25CF"/>
    <w:multiLevelType w:val="hybridMultilevel"/>
    <w:tmpl w:val="7E90B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D54C9E"/>
    <w:multiLevelType w:val="hybridMultilevel"/>
    <w:tmpl w:val="23F4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783A75"/>
    <w:multiLevelType w:val="hybridMultilevel"/>
    <w:tmpl w:val="CD02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F3481"/>
    <w:multiLevelType w:val="hybridMultilevel"/>
    <w:tmpl w:val="EADEE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5A22EF"/>
    <w:multiLevelType w:val="hybridMultilevel"/>
    <w:tmpl w:val="E7762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9D2E40"/>
    <w:multiLevelType w:val="multilevel"/>
    <w:tmpl w:val="167C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7B5AB9"/>
    <w:multiLevelType w:val="hybridMultilevel"/>
    <w:tmpl w:val="7486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906920"/>
    <w:multiLevelType w:val="hybridMultilevel"/>
    <w:tmpl w:val="8744E0C4"/>
    <w:lvl w:ilvl="0" w:tplc="83E68560">
      <w:numFmt w:val="bullet"/>
      <w:lvlText w:val="•"/>
      <w:lvlJc w:val="left"/>
      <w:pPr>
        <w:ind w:left="524" w:hanging="400"/>
      </w:pPr>
      <w:rPr>
        <w:rFonts w:ascii="Helvetica" w:eastAsia="Helvetica" w:hAnsi="Helvetica" w:cs="Helvetica" w:hint="default"/>
        <w:b/>
        <w:bCs/>
        <w:color w:val="4C4D4F"/>
        <w:w w:val="100"/>
        <w:sz w:val="18"/>
        <w:szCs w:val="18"/>
        <w:lang w:val="en-GB" w:eastAsia="en-US" w:bidi="ar-SA"/>
      </w:rPr>
    </w:lvl>
    <w:lvl w:ilvl="1" w:tplc="1D06E420">
      <w:numFmt w:val="bullet"/>
      <w:lvlText w:val="•"/>
      <w:lvlJc w:val="left"/>
      <w:pPr>
        <w:ind w:left="1562" w:hanging="400"/>
      </w:pPr>
      <w:rPr>
        <w:rFonts w:hint="default"/>
        <w:lang w:val="en-GB" w:eastAsia="en-US" w:bidi="ar-SA"/>
      </w:rPr>
    </w:lvl>
    <w:lvl w:ilvl="2" w:tplc="55E49446">
      <w:numFmt w:val="bullet"/>
      <w:lvlText w:val="•"/>
      <w:lvlJc w:val="left"/>
      <w:pPr>
        <w:ind w:left="2605" w:hanging="400"/>
      </w:pPr>
      <w:rPr>
        <w:rFonts w:hint="default"/>
        <w:lang w:val="en-GB" w:eastAsia="en-US" w:bidi="ar-SA"/>
      </w:rPr>
    </w:lvl>
    <w:lvl w:ilvl="3" w:tplc="ABDE0898">
      <w:numFmt w:val="bullet"/>
      <w:lvlText w:val="•"/>
      <w:lvlJc w:val="left"/>
      <w:pPr>
        <w:ind w:left="3647" w:hanging="400"/>
      </w:pPr>
      <w:rPr>
        <w:rFonts w:hint="default"/>
        <w:lang w:val="en-GB" w:eastAsia="en-US" w:bidi="ar-SA"/>
      </w:rPr>
    </w:lvl>
    <w:lvl w:ilvl="4" w:tplc="FC76DDF4">
      <w:numFmt w:val="bullet"/>
      <w:lvlText w:val="•"/>
      <w:lvlJc w:val="left"/>
      <w:pPr>
        <w:ind w:left="4690" w:hanging="400"/>
      </w:pPr>
      <w:rPr>
        <w:rFonts w:hint="default"/>
        <w:lang w:val="en-GB" w:eastAsia="en-US" w:bidi="ar-SA"/>
      </w:rPr>
    </w:lvl>
    <w:lvl w:ilvl="5" w:tplc="670C94EE">
      <w:numFmt w:val="bullet"/>
      <w:lvlText w:val="•"/>
      <w:lvlJc w:val="left"/>
      <w:pPr>
        <w:ind w:left="5732" w:hanging="400"/>
      </w:pPr>
      <w:rPr>
        <w:rFonts w:hint="default"/>
        <w:lang w:val="en-GB" w:eastAsia="en-US" w:bidi="ar-SA"/>
      </w:rPr>
    </w:lvl>
    <w:lvl w:ilvl="6" w:tplc="DC60DB94">
      <w:numFmt w:val="bullet"/>
      <w:lvlText w:val="•"/>
      <w:lvlJc w:val="left"/>
      <w:pPr>
        <w:ind w:left="6775" w:hanging="400"/>
      </w:pPr>
      <w:rPr>
        <w:rFonts w:hint="default"/>
        <w:lang w:val="en-GB" w:eastAsia="en-US" w:bidi="ar-SA"/>
      </w:rPr>
    </w:lvl>
    <w:lvl w:ilvl="7" w:tplc="54FE16EA">
      <w:numFmt w:val="bullet"/>
      <w:lvlText w:val="•"/>
      <w:lvlJc w:val="left"/>
      <w:pPr>
        <w:ind w:left="7817" w:hanging="400"/>
      </w:pPr>
      <w:rPr>
        <w:rFonts w:hint="default"/>
        <w:lang w:val="en-GB" w:eastAsia="en-US" w:bidi="ar-SA"/>
      </w:rPr>
    </w:lvl>
    <w:lvl w:ilvl="8" w:tplc="4FDC312E">
      <w:numFmt w:val="bullet"/>
      <w:lvlText w:val="•"/>
      <w:lvlJc w:val="left"/>
      <w:pPr>
        <w:ind w:left="8860" w:hanging="400"/>
      </w:pPr>
      <w:rPr>
        <w:rFonts w:hint="default"/>
        <w:lang w:val="en-GB" w:eastAsia="en-US" w:bidi="ar-SA"/>
      </w:rPr>
    </w:lvl>
  </w:abstractNum>
  <w:abstractNum w:abstractNumId="24" w15:restartNumberingAfterBreak="0">
    <w:nsid w:val="3D39055A"/>
    <w:multiLevelType w:val="hybridMultilevel"/>
    <w:tmpl w:val="8B584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1305F"/>
    <w:multiLevelType w:val="hybridMultilevel"/>
    <w:tmpl w:val="B26C6DC0"/>
    <w:lvl w:ilvl="0" w:tplc="08090005">
      <w:start w:val="1"/>
      <w:numFmt w:val="bullet"/>
      <w:lvlText w:val=""/>
      <w:lvlJc w:val="left"/>
      <w:pPr>
        <w:ind w:left="1437" w:hanging="360"/>
      </w:pPr>
      <w:rPr>
        <w:rFonts w:ascii="Wingdings" w:hAnsi="Wingdings" w:hint="default"/>
      </w:rPr>
    </w:lvl>
    <w:lvl w:ilvl="1" w:tplc="FFFFFFFF" w:tentative="1">
      <w:start w:val="1"/>
      <w:numFmt w:val="bullet"/>
      <w:lvlText w:val="o"/>
      <w:lvlJc w:val="left"/>
      <w:pPr>
        <w:ind w:left="2157" w:hanging="360"/>
      </w:pPr>
      <w:rPr>
        <w:rFonts w:ascii="Courier New" w:hAnsi="Courier New" w:cs="Courier New" w:hint="default"/>
      </w:rPr>
    </w:lvl>
    <w:lvl w:ilvl="2" w:tplc="FFFFFFFF" w:tentative="1">
      <w:start w:val="1"/>
      <w:numFmt w:val="bullet"/>
      <w:lvlText w:val=""/>
      <w:lvlJc w:val="left"/>
      <w:pPr>
        <w:ind w:left="2877" w:hanging="360"/>
      </w:pPr>
      <w:rPr>
        <w:rFonts w:ascii="Wingdings" w:hAnsi="Wingdings" w:hint="default"/>
      </w:rPr>
    </w:lvl>
    <w:lvl w:ilvl="3" w:tplc="FFFFFFFF" w:tentative="1">
      <w:start w:val="1"/>
      <w:numFmt w:val="bullet"/>
      <w:lvlText w:val=""/>
      <w:lvlJc w:val="left"/>
      <w:pPr>
        <w:ind w:left="3597" w:hanging="360"/>
      </w:pPr>
      <w:rPr>
        <w:rFonts w:ascii="Symbol" w:hAnsi="Symbol" w:hint="default"/>
      </w:rPr>
    </w:lvl>
    <w:lvl w:ilvl="4" w:tplc="FFFFFFFF" w:tentative="1">
      <w:start w:val="1"/>
      <w:numFmt w:val="bullet"/>
      <w:lvlText w:val="o"/>
      <w:lvlJc w:val="left"/>
      <w:pPr>
        <w:ind w:left="4317" w:hanging="360"/>
      </w:pPr>
      <w:rPr>
        <w:rFonts w:ascii="Courier New" w:hAnsi="Courier New" w:cs="Courier New" w:hint="default"/>
      </w:rPr>
    </w:lvl>
    <w:lvl w:ilvl="5" w:tplc="FFFFFFFF" w:tentative="1">
      <w:start w:val="1"/>
      <w:numFmt w:val="bullet"/>
      <w:lvlText w:val=""/>
      <w:lvlJc w:val="left"/>
      <w:pPr>
        <w:ind w:left="5037" w:hanging="360"/>
      </w:pPr>
      <w:rPr>
        <w:rFonts w:ascii="Wingdings" w:hAnsi="Wingdings" w:hint="default"/>
      </w:rPr>
    </w:lvl>
    <w:lvl w:ilvl="6" w:tplc="FFFFFFFF" w:tentative="1">
      <w:start w:val="1"/>
      <w:numFmt w:val="bullet"/>
      <w:lvlText w:val=""/>
      <w:lvlJc w:val="left"/>
      <w:pPr>
        <w:ind w:left="5757" w:hanging="360"/>
      </w:pPr>
      <w:rPr>
        <w:rFonts w:ascii="Symbol" w:hAnsi="Symbol" w:hint="default"/>
      </w:rPr>
    </w:lvl>
    <w:lvl w:ilvl="7" w:tplc="FFFFFFFF" w:tentative="1">
      <w:start w:val="1"/>
      <w:numFmt w:val="bullet"/>
      <w:lvlText w:val="o"/>
      <w:lvlJc w:val="left"/>
      <w:pPr>
        <w:ind w:left="6477" w:hanging="360"/>
      </w:pPr>
      <w:rPr>
        <w:rFonts w:ascii="Courier New" w:hAnsi="Courier New" w:cs="Courier New" w:hint="default"/>
      </w:rPr>
    </w:lvl>
    <w:lvl w:ilvl="8" w:tplc="FFFFFFFF" w:tentative="1">
      <w:start w:val="1"/>
      <w:numFmt w:val="bullet"/>
      <w:lvlText w:val=""/>
      <w:lvlJc w:val="left"/>
      <w:pPr>
        <w:ind w:left="7197" w:hanging="360"/>
      </w:pPr>
      <w:rPr>
        <w:rFonts w:ascii="Wingdings" w:hAnsi="Wingdings" w:hint="default"/>
      </w:rPr>
    </w:lvl>
  </w:abstractNum>
  <w:abstractNum w:abstractNumId="26" w15:restartNumberingAfterBreak="0">
    <w:nsid w:val="49AD2401"/>
    <w:multiLevelType w:val="hybridMultilevel"/>
    <w:tmpl w:val="67187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617A7A"/>
    <w:multiLevelType w:val="hybridMultilevel"/>
    <w:tmpl w:val="D3F4DF64"/>
    <w:lvl w:ilvl="0" w:tplc="08090003">
      <w:start w:val="1"/>
      <w:numFmt w:val="bullet"/>
      <w:lvlText w:val="o"/>
      <w:lvlJc w:val="left"/>
      <w:pPr>
        <w:ind w:left="1077" w:hanging="360"/>
      </w:pPr>
      <w:rPr>
        <w:rFonts w:ascii="Courier New" w:hAnsi="Courier New" w:cs="Courier New"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8" w15:restartNumberingAfterBreak="0">
    <w:nsid w:val="510F055C"/>
    <w:multiLevelType w:val="hybridMultilevel"/>
    <w:tmpl w:val="9B92ABBA"/>
    <w:lvl w:ilvl="0" w:tplc="9A8433AE">
      <w:numFmt w:val="bullet"/>
      <w:lvlText w:val="•"/>
      <w:lvlJc w:val="left"/>
      <w:pPr>
        <w:ind w:left="524" w:hanging="400"/>
      </w:pPr>
      <w:rPr>
        <w:rFonts w:ascii="Helvetica" w:eastAsia="Helvetica" w:hAnsi="Helvetica" w:cs="Helvetica" w:hint="default"/>
        <w:color w:val="4C4D4F"/>
        <w:w w:val="100"/>
        <w:sz w:val="18"/>
        <w:szCs w:val="18"/>
        <w:lang w:val="en-GB" w:eastAsia="en-US" w:bidi="ar-SA"/>
      </w:rPr>
    </w:lvl>
    <w:lvl w:ilvl="1" w:tplc="018A444E">
      <w:numFmt w:val="bullet"/>
      <w:lvlText w:val="◦"/>
      <w:lvlJc w:val="left"/>
      <w:pPr>
        <w:ind w:left="980" w:hanging="461"/>
      </w:pPr>
      <w:rPr>
        <w:rFonts w:ascii="Times New Roman" w:eastAsia="Times New Roman" w:hAnsi="Times New Roman" w:cs="Times New Roman" w:hint="default"/>
        <w:color w:val="4C4D4F"/>
        <w:w w:val="100"/>
        <w:sz w:val="18"/>
        <w:szCs w:val="18"/>
        <w:lang w:val="en-GB" w:eastAsia="en-US" w:bidi="ar-SA"/>
      </w:rPr>
    </w:lvl>
    <w:lvl w:ilvl="2" w:tplc="BAD4DF0C">
      <w:numFmt w:val="bullet"/>
      <w:lvlText w:val="•"/>
      <w:lvlJc w:val="left"/>
      <w:pPr>
        <w:ind w:left="2087" w:hanging="461"/>
      </w:pPr>
      <w:rPr>
        <w:rFonts w:hint="default"/>
        <w:lang w:val="en-GB" w:eastAsia="en-US" w:bidi="ar-SA"/>
      </w:rPr>
    </w:lvl>
    <w:lvl w:ilvl="3" w:tplc="4F5865D4">
      <w:numFmt w:val="bullet"/>
      <w:lvlText w:val="•"/>
      <w:lvlJc w:val="left"/>
      <w:pPr>
        <w:ind w:left="3194" w:hanging="461"/>
      </w:pPr>
      <w:rPr>
        <w:rFonts w:hint="default"/>
        <w:lang w:val="en-GB" w:eastAsia="en-US" w:bidi="ar-SA"/>
      </w:rPr>
    </w:lvl>
    <w:lvl w:ilvl="4" w:tplc="D444CEF6">
      <w:numFmt w:val="bullet"/>
      <w:lvlText w:val="•"/>
      <w:lvlJc w:val="left"/>
      <w:pPr>
        <w:ind w:left="4301" w:hanging="461"/>
      </w:pPr>
      <w:rPr>
        <w:rFonts w:hint="default"/>
        <w:lang w:val="en-GB" w:eastAsia="en-US" w:bidi="ar-SA"/>
      </w:rPr>
    </w:lvl>
    <w:lvl w:ilvl="5" w:tplc="63D099EC">
      <w:numFmt w:val="bullet"/>
      <w:lvlText w:val="•"/>
      <w:lvlJc w:val="left"/>
      <w:pPr>
        <w:ind w:left="5409" w:hanging="461"/>
      </w:pPr>
      <w:rPr>
        <w:rFonts w:hint="default"/>
        <w:lang w:val="en-GB" w:eastAsia="en-US" w:bidi="ar-SA"/>
      </w:rPr>
    </w:lvl>
    <w:lvl w:ilvl="6" w:tplc="706C4FEA">
      <w:numFmt w:val="bullet"/>
      <w:lvlText w:val="•"/>
      <w:lvlJc w:val="left"/>
      <w:pPr>
        <w:ind w:left="6516" w:hanging="461"/>
      </w:pPr>
      <w:rPr>
        <w:rFonts w:hint="default"/>
        <w:lang w:val="en-GB" w:eastAsia="en-US" w:bidi="ar-SA"/>
      </w:rPr>
    </w:lvl>
    <w:lvl w:ilvl="7" w:tplc="2A0ECC5C">
      <w:numFmt w:val="bullet"/>
      <w:lvlText w:val="•"/>
      <w:lvlJc w:val="left"/>
      <w:pPr>
        <w:ind w:left="7623" w:hanging="461"/>
      </w:pPr>
      <w:rPr>
        <w:rFonts w:hint="default"/>
        <w:lang w:val="en-GB" w:eastAsia="en-US" w:bidi="ar-SA"/>
      </w:rPr>
    </w:lvl>
    <w:lvl w:ilvl="8" w:tplc="7960F2B4">
      <w:numFmt w:val="bullet"/>
      <w:lvlText w:val="•"/>
      <w:lvlJc w:val="left"/>
      <w:pPr>
        <w:ind w:left="8730" w:hanging="461"/>
      </w:pPr>
      <w:rPr>
        <w:rFonts w:hint="default"/>
        <w:lang w:val="en-GB" w:eastAsia="en-US" w:bidi="ar-SA"/>
      </w:rPr>
    </w:lvl>
  </w:abstractNum>
  <w:abstractNum w:abstractNumId="29" w15:restartNumberingAfterBreak="0">
    <w:nsid w:val="53FF1389"/>
    <w:multiLevelType w:val="hybridMultilevel"/>
    <w:tmpl w:val="E824510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83D593A"/>
    <w:multiLevelType w:val="hybridMultilevel"/>
    <w:tmpl w:val="A96C0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FC56AB"/>
    <w:multiLevelType w:val="hybridMultilevel"/>
    <w:tmpl w:val="611CF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9F33C8"/>
    <w:multiLevelType w:val="hybridMultilevel"/>
    <w:tmpl w:val="92F43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3515E8"/>
    <w:multiLevelType w:val="hybridMultilevel"/>
    <w:tmpl w:val="3B86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83112"/>
    <w:multiLevelType w:val="hybridMultilevel"/>
    <w:tmpl w:val="85AC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AA20C7"/>
    <w:multiLevelType w:val="hybridMultilevel"/>
    <w:tmpl w:val="035EA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E860C0"/>
    <w:multiLevelType w:val="hybridMultilevel"/>
    <w:tmpl w:val="F73E9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B45461"/>
    <w:multiLevelType w:val="hybridMultilevel"/>
    <w:tmpl w:val="ABD22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357995"/>
    <w:multiLevelType w:val="hybridMultilevel"/>
    <w:tmpl w:val="73226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5170D9"/>
    <w:multiLevelType w:val="hybridMultilevel"/>
    <w:tmpl w:val="107E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70070"/>
    <w:multiLevelType w:val="hybridMultilevel"/>
    <w:tmpl w:val="0CD823F4"/>
    <w:lvl w:ilvl="0" w:tplc="1E16A09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F869D3"/>
    <w:multiLevelType w:val="hybridMultilevel"/>
    <w:tmpl w:val="C0F2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AF56B8"/>
    <w:multiLevelType w:val="hybridMultilevel"/>
    <w:tmpl w:val="3F96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D82A71"/>
    <w:multiLevelType w:val="hybridMultilevel"/>
    <w:tmpl w:val="E358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6222B3"/>
    <w:multiLevelType w:val="hybridMultilevel"/>
    <w:tmpl w:val="BB2E696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5" w15:restartNumberingAfterBreak="0">
    <w:nsid w:val="7E7F1889"/>
    <w:multiLevelType w:val="hybridMultilevel"/>
    <w:tmpl w:val="D9A06FCA"/>
    <w:lvl w:ilvl="0" w:tplc="0A6AF910">
      <w:start w:val="1"/>
      <w:numFmt w:val="decimal"/>
      <w:lvlText w:val="%1."/>
      <w:lvlJc w:val="left"/>
      <w:pPr>
        <w:ind w:left="420" w:hanging="300"/>
      </w:pPr>
      <w:rPr>
        <w:rFonts w:ascii="Helvetica" w:eastAsia="Helvetica" w:hAnsi="Helvetica" w:cs="Helvetica" w:hint="default"/>
        <w:color w:val="231F20"/>
        <w:spacing w:val="-8"/>
        <w:w w:val="100"/>
        <w:sz w:val="16"/>
        <w:szCs w:val="16"/>
        <w:lang w:val="en-GB" w:eastAsia="en-US" w:bidi="ar-SA"/>
      </w:rPr>
    </w:lvl>
    <w:lvl w:ilvl="1" w:tplc="652237F8">
      <w:numFmt w:val="bullet"/>
      <w:lvlText w:val="•"/>
      <w:lvlJc w:val="left"/>
      <w:pPr>
        <w:ind w:left="1472" w:hanging="300"/>
      </w:pPr>
      <w:rPr>
        <w:rFonts w:hint="default"/>
        <w:lang w:val="en-GB" w:eastAsia="en-US" w:bidi="ar-SA"/>
      </w:rPr>
    </w:lvl>
    <w:lvl w:ilvl="2" w:tplc="9D569750">
      <w:numFmt w:val="bullet"/>
      <w:lvlText w:val="•"/>
      <w:lvlJc w:val="left"/>
      <w:pPr>
        <w:ind w:left="2525" w:hanging="300"/>
      </w:pPr>
      <w:rPr>
        <w:rFonts w:hint="default"/>
        <w:lang w:val="en-GB" w:eastAsia="en-US" w:bidi="ar-SA"/>
      </w:rPr>
    </w:lvl>
    <w:lvl w:ilvl="3" w:tplc="87625336">
      <w:numFmt w:val="bullet"/>
      <w:lvlText w:val="•"/>
      <w:lvlJc w:val="left"/>
      <w:pPr>
        <w:ind w:left="3577" w:hanging="300"/>
      </w:pPr>
      <w:rPr>
        <w:rFonts w:hint="default"/>
        <w:lang w:val="en-GB" w:eastAsia="en-US" w:bidi="ar-SA"/>
      </w:rPr>
    </w:lvl>
    <w:lvl w:ilvl="4" w:tplc="996C6A82">
      <w:numFmt w:val="bullet"/>
      <w:lvlText w:val="•"/>
      <w:lvlJc w:val="left"/>
      <w:pPr>
        <w:ind w:left="4630" w:hanging="300"/>
      </w:pPr>
      <w:rPr>
        <w:rFonts w:hint="default"/>
        <w:lang w:val="en-GB" w:eastAsia="en-US" w:bidi="ar-SA"/>
      </w:rPr>
    </w:lvl>
    <w:lvl w:ilvl="5" w:tplc="6BFAD874">
      <w:numFmt w:val="bullet"/>
      <w:lvlText w:val="•"/>
      <w:lvlJc w:val="left"/>
      <w:pPr>
        <w:ind w:left="5682" w:hanging="300"/>
      </w:pPr>
      <w:rPr>
        <w:rFonts w:hint="default"/>
        <w:lang w:val="en-GB" w:eastAsia="en-US" w:bidi="ar-SA"/>
      </w:rPr>
    </w:lvl>
    <w:lvl w:ilvl="6" w:tplc="9C2E0926">
      <w:numFmt w:val="bullet"/>
      <w:lvlText w:val="•"/>
      <w:lvlJc w:val="left"/>
      <w:pPr>
        <w:ind w:left="6735" w:hanging="300"/>
      </w:pPr>
      <w:rPr>
        <w:rFonts w:hint="default"/>
        <w:lang w:val="en-GB" w:eastAsia="en-US" w:bidi="ar-SA"/>
      </w:rPr>
    </w:lvl>
    <w:lvl w:ilvl="7" w:tplc="77206462">
      <w:numFmt w:val="bullet"/>
      <w:lvlText w:val="•"/>
      <w:lvlJc w:val="left"/>
      <w:pPr>
        <w:ind w:left="7787" w:hanging="300"/>
      </w:pPr>
      <w:rPr>
        <w:rFonts w:hint="default"/>
        <w:lang w:val="en-GB" w:eastAsia="en-US" w:bidi="ar-SA"/>
      </w:rPr>
    </w:lvl>
    <w:lvl w:ilvl="8" w:tplc="A45A850C">
      <w:numFmt w:val="bullet"/>
      <w:lvlText w:val="•"/>
      <w:lvlJc w:val="left"/>
      <w:pPr>
        <w:ind w:left="8840" w:hanging="300"/>
      </w:pPr>
      <w:rPr>
        <w:rFonts w:hint="default"/>
        <w:lang w:val="en-GB" w:eastAsia="en-US" w:bidi="ar-SA"/>
      </w:rPr>
    </w:lvl>
  </w:abstractNum>
  <w:num w:numId="1">
    <w:abstractNumId w:val="45"/>
  </w:num>
  <w:num w:numId="2">
    <w:abstractNumId w:val="28"/>
  </w:num>
  <w:num w:numId="3">
    <w:abstractNumId w:val="23"/>
  </w:num>
  <w:num w:numId="4">
    <w:abstractNumId w:val="17"/>
  </w:num>
  <w:num w:numId="5">
    <w:abstractNumId w:val="6"/>
  </w:num>
  <w:num w:numId="6">
    <w:abstractNumId w:val="42"/>
  </w:num>
  <w:num w:numId="7">
    <w:abstractNumId w:val="38"/>
  </w:num>
  <w:num w:numId="8">
    <w:abstractNumId w:val="39"/>
  </w:num>
  <w:num w:numId="9">
    <w:abstractNumId w:val="41"/>
  </w:num>
  <w:num w:numId="10">
    <w:abstractNumId w:val="4"/>
  </w:num>
  <w:num w:numId="11">
    <w:abstractNumId w:val="24"/>
  </w:num>
  <w:num w:numId="12">
    <w:abstractNumId w:val="40"/>
  </w:num>
  <w:num w:numId="13">
    <w:abstractNumId w:val="34"/>
  </w:num>
  <w:num w:numId="14">
    <w:abstractNumId w:val="2"/>
  </w:num>
  <w:num w:numId="15">
    <w:abstractNumId w:val="22"/>
  </w:num>
  <w:num w:numId="16">
    <w:abstractNumId w:val="18"/>
  </w:num>
  <w:num w:numId="17">
    <w:abstractNumId w:val="43"/>
  </w:num>
  <w:num w:numId="18">
    <w:abstractNumId w:val="9"/>
  </w:num>
  <w:num w:numId="19">
    <w:abstractNumId w:val="14"/>
  </w:num>
  <w:num w:numId="20">
    <w:abstractNumId w:val="36"/>
  </w:num>
  <w:num w:numId="21">
    <w:abstractNumId w:val="37"/>
  </w:num>
  <w:num w:numId="22">
    <w:abstractNumId w:val="12"/>
  </w:num>
  <w:num w:numId="23">
    <w:abstractNumId w:val="11"/>
  </w:num>
  <w:num w:numId="24">
    <w:abstractNumId w:val="5"/>
  </w:num>
  <w:num w:numId="25">
    <w:abstractNumId w:val="33"/>
  </w:num>
  <w:num w:numId="26">
    <w:abstractNumId w:val="10"/>
  </w:num>
  <w:num w:numId="27">
    <w:abstractNumId w:val="19"/>
  </w:num>
  <w:num w:numId="28">
    <w:abstractNumId w:val="8"/>
  </w:num>
  <w:num w:numId="29">
    <w:abstractNumId w:val="20"/>
  </w:num>
  <w:num w:numId="30">
    <w:abstractNumId w:val="1"/>
  </w:num>
  <w:num w:numId="31">
    <w:abstractNumId w:val="30"/>
  </w:num>
  <w:num w:numId="32">
    <w:abstractNumId w:val="31"/>
  </w:num>
  <w:num w:numId="33">
    <w:abstractNumId w:val="35"/>
  </w:num>
  <w:num w:numId="34">
    <w:abstractNumId w:val="16"/>
  </w:num>
  <w:num w:numId="35">
    <w:abstractNumId w:val="44"/>
  </w:num>
  <w:num w:numId="36">
    <w:abstractNumId w:val="25"/>
  </w:num>
  <w:num w:numId="37">
    <w:abstractNumId w:val="27"/>
  </w:num>
  <w:num w:numId="38">
    <w:abstractNumId w:val="29"/>
  </w:num>
  <w:num w:numId="39">
    <w:abstractNumId w:val="13"/>
  </w:num>
  <w:num w:numId="40">
    <w:abstractNumId w:val="0"/>
  </w:num>
  <w:num w:numId="41">
    <w:abstractNumId w:val="32"/>
  </w:num>
  <w:num w:numId="42">
    <w:abstractNumId w:val="3"/>
  </w:num>
  <w:num w:numId="43">
    <w:abstractNumId w:val="26"/>
  </w:num>
  <w:num w:numId="44">
    <w:abstractNumId w:val="7"/>
  </w:num>
  <w:num w:numId="45">
    <w:abstractNumId w:val="21"/>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DF"/>
    <w:rsid w:val="00014B00"/>
    <w:rsid w:val="0003501F"/>
    <w:rsid w:val="00040B38"/>
    <w:rsid w:val="000445EA"/>
    <w:rsid w:val="00051DB8"/>
    <w:rsid w:val="00052D53"/>
    <w:rsid w:val="00053A7D"/>
    <w:rsid w:val="000676AA"/>
    <w:rsid w:val="0007607C"/>
    <w:rsid w:val="00096427"/>
    <w:rsid w:val="000A1DB8"/>
    <w:rsid w:val="000A4068"/>
    <w:rsid w:val="000C4518"/>
    <w:rsid w:val="000D2E94"/>
    <w:rsid w:val="00121DDE"/>
    <w:rsid w:val="00150937"/>
    <w:rsid w:val="00151934"/>
    <w:rsid w:val="00163CC8"/>
    <w:rsid w:val="00164BE9"/>
    <w:rsid w:val="0017149C"/>
    <w:rsid w:val="0017186C"/>
    <w:rsid w:val="001849DB"/>
    <w:rsid w:val="001A16D7"/>
    <w:rsid w:val="001C291E"/>
    <w:rsid w:val="001F0421"/>
    <w:rsid w:val="001F28EB"/>
    <w:rsid w:val="002243E0"/>
    <w:rsid w:val="0028057F"/>
    <w:rsid w:val="0028306A"/>
    <w:rsid w:val="00284386"/>
    <w:rsid w:val="00287462"/>
    <w:rsid w:val="00297D20"/>
    <w:rsid w:val="002A760C"/>
    <w:rsid w:val="002B7031"/>
    <w:rsid w:val="002C038B"/>
    <w:rsid w:val="002D5A93"/>
    <w:rsid w:val="002D6B55"/>
    <w:rsid w:val="00310A03"/>
    <w:rsid w:val="00314DC9"/>
    <w:rsid w:val="00317A38"/>
    <w:rsid w:val="00341777"/>
    <w:rsid w:val="00364888"/>
    <w:rsid w:val="003662FE"/>
    <w:rsid w:val="003675E8"/>
    <w:rsid w:val="003679C5"/>
    <w:rsid w:val="003721C9"/>
    <w:rsid w:val="00383847"/>
    <w:rsid w:val="00383A54"/>
    <w:rsid w:val="00383CC5"/>
    <w:rsid w:val="00394717"/>
    <w:rsid w:val="0039749B"/>
    <w:rsid w:val="003A0939"/>
    <w:rsid w:val="003A0AA7"/>
    <w:rsid w:val="003A3E0B"/>
    <w:rsid w:val="003B1091"/>
    <w:rsid w:val="003B42C3"/>
    <w:rsid w:val="003F1A3A"/>
    <w:rsid w:val="00424709"/>
    <w:rsid w:val="00432265"/>
    <w:rsid w:val="00433C32"/>
    <w:rsid w:val="00465E89"/>
    <w:rsid w:val="004B3656"/>
    <w:rsid w:val="004C6BED"/>
    <w:rsid w:val="004D1E35"/>
    <w:rsid w:val="004E5F2D"/>
    <w:rsid w:val="00521D47"/>
    <w:rsid w:val="00560ADF"/>
    <w:rsid w:val="00561513"/>
    <w:rsid w:val="005617A9"/>
    <w:rsid w:val="00562B5A"/>
    <w:rsid w:val="00566C50"/>
    <w:rsid w:val="005B1A2C"/>
    <w:rsid w:val="005B6E51"/>
    <w:rsid w:val="005C247D"/>
    <w:rsid w:val="005C31E2"/>
    <w:rsid w:val="005C3CE2"/>
    <w:rsid w:val="00601C48"/>
    <w:rsid w:val="0062032D"/>
    <w:rsid w:val="00630CB4"/>
    <w:rsid w:val="00684989"/>
    <w:rsid w:val="0068542C"/>
    <w:rsid w:val="00686FE4"/>
    <w:rsid w:val="006B4F2B"/>
    <w:rsid w:val="006E26D1"/>
    <w:rsid w:val="006E3D7B"/>
    <w:rsid w:val="006F093A"/>
    <w:rsid w:val="007030B7"/>
    <w:rsid w:val="00732CE6"/>
    <w:rsid w:val="00734652"/>
    <w:rsid w:val="00760D9E"/>
    <w:rsid w:val="00761464"/>
    <w:rsid w:val="00767BE3"/>
    <w:rsid w:val="0079078F"/>
    <w:rsid w:val="007909C3"/>
    <w:rsid w:val="00792C42"/>
    <w:rsid w:val="007A31AE"/>
    <w:rsid w:val="007A6E02"/>
    <w:rsid w:val="007D1CB6"/>
    <w:rsid w:val="007F044F"/>
    <w:rsid w:val="007F1855"/>
    <w:rsid w:val="0080238C"/>
    <w:rsid w:val="008072D2"/>
    <w:rsid w:val="00827FE8"/>
    <w:rsid w:val="008321AE"/>
    <w:rsid w:val="008400C9"/>
    <w:rsid w:val="00842E14"/>
    <w:rsid w:val="00854B3A"/>
    <w:rsid w:val="00862815"/>
    <w:rsid w:val="00870354"/>
    <w:rsid w:val="00885EE2"/>
    <w:rsid w:val="00890B23"/>
    <w:rsid w:val="00894352"/>
    <w:rsid w:val="00897D11"/>
    <w:rsid w:val="008A2AEF"/>
    <w:rsid w:val="008C0B9E"/>
    <w:rsid w:val="00903316"/>
    <w:rsid w:val="00905F02"/>
    <w:rsid w:val="009108ED"/>
    <w:rsid w:val="00920C27"/>
    <w:rsid w:val="00922D21"/>
    <w:rsid w:val="00931096"/>
    <w:rsid w:val="00946212"/>
    <w:rsid w:val="0095030D"/>
    <w:rsid w:val="00960231"/>
    <w:rsid w:val="00965AE6"/>
    <w:rsid w:val="00983E23"/>
    <w:rsid w:val="009846C4"/>
    <w:rsid w:val="009A721C"/>
    <w:rsid w:val="009B608D"/>
    <w:rsid w:val="009C22A2"/>
    <w:rsid w:val="009C318B"/>
    <w:rsid w:val="009E14AC"/>
    <w:rsid w:val="009E2578"/>
    <w:rsid w:val="009E5F4F"/>
    <w:rsid w:val="009F1555"/>
    <w:rsid w:val="00A00C8F"/>
    <w:rsid w:val="00A01100"/>
    <w:rsid w:val="00A158B4"/>
    <w:rsid w:val="00A17C46"/>
    <w:rsid w:val="00A52257"/>
    <w:rsid w:val="00A9155E"/>
    <w:rsid w:val="00AA2250"/>
    <w:rsid w:val="00AA2E11"/>
    <w:rsid w:val="00AA7BB9"/>
    <w:rsid w:val="00AB681C"/>
    <w:rsid w:val="00AC0D39"/>
    <w:rsid w:val="00AC6922"/>
    <w:rsid w:val="00AF1D87"/>
    <w:rsid w:val="00AF7C38"/>
    <w:rsid w:val="00AF7FFC"/>
    <w:rsid w:val="00B16D53"/>
    <w:rsid w:val="00B221D6"/>
    <w:rsid w:val="00B4247C"/>
    <w:rsid w:val="00B43BEE"/>
    <w:rsid w:val="00B452EC"/>
    <w:rsid w:val="00B47BFE"/>
    <w:rsid w:val="00B53501"/>
    <w:rsid w:val="00B6100A"/>
    <w:rsid w:val="00B624BB"/>
    <w:rsid w:val="00B65BEA"/>
    <w:rsid w:val="00B73289"/>
    <w:rsid w:val="00B83148"/>
    <w:rsid w:val="00B86F8E"/>
    <w:rsid w:val="00B900B4"/>
    <w:rsid w:val="00B95880"/>
    <w:rsid w:val="00BC41B8"/>
    <w:rsid w:val="00BC5B4D"/>
    <w:rsid w:val="00BD0E20"/>
    <w:rsid w:val="00BE1E4C"/>
    <w:rsid w:val="00BE73A7"/>
    <w:rsid w:val="00C00E0A"/>
    <w:rsid w:val="00C05997"/>
    <w:rsid w:val="00C0628C"/>
    <w:rsid w:val="00C1143F"/>
    <w:rsid w:val="00C13E92"/>
    <w:rsid w:val="00C20E88"/>
    <w:rsid w:val="00C352B4"/>
    <w:rsid w:val="00C43079"/>
    <w:rsid w:val="00C67A4F"/>
    <w:rsid w:val="00C84BB0"/>
    <w:rsid w:val="00C87597"/>
    <w:rsid w:val="00C87941"/>
    <w:rsid w:val="00C97823"/>
    <w:rsid w:val="00CA13FA"/>
    <w:rsid w:val="00CA6426"/>
    <w:rsid w:val="00CC2256"/>
    <w:rsid w:val="00CC4392"/>
    <w:rsid w:val="00CD5BCE"/>
    <w:rsid w:val="00CF34B5"/>
    <w:rsid w:val="00CF38AF"/>
    <w:rsid w:val="00D41C86"/>
    <w:rsid w:val="00D460E1"/>
    <w:rsid w:val="00D56C5C"/>
    <w:rsid w:val="00D63C15"/>
    <w:rsid w:val="00D7352C"/>
    <w:rsid w:val="00D771F7"/>
    <w:rsid w:val="00D77342"/>
    <w:rsid w:val="00D93E50"/>
    <w:rsid w:val="00DB6E24"/>
    <w:rsid w:val="00DF6DD1"/>
    <w:rsid w:val="00E01A76"/>
    <w:rsid w:val="00E2354D"/>
    <w:rsid w:val="00E23D38"/>
    <w:rsid w:val="00E364E4"/>
    <w:rsid w:val="00E36C52"/>
    <w:rsid w:val="00E55444"/>
    <w:rsid w:val="00E60233"/>
    <w:rsid w:val="00E7173A"/>
    <w:rsid w:val="00E80933"/>
    <w:rsid w:val="00E83736"/>
    <w:rsid w:val="00E962C5"/>
    <w:rsid w:val="00EC091D"/>
    <w:rsid w:val="00EC48E4"/>
    <w:rsid w:val="00ED412F"/>
    <w:rsid w:val="00ED4F43"/>
    <w:rsid w:val="00ED7717"/>
    <w:rsid w:val="00EE0C4A"/>
    <w:rsid w:val="00EF6D1B"/>
    <w:rsid w:val="00EF74D1"/>
    <w:rsid w:val="00F01329"/>
    <w:rsid w:val="00F07C92"/>
    <w:rsid w:val="00F13B08"/>
    <w:rsid w:val="00F23A62"/>
    <w:rsid w:val="00F35E8F"/>
    <w:rsid w:val="00F52BBA"/>
    <w:rsid w:val="00F54CB1"/>
    <w:rsid w:val="00F80854"/>
    <w:rsid w:val="00F81187"/>
    <w:rsid w:val="00FB2049"/>
    <w:rsid w:val="00FC005D"/>
    <w:rsid w:val="00FD45B9"/>
    <w:rsid w:val="00FE314B"/>
    <w:rsid w:val="00FF2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6AC6"/>
  <w15:docId w15:val="{B9C31A46-EF9D-4C3D-AE5E-36A4A3B8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9DB"/>
    <w:pPr>
      <w:tabs>
        <w:tab w:val="left" w:pos="975"/>
      </w:tabs>
      <w:spacing w:before="60" w:after="60"/>
    </w:pPr>
    <w:rPr>
      <w:rFonts w:ascii="Arial" w:eastAsia="Helvetica" w:hAnsi="Arial" w:cs="Arial"/>
      <w:sz w:val="18"/>
      <w:szCs w:val="18"/>
      <w:lang w:val="en-GB"/>
    </w:rPr>
  </w:style>
  <w:style w:type="paragraph" w:styleId="Heading1">
    <w:name w:val="heading 1"/>
    <w:basedOn w:val="Normal"/>
    <w:uiPriority w:val="9"/>
    <w:qFormat/>
    <w:rsid w:val="00ED4F43"/>
    <w:pPr>
      <w:spacing w:before="61"/>
      <w:ind w:left="120"/>
      <w:outlineLvl w:val="0"/>
    </w:pPr>
    <w:rPr>
      <w:rFonts w:ascii="Helvetica-BoldOblique" w:eastAsia="Helvetica-BoldOblique" w:hAnsi="Helvetica-BoldOblique" w:cs="Helvetica-BoldOblique"/>
      <w:b/>
      <w:bCs/>
      <w:i/>
      <w:color w:val="41B6E6"/>
      <w:sz w:val="21"/>
      <w:szCs w:val="21"/>
    </w:rPr>
  </w:style>
  <w:style w:type="paragraph" w:styleId="Heading5">
    <w:name w:val="heading 5"/>
    <w:basedOn w:val="Normal"/>
    <w:next w:val="Normal"/>
    <w:link w:val="Heading5Char"/>
    <w:uiPriority w:val="9"/>
    <w:semiHidden/>
    <w:unhideWhenUsed/>
    <w:qFormat/>
    <w:rsid w:val="00BC41B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1"/>
      <w:ind w:left="124"/>
    </w:pPr>
    <w:rPr>
      <w:rFonts w:ascii="Helvetica-BoldOblique" w:eastAsia="Helvetica-BoldOblique" w:hAnsi="Helvetica-BoldOblique" w:cs="Helvetica-BoldOblique"/>
      <w:b/>
      <w:bCs/>
      <w:i/>
    </w:rPr>
  </w:style>
  <w:style w:type="paragraph" w:styleId="ListParagraph">
    <w:name w:val="List Paragraph"/>
    <w:basedOn w:val="Normal"/>
    <w:uiPriority w:val="34"/>
    <w:qFormat/>
    <w:rsid w:val="003A0939"/>
    <w:pPr>
      <w:numPr>
        <w:numId w:val="18"/>
      </w:numPr>
      <w:ind w:left="357" w:hanging="357"/>
      <w:contextualSpacing/>
    </w:pPr>
  </w:style>
  <w:style w:type="paragraph" w:customStyle="1" w:styleId="TableParagraph">
    <w:name w:val="Table Paragraph"/>
    <w:basedOn w:val="Normal"/>
    <w:uiPriority w:val="1"/>
    <w:qFormat/>
    <w:pPr>
      <w:spacing w:line="172" w:lineRule="exact"/>
    </w:pPr>
    <w:rPr>
      <w:rFonts w:ascii="Calibri" w:eastAsia="Calibri" w:hAnsi="Calibri" w:cs="Calibri"/>
    </w:rPr>
  </w:style>
  <w:style w:type="paragraph" w:styleId="BalloonText">
    <w:name w:val="Balloon Text"/>
    <w:basedOn w:val="Normal"/>
    <w:link w:val="BalloonTextChar"/>
    <w:uiPriority w:val="99"/>
    <w:semiHidden/>
    <w:unhideWhenUsed/>
    <w:rsid w:val="00CC4392"/>
    <w:rPr>
      <w:rFonts w:ascii="Segoe UI" w:hAnsi="Segoe UI" w:cs="Segoe UI"/>
    </w:rPr>
  </w:style>
  <w:style w:type="character" w:customStyle="1" w:styleId="BalloonTextChar">
    <w:name w:val="Balloon Text Char"/>
    <w:basedOn w:val="DefaultParagraphFont"/>
    <w:link w:val="BalloonText"/>
    <w:uiPriority w:val="99"/>
    <w:semiHidden/>
    <w:rsid w:val="00CC4392"/>
    <w:rPr>
      <w:rFonts w:ascii="Segoe UI" w:eastAsia="Helvetica" w:hAnsi="Segoe UI" w:cs="Segoe UI"/>
      <w:sz w:val="18"/>
      <w:szCs w:val="18"/>
      <w:lang w:val="en-GB"/>
    </w:rPr>
  </w:style>
  <w:style w:type="paragraph" w:styleId="Header">
    <w:name w:val="header"/>
    <w:basedOn w:val="Normal"/>
    <w:link w:val="HeaderChar"/>
    <w:uiPriority w:val="99"/>
    <w:unhideWhenUsed/>
    <w:rsid w:val="00922D21"/>
    <w:pPr>
      <w:tabs>
        <w:tab w:val="center" w:pos="4513"/>
        <w:tab w:val="right" w:pos="9026"/>
      </w:tabs>
    </w:pPr>
  </w:style>
  <w:style w:type="character" w:customStyle="1" w:styleId="HeaderChar">
    <w:name w:val="Header Char"/>
    <w:basedOn w:val="DefaultParagraphFont"/>
    <w:link w:val="Header"/>
    <w:uiPriority w:val="99"/>
    <w:rsid w:val="00922D21"/>
    <w:rPr>
      <w:rFonts w:ascii="Helvetica" w:eastAsia="Helvetica" w:hAnsi="Helvetica" w:cs="Helvetica"/>
      <w:lang w:val="en-GB"/>
    </w:rPr>
  </w:style>
  <w:style w:type="paragraph" w:styleId="Footer">
    <w:name w:val="footer"/>
    <w:basedOn w:val="Normal"/>
    <w:link w:val="FooterChar"/>
    <w:uiPriority w:val="99"/>
    <w:unhideWhenUsed/>
    <w:rsid w:val="00922D21"/>
    <w:pPr>
      <w:tabs>
        <w:tab w:val="center" w:pos="4513"/>
        <w:tab w:val="right" w:pos="9026"/>
      </w:tabs>
    </w:pPr>
  </w:style>
  <w:style w:type="character" w:customStyle="1" w:styleId="FooterChar">
    <w:name w:val="Footer Char"/>
    <w:basedOn w:val="DefaultParagraphFont"/>
    <w:link w:val="Footer"/>
    <w:uiPriority w:val="99"/>
    <w:rsid w:val="00922D21"/>
    <w:rPr>
      <w:rFonts w:ascii="Helvetica" w:eastAsia="Helvetica" w:hAnsi="Helvetica" w:cs="Helvetica"/>
      <w:lang w:val="en-GB"/>
    </w:rPr>
  </w:style>
  <w:style w:type="table" w:styleId="TableGrid">
    <w:name w:val="Table Grid"/>
    <w:basedOn w:val="TableNormal"/>
    <w:uiPriority w:val="39"/>
    <w:rsid w:val="0092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4247C"/>
    <w:rPr>
      <w:rFonts w:cs="Times New Roman"/>
      <w:color w:val="0000FF"/>
      <w:u w:val="single"/>
    </w:rPr>
  </w:style>
  <w:style w:type="character" w:styleId="FollowedHyperlink">
    <w:name w:val="FollowedHyperlink"/>
    <w:basedOn w:val="DefaultParagraphFont"/>
    <w:uiPriority w:val="99"/>
    <w:semiHidden/>
    <w:unhideWhenUsed/>
    <w:rsid w:val="009108ED"/>
    <w:rPr>
      <w:color w:val="800080" w:themeColor="followedHyperlink"/>
      <w:u w:val="single"/>
    </w:rPr>
  </w:style>
  <w:style w:type="character" w:styleId="CommentReference">
    <w:name w:val="annotation reference"/>
    <w:basedOn w:val="DefaultParagraphFont"/>
    <w:uiPriority w:val="99"/>
    <w:semiHidden/>
    <w:unhideWhenUsed/>
    <w:rsid w:val="00C97823"/>
    <w:rPr>
      <w:sz w:val="16"/>
      <w:szCs w:val="16"/>
    </w:rPr>
  </w:style>
  <w:style w:type="paragraph" w:styleId="CommentText">
    <w:name w:val="annotation text"/>
    <w:basedOn w:val="Normal"/>
    <w:link w:val="CommentTextChar"/>
    <w:uiPriority w:val="99"/>
    <w:unhideWhenUsed/>
    <w:rsid w:val="00C97823"/>
    <w:rPr>
      <w:sz w:val="20"/>
      <w:szCs w:val="20"/>
    </w:rPr>
  </w:style>
  <w:style w:type="character" w:customStyle="1" w:styleId="CommentTextChar">
    <w:name w:val="Comment Text Char"/>
    <w:basedOn w:val="DefaultParagraphFont"/>
    <w:link w:val="CommentText"/>
    <w:uiPriority w:val="99"/>
    <w:rsid w:val="00C97823"/>
    <w:rPr>
      <w:rFonts w:ascii="Arial" w:eastAsia="Helvetica"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97823"/>
    <w:rPr>
      <w:b/>
      <w:bCs/>
    </w:rPr>
  </w:style>
  <w:style w:type="character" w:customStyle="1" w:styleId="CommentSubjectChar">
    <w:name w:val="Comment Subject Char"/>
    <w:basedOn w:val="CommentTextChar"/>
    <w:link w:val="CommentSubject"/>
    <w:uiPriority w:val="99"/>
    <w:semiHidden/>
    <w:rsid w:val="00C97823"/>
    <w:rPr>
      <w:rFonts w:ascii="Arial" w:eastAsia="Helvetica" w:hAnsi="Arial" w:cs="Arial"/>
      <w:b/>
      <w:bCs/>
      <w:sz w:val="20"/>
      <w:szCs w:val="20"/>
      <w:lang w:val="en-GB"/>
    </w:rPr>
  </w:style>
  <w:style w:type="character" w:customStyle="1" w:styleId="UnresolvedMention1">
    <w:name w:val="Unresolved Mention1"/>
    <w:basedOn w:val="DefaultParagraphFont"/>
    <w:uiPriority w:val="99"/>
    <w:semiHidden/>
    <w:unhideWhenUsed/>
    <w:rsid w:val="00121DDE"/>
    <w:rPr>
      <w:color w:val="605E5C"/>
      <w:shd w:val="clear" w:color="auto" w:fill="E1DFDD"/>
    </w:rPr>
  </w:style>
  <w:style w:type="character" w:styleId="PlaceholderText">
    <w:name w:val="Placeholder Text"/>
    <w:basedOn w:val="DefaultParagraphFont"/>
    <w:uiPriority w:val="99"/>
    <w:semiHidden/>
    <w:rsid w:val="006E26D1"/>
    <w:rPr>
      <w:color w:val="666666"/>
    </w:rPr>
  </w:style>
  <w:style w:type="character" w:customStyle="1" w:styleId="UnresolvedMention">
    <w:name w:val="Unresolved Mention"/>
    <w:basedOn w:val="DefaultParagraphFont"/>
    <w:uiPriority w:val="99"/>
    <w:semiHidden/>
    <w:unhideWhenUsed/>
    <w:rsid w:val="00897D11"/>
    <w:rPr>
      <w:color w:val="605E5C"/>
      <w:shd w:val="clear" w:color="auto" w:fill="E1DFDD"/>
    </w:rPr>
  </w:style>
  <w:style w:type="character" w:customStyle="1" w:styleId="Heading5Char">
    <w:name w:val="Heading 5 Char"/>
    <w:basedOn w:val="DefaultParagraphFont"/>
    <w:link w:val="Heading5"/>
    <w:uiPriority w:val="9"/>
    <w:semiHidden/>
    <w:rsid w:val="00BC41B8"/>
    <w:rPr>
      <w:rFonts w:asciiTheme="majorHAnsi" w:eastAsiaTheme="majorEastAsia" w:hAnsiTheme="majorHAnsi" w:cstheme="majorBidi"/>
      <w:color w:val="365F91" w:themeColor="accent1" w:themeShade="BF"/>
      <w:sz w:val="18"/>
      <w:szCs w:val="18"/>
      <w:lang w:val="en-GB"/>
    </w:rPr>
  </w:style>
  <w:style w:type="character" w:customStyle="1" w:styleId="Style1">
    <w:name w:val="Style1"/>
    <w:uiPriority w:val="1"/>
    <w:rsid w:val="00C1143F"/>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6375">
      <w:bodyDiv w:val="1"/>
      <w:marLeft w:val="0"/>
      <w:marRight w:val="0"/>
      <w:marTop w:val="0"/>
      <w:marBottom w:val="0"/>
      <w:divBdr>
        <w:top w:val="none" w:sz="0" w:space="0" w:color="auto"/>
        <w:left w:val="none" w:sz="0" w:space="0" w:color="auto"/>
        <w:bottom w:val="none" w:sz="0" w:space="0" w:color="auto"/>
        <w:right w:val="none" w:sz="0" w:space="0" w:color="auto"/>
      </w:divBdr>
      <w:divsChild>
        <w:div w:id="1952934113">
          <w:marLeft w:val="0"/>
          <w:marRight w:val="0"/>
          <w:marTop w:val="0"/>
          <w:marBottom w:val="0"/>
          <w:divBdr>
            <w:top w:val="none" w:sz="0" w:space="0" w:color="auto"/>
            <w:left w:val="none" w:sz="0" w:space="0" w:color="auto"/>
            <w:bottom w:val="none" w:sz="0" w:space="0" w:color="auto"/>
            <w:right w:val="none" w:sz="0" w:space="0" w:color="auto"/>
          </w:divBdr>
        </w:div>
        <w:div w:id="806320489">
          <w:marLeft w:val="0"/>
          <w:marRight w:val="0"/>
          <w:marTop w:val="0"/>
          <w:marBottom w:val="0"/>
          <w:divBdr>
            <w:top w:val="none" w:sz="0" w:space="0" w:color="auto"/>
            <w:left w:val="none" w:sz="0" w:space="0" w:color="auto"/>
            <w:bottom w:val="none" w:sz="0" w:space="0" w:color="auto"/>
            <w:right w:val="none" w:sz="0" w:space="0" w:color="auto"/>
          </w:divBdr>
        </w:div>
        <w:div w:id="1251162006">
          <w:marLeft w:val="0"/>
          <w:marRight w:val="0"/>
          <w:marTop w:val="0"/>
          <w:marBottom w:val="0"/>
          <w:divBdr>
            <w:top w:val="none" w:sz="0" w:space="0" w:color="auto"/>
            <w:left w:val="none" w:sz="0" w:space="0" w:color="auto"/>
            <w:bottom w:val="none" w:sz="0" w:space="0" w:color="auto"/>
            <w:right w:val="none" w:sz="0" w:space="0" w:color="auto"/>
          </w:divBdr>
        </w:div>
      </w:divsChild>
    </w:div>
    <w:div w:id="350107400">
      <w:bodyDiv w:val="1"/>
      <w:marLeft w:val="0"/>
      <w:marRight w:val="0"/>
      <w:marTop w:val="0"/>
      <w:marBottom w:val="0"/>
      <w:divBdr>
        <w:top w:val="none" w:sz="0" w:space="0" w:color="auto"/>
        <w:left w:val="none" w:sz="0" w:space="0" w:color="auto"/>
        <w:bottom w:val="none" w:sz="0" w:space="0" w:color="auto"/>
        <w:right w:val="none" w:sz="0" w:space="0" w:color="auto"/>
      </w:divBdr>
    </w:div>
    <w:div w:id="447286827">
      <w:bodyDiv w:val="1"/>
      <w:marLeft w:val="0"/>
      <w:marRight w:val="0"/>
      <w:marTop w:val="0"/>
      <w:marBottom w:val="0"/>
      <w:divBdr>
        <w:top w:val="none" w:sz="0" w:space="0" w:color="auto"/>
        <w:left w:val="none" w:sz="0" w:space="0" w:color="auto"/>
        <w:bottom w:val="none" w:sz="0" w:space="0" w:color="auto"/>
        <w:right w:val="none" w:sz="0" w:space="0" w:color="auto"/>
      </w:divBdr>
    </w:div>
    <w:div w:id="616838544">
      <w:bodyDiv w:val="1"/>
      <w:marLeft w:val="0"/>
      <w:marRight w:val="0"/>
      <w:marTop w:val="0"/>
      <w:marBottom w:val="0"/>
      <w:divBdr>
        <w:top w:val="none" w:sz="0" w:space="0" w:color="auto"/>
        <w:left w:val="none" w:sz="0" w:space="0" w:color="auto"/>
        <w:bottom w:val="none" w:sz="0" w:space="0" w:color="auto"/>
        <w:right w:val="none" w:sz="0" w:space="0" w:color="auto"/>
      </w:divBdr>
    </w:div>
    <w:div w:id="1552109665">
      <w:bodyDiv w:val="1"/>
      <w:marLeft w:val="0"/>
      <w:marRight w:val="0"/>
      <w:marTop w:val="0"/>
      <w:marBottom w:val="0"/>
      <w:divBdr>
        <w:top w:val="none" w:sz="0" w:space="0" w:color="auto"/>
        <w:left w:val="none" w:sz="0" w:space="0" w:color="auto"/>
        <w:bottom w:val="none" w:sz="0" w:space="0" w:color="auto"/>
        <w:right w:val="none" w:sz="0" w:space="0" w:color="auto"/>
      </w:divBdr>
    </w:div>
    <w:div w:id="1586259453">
      <w:bodyDiv w:val="1"/>
      <w:marLeft w:val="0"/>
      <w:marRight w:val="0"/>
      <w:marTop w:val="0"/>
      <w:marBottom w:val="0"/>
      <w:divBdr>
        <w:top w:val="none" w:sz="0" w:space="0" w:color="auto"/>
        <w:left w:val="none" w:sz="0" w:space="0" w:color="auto"/>
        <w:bottom w:val="none" w:sz="0" w:space="0" w:color="auto"/>
        <w:right w:val="none" w:sz="0" w:space="0" w:color="auto"/>
      </w:divBdr>
    </w:div>
    <w:div w:id="1643803443">
      <w:bodyDiv w:val="1"/>
      <w:marLeft w:val="0"/>
      <w:marRight w:val="0"/>
      <w:marTop w:val="0"/>
      <w:marBottom w:val="0"/>
      <w:divBdr>
        <w:top w:val="none" w:sz="0" w:space="0" w:color="auto"/>
        <w:left w:val="none" w:sz="0" w:space="0" w:color="auto"/>
        <w:bottom w:val="none" w:sz="0" w:space="0" w:color="auto"/>
        <w:right w:val="none" w:sz="0" w:space="0" w:color="auto"/>
      </w:divBdr>
    </w:div>
    <w:div w:id="1737774024">
      <w:bodyDiv w:val="1"/>
      <w:marLeft w:val="0"/>
      <w:marRight w:val="0"/>
      <w:marTop w:val="0"/>
      <w:marBottom w:val="0"/>
      <w:divBdr>
        <w:top w:val="none" w:sz="0" w:space="0" w:color="auto"/>
        <w:left w:val="none" w:sz="0" w:space="0" w:color="auto"/>
        <w:bottom w:val="none" w:sz="0" w:space="0" w:color="auto"/>
        <w:right w:val="none" w:sz="0" w:space="0" w:color="auto"/>
      </w:divBdr>
      <w:divsChild>
        <w:div w:id="1285498228">
          <w:marLeft w:val="0"/>
          <w:marRight w:val="0"/>
          <w:marTop w:val="0"/>
          <w:marBottom w:val="0"/>
          <w:divBdr>
            <w:top w:val="none" w:sz="0" w:space="0" w:color="auto"/>
            <w:left w:val="none" w:sz="0" w:space="0" w:color="auto"/>
            <w:bottom w:val="none" w:sz="0" w:space="0" w:color="auto"/>
            <w:right w:val="none" w:sz="0" w:space="0" w:color="auto"/>
          </w:divBdr>
        </w:div>
        <w:div w:id="1765225636">
          <w:marLeft w:val="0"/>
          <w:marRight w:val="0"/>
          <w:marTop w:val="0"/>
          <w:marBottom w:val="0"/>
          <w:divBdr>
            <w:top w:val="none" w:sz="0" w:space="0" w:color="auto"/>
            <w:left w:val="none" w:sz="0" w:space="0" w:color="auto"/>
            <w:bottom w:val="none" w:sz="0" w:space="0" w:color="auto"/>
            <w:right w:val="none" w:sz="0" w:space="0" w:color="auto"/>
          </w:divBdr>
        </w:div>
        <w:div w:id="360131576">
          <w:marLeft w:val="0"/>
          <w:marRight w:val="0"/>
          <w:marTop w:val="0"/>
          <w:marBottom w:val="0"/>
          <w:divBdr>
            <w:top w:val="none" w:sz="0" w:space="0" w:color="auto"/>
            <w:left w:val="none" w:sz="0" w:space="0" w:color="auto"/>
            <w:bottom w:val="none" w:sz="0" w:space="0" w:color="auto"/>
            <w:right w:val="none" w:sz="0" w:space="0" w:color="auto"/>
          </w:divBdr>
        </w:div>
      </w:divsChild>
    </w:div>
    <w:div w:id="1801920303">
      <w:bodyDiv w:val="1"/>
      <w:marLeft w:val="0"/>
      <w:marRight w:val="0"/>
      <w:marTop w:val="0"/>
      <w:marBottom w:val="0"/>
      <w:divBdr>
        <w:top w:val="none" w:sz="0" w:space="0" w:color="auto"/>
        <w:left w:val="none" w:sz="0" w:space="0" w:color="auto"/>
        <w:bottom w:val="none" w:sz="0" w:space="0" w:color="auto"/>
        <w:right w:val="none" w:sz="0" w:space="0" w:color="auto"/>
      </w:divBdr>
    </w:div>
    <w:div w:id="2000843523">
      <w:bodyDiv w:val="1"/>
      <w:marLeft w:val="0"/>
      <w:marRight w:val="0"/>
      <w:marTop w:val="0"/>
      <w:marBottom w:val="0"/>
      <w:divBdr>
        <w:top w:val="none" w:sz="0" w:space="0" w:color="auto"/>
        <w:left w:val="none" w:sz="0" w:space="0" w:color="auto"/>
        <w:bottom w:val="none" w:sz="0" w:space="0" w:color="auto"/>
        <w:right w:val="none" w:sz="0" w:space="0" w:color="auto"/>
      </w:divBdr>
    </w:div>
    <w:div w:id="2146123265">
      <w:bodyDiv w:val="1"/>
      <w:marLeft w:val="0"/>
      <w:marRight w:val="0"/>
      <w:marTop w:val="0"/>
      <w:marBottom w:val="0"/>
      <w:divBdr>
        <w:top w:val="none" w:sz="0" w:space="0" w:color="auto"/>
        <w:left w:val="none" w:sz="0" w:space="0" w:color="auto"/>
        <w:bottom w:val="none" w:sz="0" w:space="0" w:color="auto"/>
        <w:right w:val="none" w:sz="0" w:space="0" w:color="auto"/>
      </w:divBdr>
      <w:divsChild>
        <w:div w:id="1944919474">
          <w:marLeft w:val="0"/>
          <w:marRight w:val="0"/>
          <w:marTop w:val="0"/>
          <w:marBottom w:val="0"/>
          <w:divBdr>
            <w:top w:val="none" w:sz="0" w:space="0" w:color="auto"/>
            <w:left w:val="none" w:sz="0" w:space="0" w:color="auto"/>
            <w:bottom w:val="none" w:sz="0" w:space="0" w:color="auto"/>
            <w:right w:val="none" w:sz="0" w:space="0" w:color="auto"/>
          </w:divBdr>
        </w:div>
        <w:div w:id="8925417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ce.org.uk/guidance/ta1038" TargetMode="External"/><Relationship Id="rId18" Type="http://schemas.openxmlformats.org/officeDocument/2006/relationships/hyperlink" Target="https://www.nice.org.uk/guidance/ta104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www.nice.org.uk/guidance/ta1037" TargetMode="External"/><Relationship Id="rId17" Type="http://schemas.openxmlformats.org/officeDocument/2006/relationships/hyperlink" Target="https://www.nice.org.uk/guidance/ta104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nice.org.uk/guidance/ta1041" TargetMode="External"/><Relationship Id="rId20" Type="http://schemas.openxmlformats.org/officeDocument/2006/relationships/hyperlink" Target="https://humberandnorthyorkshire.org.uk/area-prescribing-committee-a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ta1036"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ice.org.uk/guidance/ta104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pcds.org.uk/clinical-guidance/scabies" TargetMode="External"/><Relationship Id="rId19" Type="http://schemas.openxmlformats.org/officeDocument/2006/relationships/hyperlink" Target="mailto:nuth.nyrdtc.rxsupp@nh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ice.org.uk/guidance/ta1039" TargetMode="External"/><Relationship Id="rId22" Type="http://schemas.openxmlformats.org/officeDocument/2006/relationships/hyperlink" Target="https://twitter.com/RDTC_Rx"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DA717F1D-BC65-42D3-AE1B-4745896D4804}"/>
      </w:docPartPr>
      <w:docPartBody>
        <w:p w:rsidR="00540650" w:rsidRDefault="00540650">
          <w:r w:rsidRPr="00291D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Oblique">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50"/>
    <w:rsid w:val="00424709"/>
    <w:rsid w:val="00540650"/>
    <w:rsid w:val="0080238C"/>
    <w:rsid w:val="00B452EC"/>
    <w:rsid w:val="00C87941"/>
    <w:rsid w:val="00F85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065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E49A4-071E-42CF-A6AF-A1EAAFAEF4E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163</TotalTime>
  <Pages>3</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Prescribing Bulletin</vt:lpstr>
    </vt:vector>
  </TitlesOfParts>
  <Company>Newcastle upon Tyne Hospitals NHS Foundation Trust</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Prescribing Bulletin</dc:title>
  <dc:creator>Regional Drug and Therapeutics Centre</dc:creator>
  <cp:lastModifiedBy>Kane, Nancy</cp:lastModifiedBy>
  <cp:revision>40</cp:revision>
  <dcterms:created xsi:type="dcterms:W3CDTF">2025-03-20T15:25:00Z</dcterms:created>
  <dcterms:modified xsi:type="dcterms:W3CDTF">2025-04-08T15:52:00Z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Adobe InDesign 15.1 (Macintosh)</vt:lpwstr>
  </property>
  <property fmtid="{D5CDD505-2E9C-101B-9397-08002B2CF9AE}" pid="4" name="LastSaved">
    <vt:filetime>2020-10-05T00:00:00Z</vt:filetime>
  </property>
</Properties>
</file>