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5C52" w14:textId="083EAF97" w:rsidR="007030B7" w:rsidRDefault="006E26D1" w:rsidP="007909C3">
      <w:pPr>
        <w:pStyle w:val="BodyText"/>
      </w:pPr>
      <w:r w:rsidRPr="00EC13F4">
        <w:rPr>
          <w:noProof/>
          <w:lang w:eastAsia="en-GB"/>
        </w:rPr>
        <w:drawing>
          <wp:anchor distT="0" distB="0" distL="114300" distR="114300" simplePos="0" relativeHeight="251662336" behindDoc="1" locked="0" layoutInCell="1" allowOverlap="1" wp14:anchorId="19741DDF" wp14:editId="7531D5E9">
            <wp:simplePos x="0" y="0"/>
            <wp:positionH relativeFrom="column">
              <wp:posOffset>-140335</wp:posOffset>
            </wp:positionH>
            <wp:positionV relativeFrom="paragraph">
              <wp:posOffset>0</wp:posOffset>
            </wp:positionV>
            <wp:extent cx="2209800" cy="466725"/>
            <wp:effectExtent l="0" t="0" r="0" b="9525"/>
            <wp:wrapTight wrapText="bothSides">
              <wp:wrapPolygon edited="0">
                <wp:start x="0" y="0"/>
                <wp:lineTo x="0" y="21159"/>
                <wp:lineTo x="21414" y="21159"/>
                <wp:lineTo x="21414" y="0"/>
                <wp:lineTo x="0" y="0"/>
              </wp:wrapPolygon>
            </wp:wrapTight>
            <wp:docPr id="986309439" name="Picture 9863094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09439" name="Picture 986309439" descr="A close-up of a logo&#10;&#10;Description automatically generated"/>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74E5E3DB" wp14:editId="74FB1C3C">
                <wp:simplePos x="0" y="0"/>
                <wp:positionH relativeFrom="column">
                  <wp:posOffset>1082675</wp:posOffset>
                </wp:positionH>
                <wp:positionV relativeFrom="paragraph">
                  <wp:posOffset>308610</wp:posOffset>
                </wp:positionV>
                <wp:extent cx="83566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0" cy="685800"/>
                        </a:xfrm>
                        <a:prstGeom prst="rect">
                          <a:avLst/>
                        </a:prstGeom>
                        <a:noFill/>
                        <a:ln w="9525">
                          <a:noFill/>
                          <a:miter lim="800000"/>
                          <a:headEnd/>
                          <a:tailEnd/>
                        </a:ln>
                      </wps:spPr>
                      <wps:txb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E5E3DB" id="_x0000_t202" coordsize="21600,21600" o:spt="202" path="m,l,21600r21600,l21600,xe">
                <v:stroke joinstyle="miter"/>
                <v:path gradientshapeok="t" o:connecttype="rect"/>
              </v:shapetype>
              <v:shape id="Text Box 2" o:spid="_x0000_s1026" type="#_x0000_t202" style="position:absolute;margin-left:85.25pt;margin-top:24.3pt;width:658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" filled="f" stroked="f">
                <v:textbo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v:textbox>
                <w10:wrap type="square"/>
              </v:shape>
            </w:pict>
          </mc:Fallback>
        </mc:AlternateContent>
      </w:r>
      <w:r w:rsidRPr="00EC13F4">
        <w:rPr>
          <w:noProof/>
          <w:lang w:eastAsia="en-GB"/>
        </w:rPr>
        <w:drawing>
          <wp:anchor distT="0" distB="0" distL="114300" distR="114300" simplePos="0" relativeHeight="251661312" behindDoc="1" locked="0" layoutInCell="1" allowOverlap="1" wp14:anchorId="18B67ECE" wp14:editId="7CB0FB35">
            <wp:simplePos x="0" y="0"/>
            <wp:positionH relativeFrom="column">
              <wp:posOffset>8972550</wp:posOffset>
            </wp:positionH>
            <wp:positionV relativeFrom="paragraph">
              <wp:posOffset>0</wp:posOffset>
            </wp:positionV>
            <wp:extent cx="1259840" cy="766445"/>
            <wp:effectExtent l="0" t="0" r="0" b="0"/>
            <wp:wrapTight wrapText="bothSides">
              <wp:wrapPolygon edited="0">
                <wp:start x="0" y="0"/>
                <wp:lineTo x="0" y="20938"/>
                <wp:lineTo x="21230" y="20938"/>
                <wp:lineTo x="21230" y="0"/>
                <wp:lineTo x="0" y="0"/>
              </wp:wrapPolygon>
            </wp:wrapTight>
            <wp:docPr id="1580305060" name="Picture 15803050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05060" name="Picture 1580305060"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p>
    <w:p w14:paraId="39EEFB36" w14:textId="77777777" w:rsidR="007030B7" w:rsidRDefault="007030B7" w:rsidP="007909C3">
      <w:pPr>
        <w:pStyle w:val="BodyText"/>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10768"/>
        <w:gridCol w:w="4677"/>
      </w:tblGrid>
      <w:tr w:rsidR="00CF38AF" w:rsidRPr="00096427" w14:paraId="4A0106AA" w14:textId="77777777" w:rsidTr="00AB3FD8">
        <w:trPr>
          <w:cantSplit/>
          <w:tblHeader/>
        </w:trPr>
        <w:tc>
          <w:tcPr>
            <w:tcW w:w="3486" w:type="pct"/>
            <w:shd w:val="clear" w:color="auto" w:fill="C9ECFB"/>
          </w:tcPr>
          <w:p w14:paraId="761B604A" w14:textId="0BB5FE9E" w:rsidR="00CF38AF" w:rsidRPr="00CF38AF" w:rsidRDefault="00121DDE" w:rsidP="00773CBE">
            <w:pPr>
              <w:tabs>
                <w:tab w:val="clear" w:pos="975"/>
              </w:tabs>
              <w:rPr>
                <w:rFonts w:ascii="Helvetica" w:eastAsia="Calibri" w:hAnsi="Helvetica" w:cs="Helvetica"/>
                <w:b/>
                <w:sz w:val="22"/>
                <w:szCs w:val="22"/>
              </w:rPr>
            </w:pPr>
            <w:r>
              <w:rPr>
                <w:rFonts w:ascii="Helvetica" w:eastAsia="Calibri" w:hAnsi="Helvetica" w:cs="Helvetica"/>
                <w:b/>
                <w:sz w:val="22"/>
                <w:szCs w:val="22"/>
              </w:rPr>
              <w:t>Recommendations</w:t>
            </w:r>
            <w:r w:rsidR="00CF38AF" w:rsidRPr="00CF38AF">
              <w:rPr>
                <w:rFonts w:ascii="Helvetica" w:eastAsia="Calibri" w:hAnsi="Helvetica" w:cs="Helvetica"/>
                <w:b/>
                <w:sz w:val="22"/>
                <w:szCs w:val="22"/>
              </w:rPr>
              <w:t xml:space="preserve"> made by</w:t>
            </w:r>
            <w:r>
              <w:rPr>
                <w:rFonts w:ascii="Helvetica" w:eastAsia="Calibri" w:hAnsi="Helvetica" w:cs="Helvetica"/>
                <w:b/>
                <w:sz w:val="22"/>
                <w:szCs w:val="22"/>
              </w:rPr>
              <w:t xml:space="preserve"> </w:t>
            </w:r>
            <w:r w:rsidR="00787BA5">
              <w:rPr>
                <w:rFonts w:ascii="Helvetica" w:eastAsia="Calibri" w:hAnsi="Helvetica" w:cs="Helvetica"/>
                <w:b/>
                <w:color w:val="000000"/>
                <w:sz w:val="22"/>
                <w:szCs w:val="22"/>
              </w:rPr>
              <w:t>the Medicines, Formulary, and Guidelines Group</w:t>
            </w:r>
            <w:r>
              <w:rPr>
                <w:rFonts w:ascii="Helvetica" w:eastAsia="Calibri" w:hAnsi="Helvetica" w:cs="Helvetica"/>
                <w:b/>
                <w:sz w:val="22"/>
                <w:szCs w:val="22"/>
              </w:rPr>
              <w:t xml:space="preserve"> a</w:t>
            </w:r>
            <w:r w:rsidRPr="00CF38AF">
              <w:rPr>
                <w:rFonts w:ascii="Helvetica" w:eastAsia="Calibri" w:hAnsi="Helvetica" w:cs="Helvetica"/>
                <w:b/>
                <w:sz w:val="22"/>
                <w:szCs w:val="22"/>
              </w:rPr>
              <w:t>t their meeting on:</w:t>
            </w:r>
          </w:p>
        </w:tc>
        <w:sdt>
          <w:sdtPr>
            <w:rPr>
              <w:rFonts w:ascii="Helvetica" w:eastAsia="Calibri" w:hAnsi="Helvetica" w:cs="Helvetica"/>
              <w:bCs/>
              <w:sz w:val="22"/>
              <w:szCs w:val="22"/>
            </w:rPr>
            <w:id w:val="-1408532192"/>
            <w:placeholder>
              <w:docPart w:val="DefaultPlaceholder_-1854013437"/>
            </w:placeholder>
            <w:date w:fullDate="2025-05-21T00:00:00Z">
              <w:dateFormat w:val="dd MMMM yyyy"/>
              <w:lid w:val="en-GB"/>
              <w:storeMappedDataAs w:val="dateTime"/>
              <w:calendar w:val="gregorian"/>
            </w:date>
          </w:sdtPr>
          <w:sdtEndPr/>
          <w:sdtContent>
            <w:tc>
              <w:tcPr>
                <w:tcW w:w="1514" w:type="pct"/>
                <w:shd w:val="clear" w:color="auto" w:fill="C9ECFB"/>
              </w:tcPr>
              <w:p w14:paraId="17CF765C" w14:textId="7715811C" w:rsidR="00CF38AF" w:rsidRPr="00870354" w:rsidRDefault="00E40C67" w:rsidP="00773CBE">
                <w:pPr>
                  <w:tabs>
                    <w:tab w:val="clear" w:pos="975"/>
                  </w:tabs>
                  <w:rPr>
                    <w:rFonts w:ascii="Helvetica" w:eastAsia="Calibri" w:hAnsi="Helvetica" w:cs="Helvetica"/>
                    <w:bCs/>
                    <w:sz w:val="22"/>
                    <w:szCs w:val="22"/>
                  </w:rPr>
                </w:pPr>
                <w:r>
                  <w:rPr>
                    <w:rFonts w:ascii="Helvetica" w:eastAsia="Calibri" w:hAnsi="Helvetica" w:cs="Helvetica"/>
                    <w:bCs/>
                    <w:sz w:val="22"/>
                    <w:szCs w:val="22"/>
                  </w:rPr>
                  <w:t>21 May 2025</w:t>
                </w:r>
              </w:p>
            </w:tc>
          </w:sdtContent>
        </w:sdt>
      </w:tr>
    </w:tbl>
    <w:p w14:paraId="2E891FA4" w14:textId="77777777" w:rsidR="001F28EB" w:rsidRDefault="001F28EB" w:rsidP="00383A54">
      <w:pPr>
        <w:spacing w:before="0" w:after="0"/>
        <w:rPr>
          <w:sz w:val="20"/>
          <w:lang w:val="en-US" w:eastAsia="ja-JP"/>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383A54" w14:paraId="65FDC242" w14:textId="77777777" w:rsidTr="006E26D1">
        <w:trPr>
          <w:cantSplit/>
        </w:trPr>
        <w:tc>
          <w:tcPr>
            <w:tcW w:w="5000" w:type="pct"/>
            <w:shd w:val="clear" w:color="auto" w:fill="auto"/>
          </w:tcPr>
          <w:p w14:paraId="618C7F55" w14:textId="77777777" w:rsidR="009C22A2" w:rsidRPr="00383A54" w:rsidRDefault="009C22A2" w:rsidP="006E26D1">
            <w:pPr>
              <w:tabs>
                <w:tab w:val="clear" w:pos="975"/>
              </w:tabs>
              <w:spacing w:before="120" w:after="120"/>
              <w:jc w:val="center"/>
              <w:rPr>
                <w:sz w:val="24"/>
                <w:szCs w:val="24"/>
              </w:rPr>
            </w:pPr>
            <w:r>
              <w:rPr>
                <w:rFonts w:eastAsia="Calibri"/>
                <w:b/>
                <w:color w:val="1F497D"/>
                <w:sz w:val="24"/>
                <w:szCs w:val="24"/>
              </w:rPr>
              <w:t>Local Recommendations</w:t>
            </w:r>
          </w:p>
        </w:tc>
      </w:tr>
    </w:tbl>
    <w:p w14:paraId="322AF07B" w14:textId="77777777" w:rsidR="00383A54" w:rsidRPr="006E26D1" w:rsidRDefault="00383A54" w:rsidP="00383A54">
      <w:pPr>
        <w:spacing w:before="0" w:after="0"/>
        <w:rPr>
          <w:sz w:val="20"/>
          <w:szCs w:val="20"/>
          <w:lang w:val="en-US" w:eastAsia="ja-JP"/>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119"/>
        <w:gridCol w:w="3402"/>
        <w:gridCol w:w="2268"/>
        <w:gridCol w:w="2693"/>
        <w:gridCol w:w="2261"/>
      </w:tblGrid>
      <w:tr w:rsidR="00BE73A7" w:rsidRPr="00253EC1" w14:paraId="58618552" w14:textId="77777777" w:rsidTr="00AB3FD8">
        <w:trPr>
          <w:cantSplit/>
          <w:tblHeader/>
        </w:trPr>
        <w:tc>
          <w:tcPr>
            <w:tcW w:w="1696" w:type="dxa"/>
            <w:tcBorders>
              <w:bottom w:val="single" w:sz="4" w:space="0" w:color="auto"/>
            </w:tcBorders>
            <w:shd w:val="clear" w:color="auto" w:fill="C9ECFB"/>
          </w:tcPr>
          <w:p w14:paraId="01C0390F" w14:textId="6C3E2E00" w:rsidR="00121DDE" w:rsidRPr="007909C3" w:rsidRDefault="00121DDE" w:rsidP="007909C3">
            <w:pPr>
              <w:tabs>
                <w:tab w:val="clear" w:pos="975"/>
              </w:tabs>
              <w:rPr>
                <w:rFonts w:eastAsia="Calibri"/>
                <w:b/>
              </w:rPr>
            </w:pPr>
            <w:bookmarkStart w:id="0" w:name="_Hlk117164764"/>
            <w:r>
              <w:rPr>
                <w:rFonts w:eastAsia="Calibri"/>
                <w:b/>
              </w:rPr>
              <w:t>Drug and indication</w:t>
            </w:r>
            <w:r w:rsidRPr="007909C3">
              <w:rPr>
                <w:rFonts w:eastAsia="Calibri"/>
                <w:b/>
              </w:rPr>
              <w:t xml:space="preserve"> </w:t>
            </w:r>
          </w:p>
        </w:tc>
        <w:tc>
          <w:tcPr>
            <w:tcW w:w="3119" w:type="dxa"/>
            <w:tcBorders>
              <w:bottom w:val="single" w:sz="4" w:space="0" w:color="auto"/>
            </w:tcBorders>
            <w:shd w:val="clear" w:color="auto" w:fill="C9ECFB"/>
          </w:tcPr>
          <w:p w14:paraId="465998DD" w14:textId="7858FD60" w:rsidR="00121DDE" w:rsidRPr="007909C3" w:rsidRDefault="00121DDE" w:rsidP="007909C3">
            <w:pPr>
              <w:tabs>
                <w:tab w:val="clear" w:pos="975"/>
              </w:tabs>
              <w:rPr>
                <w:rFonts w:eastAsia="Calibri"/>
                <w:b/>
              </w:rPr>
            </w:pPr>
            <w:r>
              <w:rPr>
                <w:rFonts w:eastAsia="Calibri"/>
                <w:b/>
              </w:rPr>
              <w:t>Rationale / criteria</w:t>
            </w:r>
          </w:p>
        </w:tc>
        <w:tc>
          <w:tcPr>
            <w:tcW w:w="3402" w:type="dxa"/>
            <w:tcBorders>
              <w:bottom w:val="single" w:sz="4" w:space="0" w:color="auto"/>
            </w:tcBorders>
            <w:shd w:val="clear" w:color="auto" w:fill="C9ECFB"/>
          </w:tcPr>
          <w:p w14:paraId="764A3AC3" w14:textId="0A26EAC0" w:rsidR="00121DDE" w:rsidRPr="007909C3" w:rsidRDefault="00121DDE" w:rsidP="007909C3">
            <w:pPr>
              <w:tabs>
                <w:tab w:val="clear" w:pos="975"/>
              </w:tabs>
              <w:rPr>
                <w:rFonts w:eastAsia="Calibri"/>
                <w:b/>
              </w:rPr>
            </w:pPr>
            <w:r>
              <w:rPr>
                <w:rFonts w:eastAsia="Calibri"/>
                <w:b/>
              </w:rPr>
              <w:t>Status and formulary position proposed</w:t>
            </w:r>
            <w:r w:rsidR="002544D2">
              <w:rPr>
                <w:rFonts w:eastAsia="Calibri"/>
                <w:b/>
              </w:rPr>
              <w:t>*</w:t>
            </w:r>
            <w:r>
              <w:rPr>
                <w:rFonts w:eastAsia="Calibri"/>
                <w:b/>
              </w:rPr>
              <w:t xml:space="preserve"> </w:t>
            </w:r>
          </w:p>
        </w:tc>
        <w:tc>
          <w:tcPr>
            <w:tcW w:w="2268" w:type="dxa"/>
            <w:tcBorders>
              <w:bottom w:val="single" w:sz="4" w:space="0" w:color="auto"/>
            </w:tcBorders>
            <w:shd w:val="clear" w:color="auto" w:fill="C9ECFB"/>
          </w:tcPr>
          <w:p w14:paraId="18BD51F0" w14:textId="3CED56E6" w:rsidR="00121DDE" w:rsidRPr="007909C3" w:rsidRDefault="00121DDE" w:rsidP="007909C3">
            <w:pPr>
              <w:tabs>
                <w:tab w:val="clear" w:pos="975"/>
              </w:tabs>
              <w:rPr>
                <w:rFonts w:eastAsia="Calibri"/>
                <w:b/>
              </w:rPr>
            </w:pPr>
            <w:r>
              <w:rPr>
                <w:rFonts w:eastAsia="Calibri"/>
                <w:b/>
              </w:rPr>
              <w:t>Notes on decision</w:t>
            </w:r>
          </w:p>
        </w:tc>
        <w:tc>
          <w:tcPr>
            <w:tcW w:w="2693" w:type="dxa"/>
            <w:tcBorders>
              <w:bottom w:val="single" w:sz="4" w:space="0" w:color="auto"/>
            </w:tcBorders>
            <w:shd w:val="clear" w:color="auto" w:fill="C9ECFB"/>
          </w:tcPr>
          <w:p w14:paraId="410EBF71" w14:textId="5CEC1B80" w:rsidR="00121DDE" w:rsidRPr="007909C3" w:rsidRDefault="00121DDE" w:rsidP="007909C3">
            <w:pPr>
              <w:tabs>
                <w:tab w:val="clear" w:pos="975"/>
              </w:tabs>
              <w:rPr>
                <w:rFonts w:eastAsia="Calibri"/>
                <w:b/>
              </w:rPr>
            </w:pPr>
            <w:r>
              <w:rPr>
                <w:rFonts w:eastAsia="Calibri"/>
                <w:b/>
              </w:rPr>
              <w:t>Cost impact</w:t>
            </w:r>
          </w:p>
        </w:tc>
        <w:tc>
          <w:tcPr>
            <w:tcW w:w="2261" w:type="dxa"/>
            <w:tcBorders>
              <w:bottom w:val="single" w:sz="4" w:space="0" w:color="auto"/>
            </w:tcBorders>
            <w:shd w:val="clear" w:color="auto" w:fill="C9ECFB"/>
          </w:tcPr>
          <w:p w14:paraId="63DF0E3F" w14:textId="57AE4554" w:rsidR="00121DDE" w:rsidRPr="007909C3" w:rsidRDefault="00121DDE" w:rsidP="007909C3">
            <w:pPr>
              <w:tabs>
                <w:tab w:val="clear" w:pos="975"/>
              </w:tabs>
              <w:rPr>
                <w:rFonts w:eastAsia="Calibri"/>
                <w:b/>
              </w:rPr>
            </w:pPr>
            <w:r>
              <w:rPr>
                <w:rFonts w:eastAsia="Calibri"/>
                <w:b/>
              </w:rPr>
              <w:t>Commissioning / service implications</w:t>
            </w:r>
          </w:p>
        </w:tc>
      </w:tr>
      <w:bookmarkEnd w:id="0"/>
      <w:tr w:rsidR="00AB3FD8" w:rsidRPr="001A014B" w14:paraId="6CC36A61" w14:textId="77777777" w:rsidTr="00AB3FD8">
        <w:trPr>
          <w:cantSplit/>
          <w:trHeight w:val="567"/>
        </w:trPr>
        <w:tc>
          <w:tcPr>
            <w:tcW w:w="1696" w:type="dxa"/>
            <w:shd w:val="clear" w:color="auto" w:fill="auto"/>
          </w:tcPr>
          <w:p w14:paraId="764C78CD" w14:textId="77777777" w:rsidR="00AB3FD8" w:rsidRDefault="00AB3FD8" w:rsidP="00AB3FD8">
            <w:pPr>
              <w:tabs>
                <w:tab w:val="clear" w:pos="975"/>
              </w:tabs>
              <w:rPr>
                <w:b/>
              </w:rPr>
            </w:pPr>
            <w:proofErr w:type="spellStart"/>
            <w:r>
              <w:rPr>
                <w:b/>
              </w:rPr>
              <w:t>Paravit</w:t>
            </w:r>
            <w:proofErr w:type="spellEnd"/>
            <w:r>
              <w:rPr>
                <w:b/>
              </w:rPr>
              <w:t xml:space="preserve"> Mod® oral drops and oral </w:t>
            </w:r>
            <w:proofErr w:type="spellStart"/>
            <w:r>
              <w:rPr>
                <w:b/>
              </w:rPr>
              <w:t>capsuiles</w:t>
            </w:r>
            <w:proofErr w:type="spellEnd"/>
            <w:r>
              <w:rPr>
                <w:b/>
              </w:rPr>
              <w:t xml:space="preserve"> </w:t>
            </w:r>
          </w:p>
          <w:p w14:paraId="616355A2" w14:textId="50D807F8" w:rsidR="00AB3FD8" w:rsidRPr="001A014B" w:rsidRDefault="00AB3FD8" w:rsidP="00AB3FD8">
            <w:pPr>
              <w:tabs>
                <w:tab w:val="clear" w:pos="975"/>
              </w:tabs>
              <w:rPr>
                <w:b/>
              </w:rPr>
            </w:pPr>
            <w:r>
              <w:rPr>
                <w:b/>
              </w:rPr>
              <w:t>F</w:t>
            </w:r>
            <w:r w:rsidRPr="00ED65E6">
              <w:rPr>
                <w:b/>
              </w:rPr>
              <w:t xml:space="preserve">at soluble multi-vitamin for Cystic Fibrosis </w:t>
            </w:r>
            <w:r>
              <w:rPr>
                <w:b/>
              </w:rPr>
              <w:t xml:space="preserve">(CF) </w:t>
            </w:r>
            <w:r w:rsidRPr="00ED65E6">
              <w:rPr>
                <w:b/>
              </w:rPr>
              <w:t>patients</w:t>
            </w:r>
          </w:p>
        </w:tc>
        <w:tc>
          <w:tcPr>
            <w:tcW w:w="3119" w:type="dxa"/>
          </w:tcPr>
          <w:p w14:paraId="202A3693" w14:textId="54F9CBEE" w:rsidR="00AB3FD8" w:rsidRPr="001A014B" w:rsidRDefault="00AB3FD8" w:rsidP="00AB3FD8">
            <w:pPr>
              <w:tabs>
                <w:tab w:val="clear" w:pos="975"/>
              </w:tabs>
            </w:pPr>
            <w:r w:rsidRPr="000E675A">
              <w:t xml:space="preserve">CFTR modulator therapy has changed the management of CF and </w:t>
            </w:r>
            <w:r>
              <w:t xml:space="preserve">patients on </w:t>
            </w:r>
            <w:r w:rsidRPr="000E675A">
              <w:t>CFTR modulator therapy</w:t>
            </w:r>
            <w:r>
              <w:t xml:space="preserve"> have lower vitamin </w:t>
            </w:r>
            <w:proofErr w:type="gramStart"/>
            <w:r>
              <w:t>A requirements</w:t>
            </w:r>
            <w:proofErr w:type="gramEnd"/>
            <w:r>
              <w:t xml:space="preserve">. </w:t>
            </w:r>
          </w:p>
        </w:tc>
        <w:tc>
          <w:tcPr>
            <w:tcW w:w="3402" w:type="dxa"/>
            <w:shd w:val="clear" w:color="auto" w:fill="auto"/>
          </w:tcPr>
          <w:p w14:paraId="3308AAA1" w14:textId="4CDFCFA1" w:rsidR="00AB3FD8" w:rsidRPr="001A014B" w:rsidRDefault="00AB3FD8" w:rsidP="00AB3FD8">
            <w:pPr>
              <w:tabs>
                <w:tab w:val="clear" w:pos="975"/>
              </w:tabs>
              <w:rPr>
                <w:iCs/>
              </w:rPr>
            </w:pPr>
            <w:r>
              <w:rPr>
                <w:iCs/>
              </w:rPr>
              <w:t>Amber Specialist Initiation</w:t>
            </w:r>
          </w:p>
        </w:tc>
        <w:tc>
          <w:tcPr>
            <w:tcW w:w="2268" w:type="dxa"/>
            <w:shd w:val="clear" w:color="auto" w:fill="auto"/>
          </w:tcPr>
          <w:p w14:paraId="6E86A519" w14:textId="0CBF478C" w:rsidR="00AB3FD8" w:rsidRPr="001A014B" w:rsidRDefault="00AB3FD8" w:rsidP="00AB3FD8">
            <w:pPr>
              <w:tabs>
                <w:tab w:val="clear" w:pos="975"/>
              </w:tabs>
              <w:rPr>
                <w:rFonts w:eastAsiaTheme="minorHAnsi"/>
              </w:rPr>
            </w:pPr>
            <w:r w:rsidRPr="00ED3850">
              <w:rPr>
                <w:rFonts w:eastAsiaTheme="minorHAnsi"/>
              </w:rPr>
              <w:t xml:space="preserve">In place of </w:t>
            </w:r>
            <w:proofErr w:type="spellStart"/>
            <w:r w:rsidRPr="00ED3850">
              <w:rPr>
                <w:rFonts w:eastAsiaTheme="minorHAnsi"/>
              </w:rPr>
              <w:t>Abidec</w:t>
            </w:r>
            <w:proofErr w:type="spellEnd"/>
            <w:r w:rsidRPr="00ED3850">
              <w:rPr>
                <w:rFonts w:eastAsiaTheme="minorHAnsi"/>
              </w:rPr>
              <w:t>/</w:t>
            </w:r>
            <w:proofErr w:type="spellStart"/>
            <w:r w:rsidRPr="00ED3850">
              <w:rPr>
                <w:rFonts w:eastAsiaTheme="minorHAnsi"/>
              </w:rPr>
              <w:t>Dalivit</w:t>
            </w:r>
            <w:proofErr w:type="spellEnd"/>
            <w:r w:rsidRPr="00ED3850">
              <w:rPr>
                <w:rFonts w:eastAsiaTheme="minorHAnsi"/>
              </w:rPr>
              <w:t xml:space="preserve"> and Vitamin E </w:t>
            </w:r>
            <w:r>
              <w:rPr>
                <w:rFonts w:eastAsiaTheme="minorHAnsi"/>
              </w:rPr>
              <w:t xml:space="preserve">liquid </w:t>
            </w:r>
            <w:r w:rsidRPr="00ED3850">
              <w:rPr>
                <w:rFonts w:eastAsiaTheme="minorHAnsi"/>
              </w:rPr>
              <w:t xml:space="preserve">for under 3s. As an alternative to DEKAs </w:t>
            </w:r>
            <w:r>
              <w:rPr>
                <w:rFonts w:eastAsiaTheme="minorHAnsi"/>
              </w:rPr>
              <w:t xml:space="preserve">and </w:t>
            </w:r>
            <w:proofErr w:type="spellStart"/>
            <w:r>
              <w:rPr>
                <w:rFonts w:eastAsiaTheme="minorHAnsi"/>
              </w:rPr>
              <w:t>Paravit</w:t>
            </w:r>
            <w:proofErr w:type="spellEnd"/>
            <w:r>
              <w:rPr>
                <w:rFonts w:eastAsiaTheme="minorHAnsi"/>
              </w:rPr>
              <w:t xml:space="preserve">-CF </w:t>
            </w:r>
            <w:r w:rsidRPr="00ED3850">
              <w:rPr>
                <w:rFonts w:eastAsiaTheme="minorHAnsi"/>
              </w:rPr>
              <w:t>for over 3s.</w:t>
            </w:r>
          </w:p>
        </w:tc>
        <w:tc>
          <w:tcPr>
            <w:tcW w:w="2693" w:type="dxa"/>
          </w:tcPr>
          <w:p w14:paraId="3E789C47" w14:textId="483A797F" w:rsidR="00AB3FD8" w:rsidRPr="001A014B" w:rsidRDefault="00AB3FD8" w:rsidP="00AB3FD8">
            <w:pPr>
              <w:tabs>
                <w:tab w:val="clear" w:pos="975"/>
              </w:tabs>
            </w:pPr>
            <w:proofErr w:type="spellStart"/>
            <w:r>
              <w:t>Paravit</w:t>
            </w:r>
            <w:proofErr w:type="spellEnd"/>
            <w:r>
              <w:t xml:space="preserve"> Mod is comparable in price to </w:t>
            </w:r>
            <w:proofErr w:type="spellStart"/>
            <w:r>
              <w:t>Paravit</w:t>
            </w:r>
            <w:proofErr w:type="spellEnd"/>
            <w:r>
              <w:t xml:space="preserve"> CF and DEKAs that are already in use. </w:t>
            </w:r>
            <w:proofErr w:type="spellStart"/>
            <w:r>
              <w:t>Paravit</w:t>
            </w:r>
            <w:proofErr w:type="spellEnd"/>
            <w:r>
              <w:t xml:space="preserve"> Mod® is less expensive than vitamin regimens containing Vitamin E (Alpha </w:t>
            </w:r>
            <w:proofErr w:type="spellStart"/>
            <w:r>
              <w:t>Tocopheryl</w:t>
            </w:r>
            <w:proofErr w:type="spellEnd"/>
            <w:r>
              <w:t xml:space="preserve"> Acetate) Oral Suspension and has a longer in use shelf life.</w:t>
            </w:r>
          </w:p>
        </w:tc>
        <w:tc>
          <w:tcPr>
            <w:tcW w:w="2261" w:type="dxa"/>
            <w:shd w:val="clear" w:color="auto" w:fill="FFFFFF"/>
          </w:tcPr>
          <w:p w14:paraId="341034B9" w14:textId="22541946" w:rsidR="00AB3FD8" w:rsidRPr="001A014B" w:rsidRDefault="00AB3FD8" w:rsidP="00AB3FD8">
            <w:pPr>
              <w:tabs>
                <w:tab w:val="clear" w:pos="975"/>
              </w:tabs>
            </w:pPr>
            <w:r>
              <w:t>None – existing patient group</w:t>
            </w:r>
          </w:p>
        </w:tc>
      </w:tr>
      <w:tr w:rsidR="00AB3FD8" w:rsidRPr="001A014B" w14:paraId="4486D33A" w14:textId="77777777" w:rsidTr="00AB3FD8">
        <w:trPr>
          <w:cantSplit/>
          <w:trHeight w:val="567"/>
        </w:trPr>
        <w:tc>
          <w:tcPr>
            <w:tcW w:w="1696" w:type="dxa"/>
            <w:shd w:val="clear" w:color="auto" w:fill="auto"/>
          </w:tcPr>
          <w:p w14:paraId="5AF7C94A" w14:textId="77777777" w:rsidR="00AB3FD8" w:rsidRDefault="00AB3FD8" w:rsidP="00AB3FD8">
            <w:pPr>
              <w:tabs>
                <w:tab w:val="clear" w:pos="975"/>
              </w:tabs>
              <w:rPr>
                <w:b/>
              </w:rPr>
            </w:pPr>
            <w:proofErr w:type="spellStart"/>
            <w:r w:rsidRPr="00DC7E98">
              <w:rPr>
                <w:b/>
              </w:rPr>
              <w:t>Pylera</w:t>
            </w:r>
            <w:proofErr w:type="spellEnd"/>
            <w:r>
              <w:rPr>
                <w:b/>
              </w:rPr>
              <w:t>®</w:t>
            </w:r>
            <w:r w:rsidRPr="00DC7E98">
              <w:rPr>
                <w:b/>
              </w:rPr>
              <w:t xml:space="preserve"> </w:t>
            </w:r>
            <w:r>
              <w:rPr>
                <w:b/>
              </w:rPr>
              <w:t>tablets</w:t>
            </w:r>
          </w:p>
          <w:p w14:paraId="6A682AAA" w14:textId="4E818C7F" w:rsidR="00AB3FD8" w:rsidRDefault="00AB3FD8" w:rsidP="00AB3FD8">
            <w:pPr>
              <w:tabs>
                <w:tab w:val="clear" w:pos="975"/>
              </w:tabs>
              <w:rPr>
                <w:b/>
              </w:rPr>
            </w:pPr>
            <w:r w:rsidRPr="00DC7E98">
              <w:rPr>
                <w:b/>
              </w:rPr>
              <w:t>Bismuth/</w:t>
            </w:r>
            <w:r>
              <w:rPr>
                <w:b/>
              </w:rPr>
              <w:t xml:space="preserve"> </w:t>
            </w:r>
            <w:r w:rsidRPr="00DC7E98">
              <w:rPr>
                <w:b/>
              </w:rPr>
              <w:t>metronidazole/ tetracycline </w:t>
            </w:r>
          </w:p>
          <w:p w14:paraId="7F41F4FC" w14:textId="4F41A9B8" w:rsidR="00AB3FD8" w:rsidRPr="001A014B" w:rsidRDefault="00AB3FD8" w:rsidP="00AB3FD8">
            <w:pPr>
              <w:tabs>
                <w:tab w:val="clear" w:pos="975"/>
              </w:tabs>
              <w:rPr>
                <w:b/>
              </w:rPr>
            </w:pPr>
            <w:r>
              <w:rPr>
                <w:b/>
              </w:rPr>
              <w:t xml:space="preserve">For treating Helicobacter Pylori </w:t>
            </w:r>
          </w:p>
        </w:tc>
        <w:tc>
          <w:tcPr>
            <w:tcW w:w="3119" w:type="dxa"/>
          </w:tcPr>
          <w:p w14:paraId="3F94AECE" w14:textId="77777777" w:rsidR="00AB3FD8" w:rsidRDefault="00AB3FD8" w:rsidP="00AB3FD8">
            <w:pPr>
              <w:tabs>
                <w:tab w:val="clear" w:pos="975"/>
              </w:tabs>
            </w:pPr>
            <w:proofErr w:type="spellStart"/>
            <w:r w:rsidRPr="00A532C2">
              <w:t>Pylera</w:t>
            </w:r>
            <w:proofErr w:type="spellEnd"/>
            <w:r w:rsidRPr="00A532C2">
              <w:t xml:space="preserve"> as a </w:t>
            </w:r>
            <w:proofErr w:type="gramStart"/>
            <w:r w:rsidRPr="00A532C2">
              <w:t>10 day</w:t>
            </w:r>
            <w:proofErr w:type="gramEnd"/>
            <w:r w:rsidRPr="00A532C2">
              <w:t xml:space="preserve"> course (to be used with omeprazole 20mg BD as per its license) as an alternative to the off-label bismuth / tetracycline / metronidazole regimen</w:t>
            </w:r>
            <w:r>
              <w:t>s</w:t>
            </w:r>
            <w:r w:rsidRPr="00A532C2">
              <w:t xml:space="preserve"> in the BNF</w:t>
            </w:r>
            <w:r>
              <w:t>.</w:t>
            </w:r>
          </w:p>
          <w:p w14:paraId="206065BA" w14:textId="13618386" w:rsidR="00AB3FD8" w:rsidRPr="001A014B" w:rsidRDefault="00AB3FD8" w:rsidP="00AB3FD8">
            <w:pPr>
              <w:tabs>
                <w:tab w:val="clear" w:pos="975"/>
              </w:tabs>
            </w:pPr>
            <w:r>
              <w:t>Individual components are hard to source, bismuth has been unavailable for some time.</w:t>
            </w:r>
          </w:p>
        </w:tc>
        <w:tc>
          <w:tcPr>
            <w:tcW w:w="3402" w:type="dxa"/>
            <w:shd w:val="clear" w:color="auto" w:fill="auto"/>
          </w:tcPr>
          <w:p w14:paraId="35754789" w14:textId="4A44C931" w:rsidR="00AB3FD8" w:rsidRPr="00A532C2" w:rsidRDefault="00AB3FD8" w:rsidP="00AB3FD8">
            <w:r>
              <w:t>I</w:t>
            </w:r>
            <w:r w:rsidRPr="00A532C2">
              <w:t xml:space="preserve">n penicillin allergy </w:t>
            </w:r>
            <w:r>
              <w:t>- Green</w:t>
            </w:r>
          </w:p>
          <w:p w14:paraId="6F462A49" w14:textId="66ECE2A2" w:rsidR="00AB3FD8" w:rsidRPr="00A532C2" w:rsidRDefault="00AB3FD8" w:rsidP="00AB3FD8">
            <w:pPr>
              <w:pStyle w:val="ListParagraph"/>
              <w:numPr>
                <w:ilvl w:val="0"/>
                <w:numId w:val="14"/>
              </w:numPr>
            </w:pPr>
            <w:proofErr w:type="spellStart"/>
            <w:r w:rsidRPr="00A532C2">
              <w:t>Pylera</w:t>
            </w:r>
            <w:proofErr w:type="spellEnd"/>
            <w:r w:rsidRPr="00A532C2">
              <w:t xml:space="preserve"> </w:t>
            </w:r>
            <w:proofErr w:type="gramStart"/>
            <w:r w:rsidRPr="00A532C2">
              <w:t>10 day</w:t>
            </w:r>
            <w:proofErr w:type="gramEnd"/>
            <w:r w:rsidRPr="00A532C2">
              <w:t xml:space="preserve"> course (with omeprazole 20mg BD) as alternative first line for patients previously treated with clarithromycin </w:t>
            </w:r>
          </w:p>
          <w:p w14:paraId="71D1125A" w14:textId="2EE12B20" w:rsidR="00AB3FD8" w:rsidRPr="00A532C2" w:rsidRDefault="00AB3FD8" w:rsidP="00AB3FD8">
            <w:pPr>
              <w:pStyle w:val="ListParagraph"/>
              <w:numPr>
                <w:ilvl w:val="0"/>
                <w:numId w:val="14"/>
              </w:numPr>
            </w:pPr>
            <w:proofErr w:type="spellStart"/>
            <w:r w:rsidRPr="00A532C2">
              <w:t>Pylera</w:t>
            </w:r>
            <w:proofErr w:type="spellEnd"/>
            <w:r w:rsidRPr="00A532C2">
              <w:t xml:space="preserve"> </w:t>
            </w:r>
            <w:proofErr w:type="gramStart"/>
            <w:r w:rsidRPr="00A532C2">
              <w:t>10 day</w:t>
            </w:r>
            <w:proofErr w:type="gramEnd"/>
            <w:r w:rsidRPr="00A532C2">
              <w:t xml:space="preserve"> course (with omeprazole 20mg BD) as alternative second line in patients who have received previous treatment with a fluoroquinolone</w:t>
            </w:r>
          </w:p>
          <w:p w14:paraId="3D35DC3F" w14:textId="77777777" w:rsidR="00AB3FD8" w:rsidRDefault="00AB3FD8" w:rsidP="00AB3FD8"/>
          <w:p w14:paraId="10BA91D9" w14:textId="208916CC" w:rsidR="00AB3FD8" w:rsidRPr="00A532C2" w:rsidRDefault="00AB3FD8" w:rsidP="00AB3FD8">
            <w:r w:rsidRPr="00A532C2">
              <w:t>Amber SR in those without penicillin allergy</w:t>
            </w:r>
          </w:p>
          <w:p w14:paraId="209B150F" w14:textId="77777777" w:rsidR="00AB3FD8" w:rsidRDefault="00AB3FD8" w:rsidP="00AB3FD8">
            <w:pPr>
              <w:pStyle w:val="ListParagraph"/>
              <w:numPr>
                <w:ilvl w:val="0"/>
                <w:numId w:val="14"/>
              </w:numPr>
            </w:pPr>
            <w:proofErr w:type="spellStart"/>
            <w:r w:rsidRPr="00A532C2">
              <w:t>Pylera</w:t>
            </w:r>
            <w:proofErr w:type="spellEnd"/>
            <w:r w:rsidRPr="00A532C2">
              <w:t xml:space="preserve"> </w:t>
            </w:r>
            <w:proofErr w:type="gramStart"/>
            <w:r w:rsidRPr="00A532C2">
              <w:t>10 day</w:t>
            </w:r>
            <w:proofErr w:type="gramEnd"/>
            <w:r w:rsidRPr="00A532C2">
              <w:t xml:space="preserve"> course (with omeprazole 20mg BD) - Third line on specialist </w:t>
            </w:r>
            <w:r>
              <w:t xml:space="preserve">(microbiology or gastroenterology) </w:t>
            </w:r>
            <w:r w:rsidRPr="00A532C2">
              <w:t>advice only</w:t>
            </w:r>
          </w:p>
          <w:p w14:paraId="2D2B65EA" w14:textId="10D042B0" w:rsidR="00AB3FD8" w:rsidRPr="00AB3FD8" w:rsidRDefault="00AB3FD8" w:rsidP="00AB3FD8"/>
        </w:tc>
        <w:tc>
          <w:tcPr>
            <w:tcW w:w="2268" w:type="dxa"/>
            <w:shd w:val="clear" w:color="auto" w:fill="auto"/>
          </w:tcPr>
          <w:p w14:paraId="74F19793" w14:textId="00A7D603" w:rsidR="00AB3FD8" w:rsidRPr="001A014B" w:rsidRDefault="00AB3FD8" w:rsidP="00AB3FD8">
            <w:pPr>
              <w:tabs>
                <w:tab w:val="clear" w:pos="975"/>
              </w:tabs>
              <w:rPr>
                <w:rFonts w:eastAsiaTheme="minorHAnsi"/>
              </w:rPr>
            </w:pPr>
            <w:r>
              <w:rPr>
                <w:rFonts w:eastAsiaTheme="minorHAnsi"/>
              </w:rPr>
              <w:t xml:space="preserve">Place in therapy is same as the </w:t>
            </w:r>
            <w:r w:rsidRPr="00A532C2">
              <w:t>off-label bismuth / tetracycline / metronidazole regimen</w:t>
            </w:r>
            <w:r>
              <w:t>s</w:t>
            </w:r>
            <w:r w:rsidRPr="00A532C2">
              <w:t xml:space="preserve"> in the BNF</w:t>
            </w:r>
            <w:r>
              <w:t>.</w:t>
            </w:r>
          </w:p>
        </w:tc>
        <w:tc>
          <w:tcPr>
            <w:tcW w:w="2693" w:type="dxa"/>
          </w:tcPr>
          <w:p w14:paraId="4B40A15D" w14:textId="5EA6F144" w:rsidR="00AB3FD8" w:rsidRDefault="00AB3FD8" w:rsidP="00AB3FD8">
            <w:r>
              <w:t>Cost saving over individual components.</w:t>
            </w:r>
          </w:p>
          <w:p w14:paraId="7350CCDF" w14:textId="46E9B731" w:rsidR="00AB3FD8" w:rsidRPr="001A014B" w:rsidRDefault="00AB3FD8" w:rsidP="00AB3FD8">
            <w:pPr>
              <w:tabs>
                <w:tab w:val="clear" w:pos="975"/>
              </w:tabs>
            </w:pPr>
          </w:p>
        </w:tc>
        <w:tc>
          <w:tcPr>
            <w:tcW w:w="2261" w:type="dxa"/>
            <w:shd w:val="clear" w:color="auto" w:fill="FFFFFF"/>
          </w:tcPr>
          <w:p w14:paraId="7DD08B8E" w14:textId="66880F0A" w:rsidR="00AB3FD8" w:rsidRPr="001A014B" w:rsidRDefault="00AB3FD8" w:rsidP="00AB3FD8">
            <w:pPr>
              <w:tabs>
                <w:tab w:val="clear" w:pos="975"/>
              </w:tabs>
            </w:pPr>
            <w:r>
              <w:t>None – existing patient group</w:t>
            </w:r>
          </w:p>
        </w:tc>
      </w:tr>
    </w:tbl>
    <w:p w14:paraId="750ACE10" w14:textId="31D9DCD0" w:rsidR="006E26D1" w:rsidRDefault="006E26D1" w:rsidP="00383A54">
      <w:pPr>
        <w:spacing w:before="0" w:after="0"/>
        <w:rPr>
          <w:sz w:val="20"/>
          <w:lang w:val="en-US" w:eastAsia="ja-JP"/>
        </w:rPr>
      </w:pPr>
    </w:p>
    <w:p w14:paraId="4E883551" w14:textId="5362DBFE" w:rsidR="006629FB" w:rsidRDefault="006629FB" w:rsidP="00D51C7C">
      <w:pPr>
        <w:tabs>
          <w:tab w:val="clear" w:pos="975"/>
        </w:tabs>
        <w:spacing w:before="0" w:after="0"/>
        <w:rPr>
          <w:sz w:val="20"/>
          <w:lang w:val="en-US" w:eastAsia="ja-JP"/>
        </w:rPr>
      </w:pPr>
    </w:p>
    <w:tbl>
      <w:tblPr>
        <w:tblpPr w:leftFromText="180" w:rightFromText="180" w:vertAnchor="text" w:horzAnchor="margin" w:tblpX="-22" w:tblpY="21"/>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383A54" w14:paraId="662A5E34" w14:textId="77777777" w:rsidTr="009C22A2">
        <w:trPr>
          <w:cantSplit/>
        </w:trPr>
        <w:tc>
          <w:tcPr>
            <w:tcW w:w="5000" w:type="pct"/>
            <w:shd w:val="clear" w:color="auto" w:fill="auto"/>
          </w:tcPr>
          <w:p w14:paraId="1334A854" w14:textId="77777777" w:rsidR="009C22A2" w:rsidRPr="00383A54" w:rsidRDefault="009C22A2" w:rsidP="00901B84">
            <w:pPr>
              <w:tabs>
                <w:tab w:val="clear" w:pos="975"/>
              </w:tabs>
              <w:spacing w:before="120" w:after="120"/>
              <w:jc w:val="center"/>
              <w:rPr>
                <w:sz w:val="24"/>
                <w:szCs w:val="24"/>
              </w:rPr>
            </w:pPr>
            <w:r>
              <w:rPr>
                <w:rFonts w:eastAsia="Calibri"/>
                <w:b/>
                <w:color w:val="1F497D"/>
                <w:sz w:val="24"/>
                <w:szCs w:val="24"/>
              </w:rPr>
              <w:lastRenderedPageBreak/>
              <w:t>NICE Technology Appraisals and Guidance</w:t>
            </w:r>
          </w:p>
        </w:tc>
      </w:tr>
    </w:tbl>
    <w:p w14:paraId="6D0E09B9" w14:textId="77777777" w:rsidR="00ED412F" w:rsidRPr="00383A54" w:rsidRDefault="00ED412F" w:rsidP="00383A54">
      <w:pPr>
        <w:spacing w:before="0" w:after="0"/>
        <w:rPr>
          <w:sz w:val="20"/>
          <w:lang w:val="en-US" w:eastAsia="ja-JP"/>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126"/>
        <w:gridCol w:w="1843"/>
        <w:gridCol w:w="3827"/>
        <w:gridCol w:w="2261"/>
      </w:tblGrid>
      <w:tr w:rsidR="006E26D1" w:rsidRPr="00253EC1" w14:paraId="735BDCC7" w14:textId="77777777" w:rsidTr="00D45C1A">
        <w:trPr>
          <w:cantSplit/>
          <w:trHeight w:val="548"/>
          <w:tblHeader/>
        </w:trPr>
        <w:tc>
          <w:tcPr>
            <w:tcW w:w="5382" w:type="dxa"/>
            <w:tcBorders>
              <w:bottom w:val="single" w:sz="4" w:space="0" w:color="auto"/>
            </w:tcBorders>
            <w:shd w:val="clear" w:color="auto" w:fill="C9ECFB"/>
          </w:tcPr>
          <w:p w14:paraId="07A40E0F" w14:textId="6207FA31" w:rsidR="006E26D1" w:rsidRPr="007909C3" w:rsidRDefault="006E26D1" w:rsidP="00063CFB">
            <w:pPr>
              <w:tabs>
                <w:tab w:val="clear" w:pos="975"/>
              </w:tabs>
              <w:rPr>
                <w:rFonts w:eastAsia="Calibri"/>
                <w:b/>
              </w:rPr>
            </w:pPr>
            <w:r>
              <w:rPr>
                <w:rFonts w:eastAsia="Calibri"/>
                <w:b/>
              </w:rPr>
              <w:t>NICE Technology appraisal or guidance</w:t>
            </w:r>
          </w:p>
        </w:tc>
        <w:tc>
          <w:tcPr>
            <w:tcW w:w="2126" w:type="dxa"/>
            <w:tcBorders>
              <w:bottom w:val="single" w:sz="4" w:space="0" w:color="auto"/>
            </w:tcBorders>
            <w:shd w:val="clear" w:color="auto" w:fill="C9ECFB"/>
          </w:tcPr>
          <w:p w14:paraId="38F6EF07" w14:textId="77777777" w:rsidR="006E26D1" w:rsidRPr="007909C3" w:rsidRDefault="006E26D1" w:rsidP="00063CFB">
            <w:pPr>
              <w:tabs>
                <w:tab w:val="clear" w:pos="975"/>
              </w:tabs>
              <w:rPr>
                <w:rFonts w:eastAsia="Calibri"/>
                <w:b/>
              </w:rPr>
            </w:pPr>
            <w:r>
              <w:rPr>
                <w:rFonts w:eastAsia="Calibri"/>
                <w:b/>
              </w:rPr>
              <w:t>Status and formulary position assigned</w:t>
            </w:r>
          </w:p>
        </w:tc>
        <w:tc>
          <w:tcPr>
            <w:tcW w:w="1843" w:type="dxa"/>
            <w:tcBorders>
              <w:bottom w:val="single" w:sz="4" w:space="0" w:color="auto"/>
            </w:tcBorders>
            <w:shd w:val="clear" w:color="auto" w:fill="C9ECFB"/>
          </w:tcPr>
          <w:p w14:paraId="743CAF7D" w14:textId="77777777" w:rsidR="006E26D1" w:rsidRPr="007909C3" w:rsidRDefault="006E26D1" w:rsidP="00063CFB">
            <w:pPr>
              <w:tabs>
                <w:tab w:val="clear" w:pos="975"/>
              </w:tabs>
              <w:rPr>
                <w:rFonts w:eastAsia="Calibri"/>
                <w:b/>
              </w:rPr>
            </w:pPr>
            <w:r>
              <w:rPr>
                <w:rFonts w:eastAsia="Calibri"/>
                <w:b/>
              </w:rPr>
              <w:t>Notes on decision</w:t>
            </w:r>
          </w:p>
        </w:tc>
        <w:tc>
          <w:tcPr>
            <w:tcW w:w="3827" w:type="dxa"/>
            <w:tcBorders>
              <w:bottom w:val="single" w:sz="4" w:space="0" w:color="auto"/>
            </w:tcBorders>
            <w:shd w:val="clear" w:color="auto" w:fill="C9ECFB"/>
          </w:tcPr>
          <w:p w14:paraId="57254758" w14:textId="77777777" w:rsidR="006E26D1" w:rsidRPr="007909C3" w:rsidRDefault="006E26D1" w:rsidP="00063CFB">
            <w:pPr>
              <w:tabs>
                <w:tab w:val="clear" w:pos="975"/>
              </w:tabs>
              <w:rPr>
                <w:rFonts w:eastAsia="Calibri"/>
                <w:b/>
              </w:rPr>
            </w:pPr>
            <w:r>
              <w:rPr>
                <w:rFonts w:eastAsia="Calibri"/>
                <w:b/>
              </w:rPr>
              <w:t>Cost impact</w:t>
            </w:r>
          </w:p>
        </w:tc>
        <w:tc>
          <w:tcPr>
            <w:tcW w:w="2261" w:type="dxa"/>
            <w:tcBorders>
              <w:bottom w:val="single" w:sz="4" w:space="0" w:color="auto"/>
            </w:tcBorders>
            <w:shd w:val="clear" w:color="auto" w:fill="C9ECFB"/>
          </w:tcPr>
          <w:p w14:paraId="4C2EDB67" w14:textId="77777777" w:rsidR="006E26D1" w:rsidRPr="007909C3" w:rsidRDefault="006E26D1" w:rsidP="00063CFB">
            <w:pPr>
              <w:tabs>
                <w:tab w:val="clear" w:pos="975"/>
              </w:tabs>
              <w:rPr>
                <w:rFonts w:eastAsia="Calibri"/>
                <w:b/>
              </w:rPr>
            </w:pPr>
            <w:r>
              <w:rPr>
                <w:rFonts w:eastAsia="Calibri"/>
                <w:b/>
              </w:rPr>
              <w:t>Commissioning / service implications</w:t>
            </w:r>
          </w:p>
        </w:tc>
      </w:tr>
      <w:tr w:rsidR="00C10CB3" w:rsidRPr="00253EC1" w14:paraId="264B4BB7" w14:textId="77777777" w:rsidTr="00C351A1">
        <w:trPr>
          <w:cantSplit/>
          <w:trHeight w:val="548"/>
        </w:trPr>
        <w:tc>
          <w:tcPr>
            <w:tcW w:w="5382" w:type="dxa"/>
            <w:shd w:val="clear" w:color="auto" w:fill="auto"/>
          </w:tcPr>
          <w:p w14:paraId="1C75A42F" w14:textId="77777777" w:rsidR="00C10CB3" w:rsidRPr="0047015D" w:rsidRDefault="00FF2E45" w:rsidP="00C10CB3">
            <w:pPr>
              <w:tabs>
                <w:tab w:val="left" w:pos="720"/>
              </w:tabs>
            </w:pPr>
            <w:hyperlink r:id="rId10" w:tgtFrame="_blank" w:history="1">
              <w:r w:rsidR="00C10CB3" w:rsidRPr="0047015D">
                <w:rPr>
                  <w:rStyle w:val="Hyperlink"/>
                  <w:rFonts w:cs="Arial"/>
                  <w:b/>
                  <w:bCs/>
                </w:rPr>
                <w:t>TA1056: Molnupiravir for treating COVID-19</w:t>
              </w:r>
            </w:hyperlink>
            <w:r w:rsidR="00C10CB3" w:rsidRPr="0047015D">
              <w:t> </w:t>
            </w:r>
          </w:p>
          <w:p w14:paraId="682857A5" w14:textId="77777777" w:rsidR="00C10CB3" w:rsidRPr="0047015D" w:rsidRDefault="00C10CB3" w:rsidP="00C10CB3">
            <w:pPr>
              <w:tabs>
                <w:tab w:val="left" w:pos="720"/>
              </w:tabs>
            </w:pPr>
            <w:r w:rsidRPr="0047015D">
              <w:rPr>
                <w:b/>
                <w:bCs/>
              </w:rPr>
              <w:t>16 April 2025</w:t>
            </w:r>
            <w:r w:rsidRPr="0047015D">
              <w:t> </w:t>
            </w:r>
          </w:p>
          <w:p w14:paraId="6EB73419" w14:textId="77777777" w:rsidR="00C10CB3" w:rsidRPr="0047015D" w:rsidRDefault="00C10CB3" w:rsidP="00C10CB3">
            <w:pPr>
              <w:tabs>
                <w:tab w:val="left" w:pos="720"/>
              </w:tabs>
            </w:pPr>
            <w:r w:rsidRPr="0047015D">
              <w:rPr>
                <w:b/>
                <w:bCs/>
              </w:rPr>
              <w:t>Commissioning: ICB</w:t>
            </w:r>
            <w:r w:rsidRPr="0047015D">
              <w:t> </w:t>
            </w:r>
          </w:p>
          <w:p w14:paraId="05569726" w14:textId="77777777" w:rsidR="00C10CB3" w:rsidRPr="0047015D" w:rsidRDefault="00C10CB3" w:rsidP="00C10CB3">
            <w:pPr>
              <w:tabs>
                <w:tab w:val="left" w:pos="720"/>
              </w:tabs>
            </w:pPr>
            <w:r w:rsidRPr="0047015D">
              <w:t>Molnupiravir is recommended as an option for treating mild to moderate COVID</w:t>
            </w:r>
            <w:r w:rsidRPr="0047015D">
              <w:noBreakHyphen/>
              <w:t>19 in adults who have a positive SARS</w:t>
            </w:r>
            <w:r w:rsidRPr="0047015D">
              <w:noBreakHyphen/>
              <w:t>CoV</w:t>
            </w:r>
            <w:r w:rsidRPr="0047015D">
              <w:noBreakHyphen/>
              <w:t>2 test, only if: </w:t>
            </w:r>
          </w:p>
          <w:p w14:paraId="65F14E37" w14:textId="77777777" w:rsidR="00C10CB3" w:rsidRPr="0047015D" w:rsidRDefault="00C10CB3" w:rsidP="00C10CB3">
            <w:pPr>
              <w:numPr>
                <w:ilvl w:val="0"/>
                <w:numId w:val="7"/>
              </w:numPr>
              <w:tabs>
                <w:tab w:val="left" w:pos="720"/>
              </w:tabs>
            </w:pPr>
            <w:r w:rsidRPr="0047015D">
              <w:t>they have 1 or more risk factors for progression to severe COVID</w:t>
            </w:r>
            <w:r w:rsidRPr="0047015D">
              <w:noBreakHyphen/>
              <w:t>19 (as defined in section 5 of NICE's technology appraisal guidance on nirmatrelvir plus ritonavir, sotrovimab and tocilizumab for treating COVID-19) and </w:t>
            </w:r>
          </w:p>
          <w:p w14:paraId="755283C5" w14:textId="77777777" w:rsidR="00C10CB3" w:rsidRPr="0047015D" w:rsidRDefault="00C10CB3" w:rsidP="00C10CB3">
            <w:pPr>
              <w:numPr>
                <w:ilvl w:val="0"/>
                <w:numId w:val="8"/>
              </w:numPr>
              <w:tabs>
                <w:tab w:val="left" w:pos="720"/>
              </w:tabs>
            </w:pPr>
            <w:r w:rsidRPr="0047015D">
              <w:t>both nirmatrelvir plus ritonavir and sotrovimab are contraindicated or unsuitable. </w:t>
            </w:r>
          </w:p>
          <w:p w14:paraId="7D68FF88" w14:textId="77777777" w:rsidR="00C10CB3" w:rsidRDefault="00C10CB3" w:rsidP="00C10CB3">
            <w:pPr>
              <w:tabs>
                <w:tab w:val="left" w:pos="720"/>
              </w:tabs>
            </w:pPr>
          </w:p>
        </w:tc>
        <w:tc>
          <w:tcPr>
            <w:tcW w:w="2126" w:type="dxa"/>
            <w:shd w:val="clear" w:color="auto" w:fill="auto"/>
          </w:tcPr>
          <w:p w14:paraId="79961D11" w14:textId="57559C43" w:rsidR="00C10CB3" w:rsidRPr="00E064C8" w:rsidRDefault="00C10CB3" w:rsidP="00C10CB3">
            <w:r w:rsidRPr="00E064C8">
              <w:t xml:space="preserve">Should be prescribed in line with CMDU. Add to formulary with </w:t>
            </w:r>
            <w:r>
              <w:t xml:space="preserve">RED </w:t>
            </w:r>
            <w:r w:rsidRPr="00E064C8">
              <w:t>RAG status aligned with CMDU delivery model, with links to TA1056. </w:t>
            </w:r>
          </w:p>
          <w:p w14:paraId="0EE602CD" w14:textId="77777777" w:rsidR="00C10CB3" w:rsidRPr="00E064C8" w:rsidRDefault="00C10CB3" w:rsidP="00C10CB3">
            <w:r w:rsidRPr="00E064C8">
              <w:t> </w:t>
            </w:r>
          </w:p>
          <w:p w14:paraId="29061C0F" w14:textId="77777777" w:rsidR="00C10CB3" w:rsidRPr="00E064C8" w:rsidRDefault="00C10CB3" w:rsidP="00C10CB3">
            <w:r w:rsidRPr="00E064C8">
              <w:t>Remove links to NHSE interim commissioning policy.  </w:t>
            </w:r>
          </w:p>
          <w:p w14:paraId="40200116" w14:textId="77777777" w:rsidR="00C10CB3" w:rsidRDefault="00C10CB3" w:rsidP="00C10CB3">
            <w:pPr>
              <w:tabs>
                <w:tab w:val="left" w:pos="720"/>
              </w:tabs>
              <w:rPr>
                <w:lang w:val="en-US"/>
              </w:rPr>
            </w:pPr>
          </w:p>
        </w:tc>
        <w:tc>
          <w:tcPr>
            <w:tcW w:w="1843" w:type="dxa"/>
            <w:shd w:val="clear" w:color="auto" w:fill="auto"/>
          </w:tcPr>
          <w:p w14:paraId="26D68C6D" w14:textId="77777777" w:rsidR="00C10CB3" w:rsidRPr="000B1C54" w:rsidRDefault="00C10CB3" w:rsidP="00C10CB3"/>
        </w:tc>
        <w:tc>
          <w:tcPr>
            <w:tcW w:w="3827" w:type="dxa"/>
            <w:shd w:val="clear" w:color="auto" w:fill="auto"/>
          </w:tcPr>
          <w:p w14:paraId="0FD5E680" w14:textId="33A7D7F2" w:rsidR="00C10CB3" w:rsidRDefault="00C10CB3" w:rsidP="00C10CB3">
            <w:r w:rsidRPr="00C10CB3">
              <w:t xml:space="preserve">NICE expects the resource impact of implementing the recommendations in England will be less than approximately £8,800 per 100,000 </w:t>
            </w:r>
            <w:proofErr w:type="gramStart"/>
            <w:r w:rsidRPr="00C10CB3">
              <w:t>population</w:t>
            </w:r>
            <w:proofErr w:type="gramEnd"/>
            <w:r w:rsidRPr="00C10CB3">
              <w:t>. This is because the technology is a further treatment option and the overall cost of treatment will be similar for this population, and NICE do not think practice will change substantially as a result of this guidance. </w:t>
            </w:r>
          </w:p>
        </w:tc>
        <w:tc>
          <w:tcPr>
            <w:tcW w:w="2261" w:type="dxa"/>
            <w:shd w:val="clear" w:color="auto" w:fill="auto"/>
          </w:tcPr>
          <w:p w14:paraId="1BF8791F" w14:textId="699443C8" w:rsidR="00C10CB3" w:rsidRDefault="001A74DA" w:rsidP="00C10CB3">
            <w:r>
              <w:t>None – would use existing CMDU delivery model</w:t>
            </w:r>
          </w:p>
        </w:tc>
      </w:tr>
      <w:tr w:rsidR="004631D7" w:rsidRPr="00253EC1" w14:paraId="17BE52D7" w14:textId="77777777" w:rsidTr="00C351A1">
        <w:trPr>
          <w:cantSplit/>
          <w:trHeight w:val="548"/>
        </w:trPr>
        <w:tc>
          <w:tcPr>
            <w:tcW w:w="5382" w:type="dxa"/>
            <w:shd w:val="clear" w:color="auto" w:fill="auto"/>
          </w:tcPr>
          <w:p w14:paraId="75E56FD0" w14:textId="77777777" w:rsidR="001339FA" w:rsidRPr="001339FA" w:rsidRDefault="00FF2E45" w:rsidP="001339FA">
            <w:pPr>
              <w:tabs>
                <w:tab w:val="left" w:pos="720"/>
              </w:tabs>
            </w:pPr>
            <w:hyperlink r:id="rId11" w:tgtFrame="_blank" w:history="1">
              <w:r w:rsidR="001339FA" w:rsidRPr="001339FA">
                <w:rPr>
                  <w:rStyle w:val="Hyperlink"/>
                  <w:rFonts w:cs="Arial"/>
                  <w:b/>
                  <w:bCs/>
                </w:rPr>
                <w:t>TA1057: Relugolix–estradiol–norethisterone for treating symptoms of endometriosis</w:t>
              </w:r>
            </w:hyperlink>
            <w:r w:rsidR="001339FA" w:rsidRPr="001339FA">
              <w:t> </w:t>
            </w:r>
          </w:p>
          <w:p w14:paraId="7DFF7B2A" w14:textId="77777777" w:rsidR="001339FA" w:rsidRPr="001339FA" w:rsidRDefault="001339FA" w:rsidP="001339FA">
            <w:pPr>
              <w:tabs>
                <w:tab w:val="left" w:pos="720"/>
              </w:tabs>
            </w:pPr>
            <w:r w:rsidRPr="001339FA">
              <w:rPr>
                <w:b/>
                <w:bCs/>
              </w:rPr>
              <w:t>16 April 2025</w:t>
            </w:r>
            <w:r w:rsidRPr="001339FA">
              <w:t> </w:t>
            </w:r>
          </w:p>
          <w:p w14:paraId="4D24FD28" w14:textId="77777777" w:rsidR="001339FA" w:rsidRPr="001339FA" w:rsidRDefault="001339FA" w:rsidP="001339FA">
            <w:pPr>
              <w:tabs>
                <w:tab w:val="left" w:pos="720"/>
              </w:tabs>
            </w:pPr>
            <w:r w:rsidRPr="001339FA">
              <w:rPr>
                <w:b/>
                <w:bCs/>
              </w:rPr>
              <w:t>Commissioning: ICB</w:t>
            </w:r>
            <w:r w:rsidRPr="001339FA">
              <w:t> </w:t>
            </w:r>
          </w:p>
          <w:p w14:paraId="1F10CDF6" w14:textId="77777777" w:rsidR="001339FA" w:rsidRPr="001339FA" w:rsidRDefault="001339FA" w:rsidP="001339FA">
            <w:pPr>
              <w:tabs>
                <w:tab w:val="left" w:pos="720"/>
              </w:tabs>
            </w:pPr>
            <w:r w:rsidRPr="001339FA">
              <w:t>Relugolix–estradiol–norethisterone (relugolix combination therapy [CT]) can be used, within its marketing authorisation, as an option for treating symptoms of endometriosis in adults of reproductive age who have had medical or surgical treatment for endometriosis. </w:t>
            </w:r>
          </w:p>
          <w:p w14:paraId="768DE9D1" w14:textId="77777777" w:rsidR="004631D7" w:rsidRPr="0047015D" w:rsidRDefault="004631D7" w:rsidP="00C10CB3">
            <w:pPr>
              <w:tabs>
                <w:tab w:val="left" w:pos="720"/>
              </w:tabs>
            </w:pPr>
          </w:p>
        </w:tc>
        <w:tc>
          <w:tcPr>
            <w:tcW w:w="2126" w:type="dxa"/>
            <w:shd w:val="clear" w:color="auto" w:fill="auto"/>
          </w:tcPr>
          <w:p w14:paraId="3D4FFD6C" w14:textId="02557F52" w:rsidR="004631D7" w:rsidRPr="00E064C8" w:rsidRDefault="001339FA" w:rsidP="00C10CB3">
            <w:r w:rsidRPr="001339FA">
              <w:t>Add to formulary as an amber (specialist initiation) drug in this indication, with links to TA10</w:t>
            </w:r>
            <w:bookmarkStart w:id="1" w:name="_GoBack"/>
            <w:bookmarkEnd w:id="1"/>
            <w:r w:rsidRPr="001339FA">
              <w:t>57 </w:t>
            </w:r>
          </w:p>
        </w:tc>
        <w:tc>
          <w:tcPr>
            <w:tcW w:w="1843" w:type="dxa"/>
            <w:shd w:val="clear" w:color="auto" w:fill="auto"/>
          </w:tcPr>
          <w:p w14:paraId="40B9F3DF" w14:textId="77777777" w:rsidR="004631D7" w:rsidRPr="000B1C54" w:rsidRDefault="004631D7" w:rsidP="00C10CB3"/>
        </w:tc>
        <w:tc>
          <w:tcPr>
            <w:tcW w:w="3827" w:type="dxa"/>
            <w:shd w:val="clear" w:color="auto" w:fill="auto"/>
          </w:tcPr>
          <w:p w14:paraId="74F482E1" w14:textId="77777777" w:rsidR="00F10222" w:rsidRPr="00F10222" w:rsidRDefault="00F10222" w:rsidP="00F10222">
            <w:r w:rsidRPr="00F10222">
              <w:t>Costs may vary in different settings because of negotiated procurement discounts. Comparator options have commercial medicines unit (CMU) discounted prices that are confidential. The net cash impact of this topic therefore cannot be reported. </w:t>
            </w:r>
          </w:p>
          <w:p w14:paraId="634DE1FB" w14:textId="77777777" w:rsidR="00F10222" w:rsidRPr="00F10222" w:rsidRDefault="00F10222" w:rsidP="00F10222">
            <w:r w:rsidRPr="00F10222">
              <w:t>There will be potential savings from the reduced cost of hormone add-back treatments which are given with GnRH agonists</w:t>
            </w:r>
          </w:p>
          <w:p w14:paraId="38CD9179" w14:textId="77777777" w:rsidR="004631D7" w:rsidRPr="00C10CB3" w:rsidRDefault="004631D7" w:rsidP="00C10CB3"/>
        </w:tc>
        <w:tc>
          <w:tcPr>
            <w:tcW w:w="2261" w:type="dxa"/>
            <w:shd w:val="clear" w:color="auto" w:fill="auto"/>
          </w:tcPr>
          <w:p w14:paraId="6CB81079" w14:textId="14F18374" w:rsidR="004631D7" w:rsidRDefault="00F10222" w:rsidP="00C10CB3">
            <w:r w:rsidRPr="00F10222">
              <w:t>Treatment with relugolix is initiated in secondary care where an appointment every 6 months is needed in the first year of treatment. It is expected that further prescriptions of relugolix are given at the same time as monitoring attendances after the first year of treatment. After the first year, 4 monitoring attendances per year with a GP nurse are required. </w:t>
            </w:r>
          </w:p>
          <w:p w14:paraId="4152922B" w14:textId="77777777" w:rsidR="00F10222" w:rsidRPr="00F10222" w:rsidRDefault="00F10222" w:rsidP="00F10222">
            <w:pPr>
              <w:jc w:val="center"/>
            </w:pPr>
          </w:p>
        </w:tc>
      </w:tr>
      <w:tr w:rsidR="00C10CB3" w:rsidRPr="00253EC1" w14:paraId="2D0599DF" w14:textId="77777777" w:rsidTr="00CA562B">
        <w:trPr>
          <w:cantSplit/>
          <w:trHeight w:val="548"/>
        </w:trPr>
        <w:tc>
          <w:tcPr>
            <w:tcW w:w="15439" w:type="dxa"/>
            <w:gridSpan w:val="5"/>
            <w:shd w:val="clear" w:color="auto" w:fill="auto"/>
          </w:tcPr>
          <w:p w14:paraId="45C1CFBB" w14:textId="33DABB9E" w:rsidR="00C10CB3" w:rsidRDefault="00C10CB3" w:rsidP="00C10CB3">
            <w:r>
              <w:rPr>
                <w:lang w:val="en-US"/>
              </w:rPr>
              <w:lastRenderedPageBreak/>
              <w:t xml:space="preserve">The following NHSE-commissioned medicines received positive NICE appraisals. They will be assessed by provider trusts once all necessary information is available, and if added to the HNY formulary they will have a status of RED </w:t>
            </w:r>
          </w:p>
          <w:p w14:paraId="6804096F" w14:textId="72A40B99" w:rsidR="00C10CB3" w:rsidRDefault="00FF2E45" w:rsidP="00C10CB3">
            <w:hyperlink r:id="rId12" w:tgtFrame="_blank" w:history="1">
              <w:r w:rsidR="00C10CB3" w:rsidRPr="00917540">
                <w:rPr>
                  <w:rStyle w:val="Hyperlink"/>
                  <w:rFonts w:cs="Arial"/>
                  <w:b/>
                  <w:bCs/>
                </w:rPr>
                <w:t xml:space="preserve">TA1051: </w:t>
              </w:r>
              <w:proofErr w:type="spellStart"/>
              <w:r w:rsidR="00C10CB3" w:rsidRPr="00917540">
                <w:rPr>
                  <w:rStyle w:val="Hyperlink"/>
                  <w:rFonts w:cs="Arial"/>
                  <w:b/>
                  <w:bCs/>
                </w:rPr>
                <w:t>Efanesoctocog</w:t>
              </w:r>
              <w:proofErr w:type="spellEnd"/>
              <w:r w:rsidR="00C10CB3" w:rsidRPr="00917540">
                <w:rPr>
                  <w:rStyle w:val="Hyperlink"/>
                  <w:rFonts w:cs="Arial"/>
                  <w:b/>
                  <w:bCs/>
                </w:rPr>
                <w:t xml:space="preserve"> alfa for treating and preventing bleeding episodes in haemophilia A in people 2 years and over</w:t>
              </w:r>
            </w:hyperlink>
            <w:r w:rsidR="00C10CB3" w:rsidRPr="001D52C1">
              <w:t> </w:t>
            </w:r>
          </w:p>
          <w:p w14:paraId="4BE408BF" w14:textId="77777777" w:rsidR="00C10CB3" w:rsidRDefault="00FF2E45" w:rsidP="00C10CB3">
            <w:hyperlink r:id="rId13" w:tgtFrame="_blank" w:history="1">
              <w:r w:rsidR="00C10CB3" w:rsidRPr="00917540">
                <w:rPr>
                  <w:rStyle w:val="Hyperlink"/>
                  <w:rFonts w:cs="Arial"/>
                  <w:b/>
                  <w:bCs/>
                </w:rPr>
                <w:t>TA1053: Cladribine for treating active relapsing forms of multiple sclerosis</w:t>
              </w:r>
            </w:hyperlink>
            <w:r w:rsidR="00C10CB3" w:rsidRPr="00917540">
              <w:t> </w:t>
            </w:r>
          </w:p>
          <w:p w14:paraId="09F43F37" w14:textId="77777777" w:rsidR="00C10CB3" w:rsidRDefault="00FF2E45" w:rsidP="00C10CB3">
            <w:hyperlink r:id="rId14" w:tgtFrame="_blank" w:history="1">
              <w:r w:rsidR="00C10CB3" w:rsidRPr="004D7D6F">
                <w:rPr>
                  <w:rStyle w:val="Hyperlink"/>
                  <w:rFonts w:cs="Arial"/>
                  <w:b/>
                  <w:bCs/>
                </w:rPr>
                <w:t xml:space="preserve">TA1054: </w:t>
              </w:r>
              <w:proofErr w:type="spellStart"/>
              <w:r w:rsidR="00C10CB3" w:rsidRPr="004D7D6F">
                <w:rPr>
                  <w:rStyle w:val="Hyperlink"/>
                  <w:rFonts w:cs="Arial"/>
                  <w:b/>
                  <w:bCs/>
                </w:rPr>
                <w:t>Ruxolitinib</w:t>
              </w:r>
              <w:proofErr w:type="spellEnd"/>
              <w:r w:rsidR="00C10CB3" w:rsidRPr="004D7D6F">
                <w:rPr>
                  <w:rStyle w:val="Hyperlink"/>
                  <w:rFonts w:cs="Arial"/>
                  <w:b/>
                  <w:bCs/>
                </w:rPr>
                <w:t xml:space="preserve"> for treating acute graft versus host disease that responds inadequately to corticosteroids in people 12 years and over</w:t>
              </w:r>
            </w:hyperlink>
            <w:r w:rsidR="00C10CB3" w:rsidRPr="004D7D6F">
              <w:t> </w:t>
            </w:r>
          </w:p>
          <w:p w14:paraId="665D41DE" w14:textId="77777777" w:rsidR="00C10CB3" w:rsidRDefault="00FF2E45" w:rsidP="00C10CB3">
            <w:hyperlink r:id="rId15" w:tgtFrame="_blank" w:history="1">
              <w:r w:rsidR="00C10CB3" w:rsidRPr="004D7D6F">
                <w:rPr>
                  <w:rStyle w:val="Hyperlink"/>
                  <w:rFonts w:cs="Arial"/>
                  <w:b/>
                  <w:bCs/>
                </w:rPr>
                <w:t>TA1055: Rucaparib for maintenance treatment of advanced ovarian, fallopian tube and peritoneal cancer after response to first-line platinum-based chemotherapy</w:t>
              </w:r>
            </w:hyperlink>
            <w:r w:rsidR="00C10CB3" w:rsidRPr="004D7D6F">
              <w:t> </w:t>
            </w:r>
          </w:p>
          <w:p w14:paraId="7675390E" w14:textId="2DEEAA35" w:rsidR="00003647" w:rsidRDefault="00FF2E45" w:rsidP="00C10CB3">
            <w:hyperlink r:id="rId16" w:tgtFrame="_blank" w:history="1">
              <w:r w:rsidR="00003647" w:rsidRPr="00003647">
                <w:rPr>
                  <w:rStyle w:val="Hyperlink"/>
                  <w:rFonts w:cs="Arial"/>
                  <w:b/>
                  <w:bCs/>
                </w:rPr>
                <w:t>HST33: Leniolisib for treating activated phosphoinositide 3-kinase delta syndrome in people 12 years and over</w:t>
              </w:r>
            </w:hyperlink>
            <w:r w:rsidR="00003647" w:rsidRPr="00003647">
              <w:t> </w:t>
            </w:r>
          </w:p>
          <w:p w14:paraId="7604B0F5" w14:textId="00D839A7" w:rsidR="00C10CB3" w:rsidRPr="00870354" w:rsidRDefault="00C10CB3" w:rsidP="00C10CB3"/>
        </w:tc>
      </w:tr>
      <w:tr w:rsidR="00C10CB3" w:rsidRPr="00253EC1" w14:paraId="0F3428C8" w14:textId="77777777" w:rsidTr="006E26D1">
        <w:trPr>
          <w:cantSplit/>
        </w:trPr>
        <w:tc>
          <w:tcPr>
            <w:tcW w:w="0" w:type="auto"/>
            <w:gridSpan w:val="5"/>
            <w:shd w:val="clear" w:color="auto" w:fill="auto"/>
          </w:tcPr>
          <w:p w14:paraId="74745772" w14:textId="77777777" w:rsidR="00C10CB3" w:rsidRDefault="00C10CB3" w:rsidP="00C10CB3">
            <w:pPr>
              <w:jc w:val="center"/>
              <w:rPr>
                <w:iCs/>
              </w:rPr>
            </w:pPr>
            <w:r w:rsidRPr="0028306A">
              <w:rPr>
                <w:rFonts w:eastAsia="Calibri"/>
                <w:sz w:val="20"/>
                <w:szCs w:val="20"/>
              </w:rPr>
              <w:t>All links to MHRA drug safety updates added to formulary as published. Significant alerts where further action is required are highlighted.</w:t>
            </w:r>
          </w:p>
        </w:tc>
      </w:tr>
    </w:tbl>
    <w:p w14:paraId="6A3D49F8" w14:textId="4C4B9C0A" w:rsidR="00686FE4" w:rsidRPr="00432265" w:rsidRDefault="00686FE4" w:rsidP="00432265">
      <w:pPr>
        <w:pStyle w:val="BodyText"/>
        <w:tabs>
          <w:tab w:val="clear" w:pos="975"/>
        </w:tabs>
        <w:spacing w:before="68" w:after="0"/>
        <w:ind w:left="1"/>
        <w:jc w:val="center"/>
        <w:rPr>
          <w:rFonts w:ascii="Helvetica" w:hAnsi="Helvetica" w:cs="Helvetica"/>
          <w:color w:val="4C4D4F"/>
        </w:rPr>
      </w:pPr>
    </w:p>
    <w:p w14:paraId="2AD71F3F" w14:textId="1F7D0753" w:rsidR="00121DDE" w:rsidRDefault="006E26D1" w:rsidP="00432265">
      <w:pPr>
        <w:pStyle w:val="BodyText"/>
        <w:spacing w:before="68"/>
        <w:ind w:left="1"/>
        <w:jc w:val="center"/>
        <w:rPr>
          <w:color w:val="4C4D4F"/>
        </w:rPr>
      </w:pPr>
      <w:r>
        <w:rPr>
          <w:color w:val="4C4D4F"/>
        </w:rPr>
        <w:t>HNY APC</w:t>
      </w:r>
      <w:r w:rsidR="00121DDE">
        <w:rPr>
          <w:color w:val="4C4D4F"/>
        </w:rPr>
        <w:t xml:space="preserve"> Professional Secretariat Provided by:</w:t>
      </w:r>
    </w:p>
    <w:p w14:paraId="6B573C23" w14:textId="1FD433E2" w:rsidR="00432265" w:rsidRDefault="00432265" w:rsidP="00432265">
      <w:pPr>
        <w:pStyle w:val="BodyText"/>
        <w:spacing w:before="68"/>
        <w:ind w:left="1"/>
        <w:jc w:val="center"/>
      </w:pPr>
      <w:r>
        <w:rPr>
          <w:color w:val="4C4D4F"/>
        </w:rPr>
        <w:t>Regional Drug and Therapeutics Centre</w:t>
      </w:r>
    </w:p>
    <w:p w14:paraId="0CAAF172" w14:textId="77777777" w:rsidR="00432265" w:rsidRDefault="00432265" w:rsidP="00432265">
      <w:pPr>
        <w:pStyle w:val="BodyText"/>
        <w:spacing w:before="4"/>
        <w:ind w:left="1"/>
        <w:jc w:val="center"/>
      </w:pPr>
      <w:r>
        <w:rPr>
          <w:color w:val="4C4D4F"/>
        </w:rPr>
        <w:t>16/17 Framlington Place, Newcastle upon Tyne, NE2 4AB</w:t>
      </w:r>
    </w:p>
    <w:p w14:paraId="5602DB6E" w14:textId="3B4A21C8" w:rsidR="00432265" w:rsidRDefault="00432265" w:rsidP="00BB0161">
      <w:pPr>
        <w:tabs>
          <w:tab w:val="left" w:pos="1770"/>
          <w:tab w:val="left" w:pos="3611"/>
          <w:tab w:val="left" w:pos="6712"/>
        </w:tabs>
        <w:spacing w:before="3"/>
        <w:jc w:val="center"/>
        <w:rPr>
          <w:sz w:val="15"/>
        </w:rPr>
      </w:pPr>
      <w:bookmarkStart w:id="2" w:name="_Hlk183004187"/>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17" w:history="1">
        <w:r w:rsidR="00BB0161" w:rsidRPr="00EF6157">
          <w:rPr>
            <w:rStyle w:val="Hyperlink"/>
            <w:rFonts w:cs="Arial"/>
          </w:rPr>
          <w:t>nuth.nyrdtc.rxsupp@nhs.net</w:t>
        </w:r>
      </w:hyperlink>
      <w:r w:rsidR="00BB0161">
        <w:t xml:space="preserve"> </w:t>
      </w:r>
      <w:r w:rsidR="00121DDE">
        <w:rPr>
          <w:color w:val="4C4D4F"/>
          <w:spacing w:val="19"/>
        </w:rPr>
        <w:t xml:space="preserve"> </w:t>
      </w:r>
      <w:r w:rsidR="006E26D1">
        <w:rPr>
          <w:color w:val="4C4D4F"/>
          <w:spacing w:val="19"/>
        </w:rPr>
        <w:t xml:space="preserve"> </w:t>
      </w:r>
      <w:r>
        <w:rPr>
          <w:color w:val="4C4D4F"/>
        </w:rPr>
        <w:t>visit:</w:t>
      </w:r>
      <w:r>
        <w:rPr>
          <w:color w:val="4C4D4F"/>
          <w:spacing w:val="4"/>
        </w:rPr>
        <w:t xml:space="preserve"> </w:t>
      </w:r>
      <w:hyperlink r:id="rId18" w:history="1">
        <w:r w:rsidR="00BB0161" w:rsidRPr="00EF6157">
          <w:rPr>
            <w:rStyle w:val="Hyperlink"/>
            <w:rFonts w:cs="Arial"/>
          </w:rPr>
          <w:t>https://humberandnorthyorkshire.org.uk/area-prescribing-committee-apc/</w:t>
        </w:r>
      </w:hyperlink>
      <w:r w:rsidR="00BB0161">
        <w:t xml:space="preserve"> </w:t>
      </w:r>
    </w:p>
    <w:bookmarkEnd w:id="2"/>
    <w:p w14:paraId="46A8EF24" w14:textId="77777777" w:rsidR="00432265" w:rsidRDefault="00432265" w:rsidP="00432265">
      <w:pPr>
        <w:ind w:left="12"/>
        <w:jc w:val="center"/>
      </w:pPr>
      <w:r>
        <w:rPr>
          <w:noProof/>
          <w:position w:val="-15"/>
          <w:lang w:eastAsia="en-GB"/>
        </w:rPr>
        <w:drawing>
          <wp:inline distT="0" distB="0" distL="0" distR="0" wp14:anchorId="29439FBE" wp14:editId="22541797">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9"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20">
        <w:r>
          <w:rPr>
            <w:color w:val="456DA9"/>
          </w:rPr>
          <w:t>@RDTC_Rx</w:t>
        </w:r>
      </w:hyperlink>
    </w:p>
    <w:p w14:paraId="59EB0C4C" w14:textId="77777777" w:rsidR="00432265" w:rsidRDefault="00432265" w:rsidP="00432265">
      <w:pPr>
        <w:spacing w:before="56" w:line="266" w:lineRule="auto"/>
        <w:ind w:left="613" w:right="610"/>
        <w:jc w:val="center"/>
        <w:rPr>
          <w:sz w:val="13"/>
        </w:rPr>
      </w:pPr>
      <w:r>
        <w:rPr>
          <w:color w:val="4C4D4F"/>
          <w:sz w:val="13"/>
        </w:rPr>
        <w:t>THIS DOCUMENT IS INTENDED FOR USE BY NHS HEALTHCARE PROFESSIONALS AND CANNOT BE USED FOR COMMERCIAL OR MARKETING PURPOSES. PATIENT INFORMATION ON MANY TOPICS CAN BE ACCESSED VIA NHS CHOICES</w:t>
      </w:r>
    </w:p>
    <w:p w14:paraId="0C19F98F" w14:textId="2FE1250D" w:rsidR="00560ADF" w:rsidRDefault="00560ADF" w:rsidP="00432265">
      <w:pPr>
        <w:pStyle w:val="BodyText"/>
        <w:tabs>
          <w:tab w:val="clear" w:pos="975"/>
        </w:tabs>
        <w:spacing w:before="68" w:after="0"/>
        <w:ind w:left="1"/>
        <w:jc w:val="center"/>
      </w:pPr>
    </w:p>
    <w:p w14:paraId="074452F2" w14:textId="77777777" w:rsidR="0016537D" w:rsidRDefault="0016537D" w:rsidP="00432265">
      <w:pPr>
        <w:pStyle w:val="BodyText"/>
        <w:tabs>
          <w:tab w:val="clear" w:pos="975"/>
        </w:tabs>
        <w:spacing w:before="68" w:after="0"/>
        <w:ind w:left="1"/>
        <w:jc w:val="center"/>
      </w:pPr>
    </w:p>
    <w:p w14:paraId="15C073DB" w14:textId="77777777" w:rsidR="0016537D" w:rsidRDefault="0016537D" w:rsidP="00432265">
      <w:pPr>
        <w:pStyle w:val="BodyText"/>
        <w:tabs>
          <w:tab w:val="clear" w:pos="975"/>
        </w:tabs>
        <w:spacing w:before="68" w:after="0"/>
        <w:ind w:left="1"/>
        <w:jc w:val="center"/>
      </w:pPr>
    </w:p>
    <w:p w14:paraId="30F536DA" w14:textId="77777777" w:rsidR="0016537D" w:rsidRDefault="0016537D" w:rsidP="00432265">
      <w:pPr>
        <w:pStyle w:val="BodyText"/>
        <w:tabs>
          <w:tab w:val="clear" w:pos="975"/>
        </w:tabs>
        <w:spacing w:before="68" w:after="0"/>
        <w:ind w:left="1"/>
        <w:jc w:val="center"/>
      </w:pPr>
    </w:p>
    <w:p w14:paraId="7B2336D5" w14:textId="77777777" w:rsidR="0016537D" w:rsidRDefault="0016537D" w:rsidP="00432265">
      <w:pPr>
        <w:pStyle w:val="BodyText"/>
        <w:tabs>
          <w:tab w:val="clear" w:pos="975"/>
        </w:tabs>
        <w:spacing w:before="68" w:after="0"/>
        <w:ind w:left="1"/>
        <w:jc w:val="center"/>
      </w:pPr>
    </w:p>
    <w:p w14:paraId="1C69CFD9" w14:textId="77777777" w:rsidR="0016537D" w:rsidRDefault="0016537D" w:rsidP="00432265">
      <w:pPr>
        <w:pStyle w:val="BodyText"/>
        <w:tabs>
          <w:tab w:val="clear" w:pos="975"/>
        </w:tabs>
        <w:spacing w:before="68" w:after="0"/>
        <w:ind w:left="1"/>
        <w:jc w:val="center"/>
      </w:pPr>
    </w:p>
    <w:p w14:paraId="0FC21B9B" w14:textId="41C9A151" w:rsidR="00AB3FD8" w:rsidRDefault="00AB3FD8">
      <w:pPr>
        <w:tabs>
          <w:tab w:val="clear" w:pos="975"/>
        </w:tabs>
        <w:spacing w:before="0" w:after="0"/>
      </w:pPr>
      <w:r>
        <w:br w:type="page"/>
      </w:r>
    </w:p>
    <w:p w14:paraId="6F3E74B8" w14:textId="77777777" w:rsidR="0016537D" w:rsidRDefault="0016537D" w:rsidP="00432265">
      <w:pPr>
        <w:pStyle w:val="BodyText"/>
        <w:tabs>
          <w:tab w:val="clear" w:pos="975"/>
        </w:tabs>
        <w:spacing w:before="68" w:after="0"/>
        <w:ind w:left="1"/>
        <w:jc w:val="center"/>
      </w:pPr>
    </w:p>
    <w:tbl>
      <w:tblPr>
        <w:tblStyle w:val="TableGrid"/>
        <w:tblW w:w="15382" w:type="dxa"/>
        <w:tblInd w:w="279" w:type="dxa"/>
        <w:tblLook w:val="04A0" w:firstRow="1" w:lastRow="0" w:firstColumn="1" w:lastColumn="0" w:noHBand="0" w:noVBand="1"/>
      </w:tblPr>
      <w:tblGrid>
        <w:gridCol w:w="2340"/>
        <w:gridCol w:w="5026"/>
        <w:gridCol w:w="2487"/>
        <w:gridCol w:w="5529"/>
      </w:tblGrid>
      <w:tr w:rsidR="007E18E4" w:rsidRPr="003E1755" w14:paraId="134B13FE" w14:textId="77777777" w:rsidTr="003E1755">
        <w:tc>
          <w:tcPr>
            <w:tcW w:w="15382" w:type="dxa"/>
            <w:gridSpan w:val="4"/>
            <w:shd w:val="clear" w:color="auto" w:fill="auto"/>
          </w:tcPr>
          <w:p w14:paraId="7C4F8FC3" w14:textId="3A66573F" w:rsidR="007E18E4" w:rsidRPr="003E1755" w:rsidRDefault="00FF245F" w:rsidP="007E18E4">
            <w:pPr>
              <w:rPr>
                <w:b/>
                <w:bCs/>
              </w:rPr>
            </w:pPr>
            <w:r>
              <w:br w:type="page"/>
            </w:r>
            <w:r w:rsidR="007E18E4" w:rsidRPr="003E1755">
              <w:rPr>
                <w:b/>
                <w:bCs/>
              </w:rPr>
              <w:t>RAG classifications for joint Humber and North Yorkshire ICB formulary</w:t>
            </w:r>
          </w:p>
        </w:tc>
      </w:tr>
      <w:tr w:rsidR="007E18E4" w:rsidRPr="003E1755" w14:paraId="06FDB248" w14:textId="2D1D7E07" w:rsidTr="003E1755">
        <w:tc>
          <w:tcPr>
            <w:tcW w:w="2340" w:type="dxa"/>
            <w:shd w:val="clear" w:color="auto" w:fill="FF0000"/>
          </w:tcPr>
          <w:p w14:paraId="3E925C72" w14:textId="77777777" w:rsidR="007E18E4" w:rsidRPr="003E1755" w:rsidRDefault="007E18E4" w:rsidP="007E18E4">
            <w:pPr>
              <w:rPr>
                <w:b/>
                <w:bCs/>
              </w:rPr>
            </w:pPr>
            <w:r w:rsidRPr="003E1755">
              <w:rPr>
                <w:b/>
                <w:bCs/>
              </w:rPr>
              <w:t xml:space="preserve">Red </w:t>
            </w:r>
          </w:p>
        </w:tc>
        <w:tc>
          <w:tcPr>
            <w:tcW w:w="5026" w:type="dxa"/>
          </w:tcPr>
          <w:p w14:paraId="0FF14EAB" w14:textId="77777777" w:rsidR="007E18E4" w:rsidRPr="003E1755" w:rsidRDefault="007E18E4" w:rsidP="007E18E4">
            <w:r w:rsidRPr="003E1755">
              <w:t xml:space="preserve">Specialist prescribing only </w:t>
            </w:r>
          </w:p>
          <w:p w14:paraId="3763B403" w14:textId="518F28E6" w:rsidR="007E18E4" w:rsidRPr="003E1755" w:rsidRDefault="007E18E4" w:rsidP="007E18E4">
            <w:r w:rsidRPr="003E1755">
              <w:t xml:space="preserve">The specialist initiates, continues and completes all ongoing monitoring. </w:t>
            </w:r>
          </w:p>
        </w:tc>
        <w:tc>
          <w:tcPr>
            <w:tcW w:w="2487" w:type="dxa"/>
            <w:shd w:val="clear" w:color="auto" w:fill="FFC000"/>
          </w:tcPr>
          <w:p w14:paraId="1F495ACC" w14:textId="77777777" w:rsidR="007E18E4" w:rsidRPr="003E1755" w:rsidRDefault="007E18E4" w:rsidP="007E18E4">
            <w:pPr>
              <w:rPr>
                <w:b/>
                <w:bCs/>
              </w:rPr>
            </w:pPr>
            <w:r w:rsidRPr="003E1755">
              <w:rPr>
                <w:b/>
                <w:bCs/>
              </w:rPr>
              <w:t>Amber specialist recommendation (Amber SR)</w:t>
            </w:r>
          </w:p>
          <w:p w14:paraId="5C2D04D9" w14:textId="77777777" w:rsidR="007E18E4" w:rsidRPr="003E1755" w:rsidRDefault="007E18E4" w:rsidP="007E18E4">
            <w:pPr>
              <w:rPr>
                <w:b/>
                <w:bCs/>
              </w:rPr>
            </w:pPr>
          </w:p>
          <w:p w14:paraId="6447963B" w14:textId="461FD046" w:rsidR="007E18E4" w:rsidRPr="003E1755" w:rsidRDefault="007E18E4" w:rsidP="007E18E4">
            <w:r w:rsidRPr="003E1755">
              <w:t>Formerly known as Amber 1 in Humber</w:t>
            </w:r>
          </w:p>
        </w:tc>
        <w:tc>
          <w:tcPr>
            <w:tcW w:w="5529" w:type="dxa"/>
          </w:tcPr>
          <w:p w14:paraId="4D85E64B" w14:textId="77777777" w:rsidR="007E18E4" w:rsidRPr="003E1755" w:rsidRDefault="007E18E4" w:rsidP="007E18E4">
            <w:r w:rsidRPr="003E1755">
              <w:t>Does not need to be initiated by a specialist but can be recommended by a specialist to general practice.</w:t>
            </w:r>
          </w:p>
          <w:p w14:paraId="5F788FD5" w14:textId="24E0B56C" w:rsidR="007E18E4" w:rsidRPr="003E1755" w:rsidRDefault="007E18E4" w:rsidP="007E18E4">
            <w:r w:rsidRPr="003E1755">
              <w:t>No ongoing arrangements between specialist and general practice. General practice can refer back to specialist at any time in relation to medication query, if required.</w:t>
            </w:r>
          </w:p>
        </w:tc>
      </w:tr>
      <w:tr w:rsidR="007E18E4" w:rsidRPr="003E1755" w14:paraId="35763245" w14:textId="2F32CE8C" w:rsidTr="003E1755">
        <w:tc>
          <w:tcPr>
            <w:tcW w:w="2340" w:type="dxa"/>
            <w:shd w:val="clear" w:color="auto" w:fill="FFC000"/>
          </w:tcPr>
          <w:p w14:paraId="4DAD29CE" w14:textId="77777777" w:rsidR="007E18E4" w:rsidRPr="003E1755" w:rsidRDefault="007E18E4" w:rsidP="007E18E4">
            <w:pPr>
              <w:rPr>
                <w:b/>
                <w:bCs/>
              </w:rPr>
            </w:pPr>
            <w:r w:rsidRPr="003E1755">
              <w:rPr>
                <w:b/>
                <w:bCs/>
                <w:shd w:val="clear" w:color="auto" w:fill="FFC000"/>
              </w:rPr>
              <w:t>Amber shared care</w:t>
            </w:r>
            <w:r w:rsidRPr="003E1755">
              <w:rPr>
                <w:b/>
                <w:bCs/>
              </w:rPr>
              <w:t xml:space="preserve"> (Amber SCP)</w:t>
            </w:r>
          </w:p>
        </w:tc>
        <w:tc>
          <w:tcPr>
            <w:tcW w:w="5026" w:type="dxa"/>
          </w:tcPr>
          <w:p w14:paraId="07299FC7" w14:textId="77777777" w:rsidR="007E18E4" w:rsidRPr="003E1755" w:rsidRDefault="007E18E4" w:rsidP="007E18E4">
            <w:pPr>
              <w:rPr>
                <w:color w:val="000000"/>
                <w:shd w:val="clear" w:color="auto" w:fill="FFFFFF"/>
              </w:rPr>
            </w:pPr>
            <w:r w:rsidRPr="003E1755">
              <w:rPr>
                <w:color w:val="000000"/>
                <w:shd w:val="clear" w:color="auto" w:fill="FFFFFF"/>
              </w:rPr>
              <w:t xml:space="preserve">Specialist initiation with ongoing monitoring </w:t>
            </w:r>
          </w:p>
          <w:p w14:paraId="62E343E6" w14:textId="77777777" w:rsidR="007E18E4" w:rsidRPr="003E1755" w:rsidRDefault="007E18E4" w:rsidP="007E18E4">
            <w:pPr>
              <w:rPr>
                <w:color w:val="000000"/>
                <w:shd w:val="clear" w:color="auto" w:fill="FFFFFF"/>
              </w:rPr>
            </w:pPr>
            <w:r w:rsidRPr="003E1755">
              <w:rPr>
                <w:color w:val="000000"/>
                <w:shd w:val="clear" w:color="auto" w:fill="FFFFFF"/>
              </w:rPr>
              <w:t xml:space="preserve">Medicines that must be initiated by a specialist*, and which require significant monitoring on an ongoing basis. </w:t>
            </w:r>
          </w:p>
          <w:p w14:paraId="43B0A7A5" w14:textId="77777777" w:rsidR="007E18E4" w:rsidRPr="003E1755" w:rsidRDefault="007E18E4" w:rsidP="007E18E4">
            <w:pPr>
              <w:rPr>
                <w:color w:val="000000"/>
                <w:shd w:val="clear" w:color="auto" w:fill="FFFFFF"/>
              </w:rPr>
            </w:pPr>
            <w:r w:rsidRPr="003E1755">
              <w:rPr>
                <w:color w:val="000000"/>
                <w:shd w:val="clear" w:color="auto" w:fill="FFFFFF"/>
              </w:rPr>
              <w:t>Full agreement to share the care of each specific patient must be reached under the shared care protocol (SCP) which must be provided to the primary care provider.</w:t>
            </w:r>
          </w:p>
          <w:p w14:paraId="6B1C3DA7" w14:textId="77777777" w:rsidR="007E18E4" w:rsidRPr="003E1755" w:rsidRDefault="007E18E4" w:rsidP="007E18E4">
            <w:pPr>
              <w:rPr>
                <w:color w:val="000000"/>
                <w:shd w:val="clear" w:color="auto" w:fill="FFFFFF"/>
              </w:rPr>
            </w:pPr>
            <w:r w:rsidRPr="003E1755">
              <w:rPr>
                <w:color w:val="000000"/>
                <w:shd w:val="clear" w:color="auto" w:fill="FFFFFF"/>
              </w:rPr>
              <w:t>If a commissioned SCP is not available these must be treated as red.</w:t>
            </w:r>
          </w:p>
        </w:tc>
        <w:tc>
          <w:tcPr>
            <w:tcW w:w="2487" w:type="dxa"/>
            <w:shd w:val="clear" w:color="auto" w:fill="92D050"/>
          </w:tcPr>
          <w:p w14:paraId="5B9CB278" w14:textId="77777777" w:rsidR="007E18E4" w:rsidRPr="003E1755" w:rsidRDefault="007E18E4" w:rsidP="007E18E4">
            <w:pPr>
              <w:rPr>
                <w:b/>
                <w:bCs/>
              </w:rPr>
            </w:pPr>
            <w:r w:rsidRPr="003E1755">
              <w:rPr>
                <w:b/>
                <w:bCs/>
              </w:rPr>
              <w:t>Green (with pathway/guideline)</w:t>
            </w:r>
          </w:p>
          <w:p w14:paraId="25779550" w14:textId="77777777" w:rsidR="007E18E4" w:rsidRPr="003E1755" w:rsidRDefault="007E18E4" w:rsidP="007E18E4">
            <w:pPr>
              <w:rPr>
                <w:b/>
                <w:bCs/>
              </w:rPr>
            </w:pPr>
          </w:p>
          <w:p w14:paraId="2B8A5296" w14:textId="77A7F13B" w:rsidR="007E18E4" w:rsidRPr="003E1755" w:rsidRDefault="007E18E4" w:rsidP="007E18E4">
            <w:pPr>
              <w:rPr>
                <w:color w:val="000000"/>
                <w:shd w:val="clear" w:color="auto" w:fill="FFFFFF"/>
              </w:rPr>
            </w:pPr>
            <w:r w:rsidRPr="003E1755">
              <w:t>Formerly known as Amber 1 in Humber</w:t>
            </w:r>
          </w:p>
        </w:tc>
        <w:tc>
          <w:tcPr>
            <w:tcW w:w="5529" w:type="dxa"/>
          </w:tcPr>
          <w:p w14:paraId="4B2AA77A" w14:textId="00DE561B" w:rsidR="007E18E4" w:rsidRPr="003E1755" w:rsidRDefault="007E18E4" w:rsidP="007E18E4">
            <w:pPr>
              <w:rPr>
                <w:color w:val="000000"/>
                <w:shd w:val="clear" w:color="auto" w:fill="FFFFFF"/>
              </w:rPr>
            </w:pPr>
            <w:r w:rsidRPr="003E1755">
              <w:t>Can be prescribed in primary care in line with a recommended approved pathway/guideline.</w:t>
            </w:r>
          </w:p>
        </w:tc>
      </w:tr>
      <w:tr w:rsidR="007E18E4" w:rsidRPr="003E1755" w14:paraId="2A87E35C" w14:textId="3E67CC43" w:rsidTr="003E1755">
        <w:tc>
          <w:tcPr>
            <w:tcW w:w="2340" w:type="dxa"/>
            <w:shd w:val="clear" w:color="auto" w:fill="FFC000"/>
          </w:tcPr>
          <w:p w14:paraId="12734BA0" w14:textId="77777777" w:rsidR="007E18E4" w:rsidRPr="003E1755" w:rsidRDefault="007E18E4" w:rsidP="007E18E4">
            <w:pPr>
              <w:rPr>
                <w:b/>
                <w:bCs/>
              </w:rPr>
            </w:pPr>
            <w:r w:rsidRPr="003E1755">
              <w:rPr>
                <w:b/>
                <w:bCs/>
              </w:rPr>
              <w:t>Amber specialist initiation</w:t>
            </w:r>
          </w:p>
          <w:p w14:paraId="6C28E255" w14:textId="77777777" w:rsidR="007E18E4" w:rsidRPr="003E1755" w:rsidRDefault="007E18E4" w:rsidP="007E18E4">
            <w:pPr>
              <w:rPr>
                <w:b/>
                <w:bCs/>
              </w:rPr>
            </w:pPr>
            <w:r w:rsidRPr="003E1755">
              <w:rPr>
                <w:b/>
                <w:bCs/>
              </w:rPr>
              <w:t>(Amber SI)</w:t>
            </w:r>
          </w:p>
          <w:p w14:paraId="777FD355" w14:textId="77777777" w:rsidR="007E18E4" w:rsidRPr="003E1755" w:rsidRDefault="007E18E4" w:rsidP="007E18E4">
            <w:pPr>
              <w:rPr>
                <w:b/>
                <w:bCs/>
              </w:rPr>
            </w:pPr>
          </w:p>
          <w:p w14:paraId="7DDB58D7" w14:textId="77777777" w:rsidR="007E18E4" w:rsidRPr="003E1755" w:rsidRDefault="007E18E4" w:rsidP="007E18E4">
            <w:r w:rsidRPr="003E1755">
              <w:t>Formerly known as Amber 2 in Humber</w:t>
            </w:r>
          </w:p>
        </w:tc>
        <w:tc>
          <w:tcPr>
            <w:tcW w:w="5026" w:type="dxa"/>
          </w:tcPr>
          <w:p w14:paraId="62EC1EC6" w14:textId="6466A9DB" w:rsidR="007E18E4" w:rsidRPr="003E1755" w:rsidRDefault="007E18E4" w:rsidP="007E18E4">
            <w:r w:rsidRPr="003E1755">
              <w:t>Must be started by a specialist and remain with specialist until the patient is stable on the new medicine but can then be transferred to primary care (general practice) to continue prescribing without ongoing arrangements between specialist and general practice. General practice can refer back to specialist at any time in relation to medication query, if required.</w:t>
            </w:r>
          </w:p>
          <w:p w14:paraId="176576B6" w14:textId="77777777" w:rsidR="007E18E4" w:rsidRPr="003E1755" w:rsidRDefault="007E18E4" w:rsidP="007E18E4"/>
        </w:tc>
        <w:tc>
          <w:tcPr>
            <w:tcW w:w="2487" w:type="dxa"/>
            <w:shd w:val="clear" w:color="auto" w:fill="92D050"/>
          </w:tcPr>
          <w:p w14:paraId="2C5B704D" w14:textId="6C99EC0C" w:rsidR="007E18E4" w:rsidRPr="003E1755" w:rsidRDefault="007E18E4" w:rsidP="007E18E4">
            <w:r w:rsidRPr="003E1755">
              <w:rPr>
                <w:b/>
                <w:bCs/>
              </w:rPr>
              <w:t>Green (no pathway/guideline)</w:t>
            </w:r>
          </w:p>
        </w:tc>
        <w:tc>
          <w:tcPr>
            <w:tcW w:w="5529" w:type="dxa"/>
          </w:tcPr>
          <w:p w14:paraId="680188EF" w14:textId="77777777" w:rsidR="007E18E4" w:rsidRPr="003E1755" w:rsidRDefault="007E18E4" w:rsidP="007E18E4">
            <w:r w:rsidRPr="003E1755">
              <w:rPr>
                <w:color w:val="000000"/>
                <w:shd w:val="clear" w:color="auto" w:fill="FFFFFF"/>
              </w:rPr>
              <w:t xml:space="preserve">Medicines suitable for routine use within primary care and secondary care. </w:t>
            </w:r>
          </w:p>
          <w:p w14:paraId="2F13F11F" w14:textId="1DEF38E1" w:rsidR="007E18E4" w:rsidRPr="003E1755" w:rsidRDefault="007E18E4" w:rsidP="007E18E4">
            <w:r w:rsidRPr="003E1755">
              <w:t>Can be prescribed in primary care, as per the wording on the formulary and considering both the drug SPC and BNF.</w:t>
            </w:r>
          </w:p>
        </w:tc>
      </w:tr>
    </w:tbl>
    <w:p w14:paraId="31164644" w14:textId="77777777" w:rsidR="007E18E4" w:rsidRDefault="007E18E4" w:rsidP="00432265">
      <w:pPr>
        <w:pStyle w:val="BodyText"/>
        <w:tabs>
          <w:tab w:val="clear" w:pos="975"/>
        </w:tabs>
        <w:spacing w:before="68" w:after="0"/>
        <w:ind w:left="1"/>
        <w:jc w:val="center"/>
      </w:pPr>
    </w:p>
    <w:sectPr w:rsidR="007E18E4" w:rsidSect="006E26D1">
      <w:footerReference w:type="even" r:id="rId21"/>
      <w:footerReference w:type="default" r:id="rId22"/>
      <w:footerReference w:type="first" r:id="rId23"/>
      <w:pgSz w:w="16840" w:h="11910" w:orient="landscape" w:code="9"/>
      <w:pgMar w:top="567" w:right="522" w:bottom="992" w:left="425" w:header="720" w:footer="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48A3B" w14:textId="77777777" w:rsidR="00A63B3E" w:rsidRDefault="00A63B3E" w:rsidP="007909C3">
      <w:r>
        <w:separator/>
      </w:r>
    </w:p>
  </w:endnote>
  <w:endnote w:type="continuationSeparator" w:id="0">
    <w:p w14:paraId="5F54D4E1" w14:textId="77777777" w:rsidR="00A63B3E" w:rsidRDefault="00A63B3E"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DC2D" w14:textId="40C8110E" w:rsidR="003E1755" w:rsidRDefault="00383A54" w:rsidP="007909C3">
    <w:pPr>
      <w:pStyle w:val="Footer"/>
    </w:pPr>
    <w:r>
      <w:rPr>
        <w:noProof/>
        <w:sz w:val="13"/>
        <w:lang w:eastAsia="en-GB"/>
      </w:rPr>
      <w:drawing>
        <wp:inline distT="0" distB="0" distL="0" distR="0" wp14:anchorId="68613B1F" wp14:editId="7526119D">
          <wp:extent cx="539497" cy="222504"/>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003E1755" w:rsidRPr="003E1755">
      <w:t>* See end of document for full RAG definitions</w:t>
    </w:r>
  </w:p>
  <w:p w14:paraId="1732AC2A" w14:textId="71C55B20" w:rsidR="00761464" w:rsidRDefault="003E1755" w:rsidP="007909C3">
    <w:pPr>
      <w:pStyle w:val="Footer"/>
    </w:pPr>
    <w:r>
      <w:tab/>
      <w:t xml:space="preserve">           </w:t>
    </w:r>
    <w:r w:rsidR="00383A54" w:rsidRPr="00B47BFE">
      <w:t>Produced by the Regional Drug and Therapeutics Centre</w:t>
    </w:r>
    <w:r w:rsidR="00383A54">
      <w:tab/>
    </w:r>
    <w:r w:rsidR="00383A54">
      <w:tab/>
    </w:r>
    <w:r w:rsidR="00383A54">
      <w:tab/>
    </w:r>
    <w:r w:rsidR="00383A54">
      <w:tab/>
    </w:r>
    <w:r w:rsidR="00383A54">
      <w:tab/>
    </w:r>
    <w:r w:rsidR="00383A54">
      <w:tab/>
    </w:r>
    <w:r w:rsidR="00383A54">
      <w:tab/>
    </w:r>
    <w:r w:rsidR="00383A54">
      <w:tab/>
    </w:r>
    <w:r w:rsidR="00383A54">
      <w:tab/>
    </w:r>
    <w:r w:rsidR="00AB3FD8">
      <w:t>May</w:t>
    </w:r>
    <w:r w:rsidR="00690336">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931AC" w14:textId="6FA03133" w:rsidR="00383A54" w:rsidRDefault="00383A54" w:rsidP="007909C3">
    <w:pPr>
      <w:pStyle w:val="Footer"/>
    </w:pPr>
    <w:r>
      <w:rPr>
        <w:noProof/>
        <w:sz w:val="13"/>
        <w:lang w:eastAsia="en-GB"/>
      </w:rPr>
      <w:drawing>
        <wp:inline distT="0" distB="0" distL="0" distR="0" wp14:anchorId="507EAFD1" wp14:editId="272BC177">
          <wp:extent cx="539497" cy="22250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tab/>
    </w:r>
    <w:r>
      <w:tab/>
    </w:r>
    <w:r w:rsidR="00827FE8">
      <w:t>October</w:t>
    </w:r>
    <w:r w:rsidR="0087035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317F2" w14:textId="77777777" w:rsidR="00A63B3E" w:rsidRDefault="00A63B3E" w:rsidP="007909C3">
      <w:r>
        <w:separator/>
      </w:r>
    </w:p>
  </w:footnote>
  <w:footnote w:type="continuationSeparator" w:id="0">
    <w:p w14:paraId="022321E4" w14:textId="77777777" w:rsidR="00A63B3E" w:rsidRDefault="00A63B3E" w:rsidP="0079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F95"/>
    <w:multiLevelType w:val="multilevel"/>
    <w:tmpl w:val="D634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B0C"/>
    <w:multiLevelType w:val="hybridMultilevel"/>
    <w:tmpl w:val="86D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0E9D"/>
    <w:multiLevelType w:val="multilevel"/>
    <w:tmpl w:val="8594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F7E1B"/>
    <w:multiLevelType w:val="hybridMultilevel"/>
    <w:tmpl w:val="3B00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3912F1"/>
    <w:multiLevelType w:val="multilevel"/>
    <w:tmpl w:val="D1C2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BF5100"/>
    <w:multiLevelType w:val="hybridMultilevel"/>
    <w:tmpl w:val="5F9C376A"/>
    <w:lvl w:ilvl="0" w:tplc="D540703E">
      <w:numFmt w:val="bullet"/>
      <w:lvlText w:val="-"/>
      <w:lvlJc w:val="left"/>
      <w:pPr>
        <w:ind w:left="360" w:hanging="360"/>
      </w:pPr>
      <w:rPr>
        <w:rFonts w:ascii="Arial" w:eastAsia="Helvetic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135D8"/>
    <w:multiLevelType w:val="multilevel"/>
    <w:tmpl w:val="D9C2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0B221E"/>
    <w:multiLevelType w:val="hybridMultilevel"/>
    <w:tmpl w:val="3E08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10BD8"/>
    <w:multiLevelType w:val="multilevel"/>
    <w:tmpl w:val="34E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651ACC"/>
    <w:multiLevelType w:val="multilevel"/>
    <w:tmpl w:val="5BBA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E0840"/>
    <w:multiLevelType w:val="hybridMultilevel"/>
    <w:tmpl w:val="3A2890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7851CE3"/>
    <w:multiLevelType w:val="hybridMultilevel"/>
    <w:tmpl w:val="98F43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E80B13"/>
    <w:multiLevelType w:val="hybridMultilevel"/>
    <w:tmpl w:val="2C2298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1"/>
  </w:num>
  <w:num w:numId="4">
    <w:abstractNumId w:val="13"/>
  </w:num>
  <w:num w:numId="5">
    <w:abstractNumId w:val="12"/>
  </w:num>
  <w:num w:numId="6">
    <w:abstractNumId w:val="3"/>
  </w:num>
  <w:num w:numId="7">
    <w:abstractNumId w:val="2"/>
  </w:num>
  <w:num w:numId="8">
    <w:abstractNumId w:val="9"/>
  </w:num>
  <w:num w:numId="9">
    <w:abstractNumId w:val="10"/>
  </w:num>
  <w:num w:numId="10">
    <w:abstractNumId w:val="5"/>
  </w:num>
  <w:num w:numId="11">
    <w:abstractNumId w:val="7"/>
  </w:num>
  <w:num w:numId="12">
    <w:abstractNumId w:val="0"/>
  </w:num>
  <w:num w:numId="13">
    <w:abstractNumId w:val="1"/>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DF"/>
    <w:rsid w:val="00003372"/>
    <w:rsid w:val="00003647"/>
    <w:rsid w:val="00007A83"/>
    <w:rsid w:val="00014B00"/>
    <w:rsid w:val="0003501F"/>
    <w:rsid w:val="000445EA"/>
    <w:rsid w:val="00051DB8"/>
    <w:rsid w:val="00052D53"/>
    <w:rsid w:val="00053A7D"/>
    <w:rsid w:val="000676AA"/>
    <w:rsid w:val="00067940"/>
    <w:rsid w:val="00073791"/>
    <w:rsid w:val="0007607C"/>
    <w:rsid w:val="00096427"/>
    <w:rsid w:val="000A1DB8"/>
    <w:rsid w:val="000A1EB8"/>
    <w:rsid w:val="000A4068"/>
    <w:rsid w:val="000B1C54"/>
    <w:rsid w:val="000B5DED"/>
    <w:rsid w:val="000B69C6"/>
    <w:rsid w:val="000C4518"/>
    <w:rsid w:val="000E675A"/>
    <w:rsid w:val="00121DDE"/>
    <w:rsid w:val="00130E9F"/>
    <w:rsid w:val="001339FA"/>
    <w:rsid w:val="00144439"/>
    <w:rsid w:val="00150937"/>
    <w:rsid w:val="00151934"/>
    <w:rsid w:val="001567A5"/>
    <w:rsid w:val="00163CC8"/>
    <w:rsid w:val="00164BE9"/>
    <w:rsid w:val="0016537D"/>
    <w:rsid w:val="0017149C"/>
    <w:rsid w:val="001849DB"/>
    <w:rsid w:val="001A014B"/>
    <w:rsid w:val="001A287F"/>
    <w:rsid w:val="001A74DA"/>
    <w:rsid w:val="001B293E"/>
    <w:rsid w:val="001B5482"/>
    <w:rsid w:val="001C291E"/>
    <w:rsid w:val="001C3140"/>
    <w:rsid w:val="001D52C1"/>
    <w:rsid w:val="001F0421"/>
    <w:rsid w:val="001F28EB"/>
    <w:rsid w:val="002112E3"/>
    <w:rsid w:val="002243E0"/>
    <w:rsid w:val="002544D2"/>
    <w:rsid w:val="00271E6E"/>
    <w:rsid w:val="0028057F"/>
    <w:rsid w:val="0028306A"/>
    <w:rsid w:val="00284386"/>
    <w:rsid w:val="00287462"/>
    <w:rsid w:val="00297D20"/>
    <w:rsid w:val="002A386D"/>
    <w:rsid w:val="002A760C"/>
    <w:rsid w:val="002B7031"/>
    <w:rsid w:val="002C038B"/>
    <w:rsid w:val="002D5A93"/>
    <w:rsid w:val="002D6B55"/>
    <w:rsid w:val="00310A03"/>
    <w:rsid w:val="00317A38"/>
    <w:rsid w:val="00341777"/>
    <w:rsid w:val="00344F98"/>
    <w:rsid w:val="00350A04"/>
    <w:rsid w:val="00364888"/>
    <w:rsid w:val="003662FE"/>
    <w:rsid w:val="003675E8"/>
    <w:rsid w:val="003679C5"/>
    <w:rsid w:val="003721C9"/>
    <w:rsid w:val="00383847"/>
    <w:rsid w:val="00383A54"/>
    <w:rsid w:val="00383CC5"/>
    <w:rsid w:val="00394717"/>
    <w:rsid w:val="003A01D0"/>
    <w:rsid w:val="003A0939"/>
    <w:rsid w:val="003A0AA7"/>
    <w:rsid w:val="003A3E0B"/>
    <w:rsid w:val="003B1091"/>
    <w:rsid w:val="003B42C3"/>
    <w:rsid w:val="003C0610"/>
    <w:rsid w:val="003E1755"/>
    <w:rsid w:val="003E2C7A"/>
    <w:rsid w:val="003F1A3A"/>
    <w:rsid w:val="00432265"/>
    <w:rsid w:val="00433C32"/>
    <w:rsid w:val="004631D7"/>
    <w:rsid w:val="0047015D"/>
    <w:rsid w:val="004A0816"/>
    <w:rsid w:val="004B3656"/>
    <w:rsid w:val="004C6BED"/>
    <w:rsid w:val="004D0AED"/>
    <w:rsid w:val="004D7D6F"/>
    <w:rsid w:val="004E5F2D"/>
    <w:rsid w:val="00521D47"/>
    <w:rsid w:val="00544BBB"/>
    <w:rsid w:val="00550B09"/>
    <w:rsid w:val="00557E9D"/>
    <w:rsid w:val="00560ADF"/>
    <w:rsid w:val="005617A9"/>
    <w:rsid w:val="00562B5A"/>
    <w:rsid w:val="00566C50"/>
    <w:rsid w:val="005A38DA"/>
    <w:rsid w:val="005B1A2C"/>
    <w:rsid w:val="005B6E51"/>
    <w:rsid w:val="005C31E2"/>
    <w:rsid w:val="005C3CE2"/>
    <w:rsid w:val="005F1105"/>
    <w:rsid w:val="005F42DB"/>
    <w:rsid w:val="00601C48"/>
    <w:rsid w:val="00630CB4"/>
    <w:rsid w:val="006629FB"/>
    <w:rsid w:val="00684989"/>
    <w:rsid w:val="0068542C"/>
    <w:rsid w:val="00686FE4"/>
    <w:rsid w:val="00690336"/>
    <w:rsid w:val="006B4F2B"/>
    <w:rsid w:val="006E26D1"/>
    <w:rsid w:val="006E3D7B"/>
    <w:rsid w:val="006F093A"/>
    <w:rsid w:val="007030B7"/>
    <w:rsid w:val="00716065"/>
    <w:rsid w:val="00732CE6"/>
    <w:rsid w:val="00734652"/>
    <w:rsid w:val="00742E67"/>
    <w:rsid w:val="00761464"/>
    <w:rsid w:val="00787BA5"/>
    <w:rsid w:val="0079078F"/>
    <w:rsid w:val="007909C3"/>
    <w:rsid w:val="00792C42"/>
    <w:rsid w:val="007A31AE"/>
    <w:rsid w:val="007A6E02"/>
    <w:rsid w:val="007B088A"/>
    <w:rsid w:val="007D333B"/>
    <w:rsid w:val="007E18E4"/>
    <w:rsid w:val="007F044F"/>
    <w:rsid w:val="007F1855"/>
    <w:rsid w:val="0080238C"/>
    <w:rsid w:val="008072D2"/>
    <w:rsid w:val="0081642A"/>
    <w:rsid w:val="00821A67"/>
    <w:rsid w:val="00827FE8"/>
    <w:rsid w:val="008400C9"/>
    <w:rsid w:val="00842E14"/>
    <w:rsid w:val="00862815"/>
    <w:rsid w:val="00870354"/>
    <w:rsid w:val="00885EE2"/>
    <w:rsid w:val="00890B23"/>
    <w:rsid w:val="00894352"/>
    <w:rsid w:val="008A2AEF"/>
    <w:rsid w:val="008A6AF7"/>
    <w:rsid w:val="008C0B9E"/>
    <w:rsid w:val="008C10A4"/>
    <w:rsid w:val="008D2039"/>
    <w:rsid w:val="00905F02"/>
    <w:rsid w:val="009108ED"/>
    <w:rsid w:val="00917540"/>
    <w:rsid w:val="00920C27"/>
    <w:rsid w:val="00922D21"/>
    <w:rsid w:val="00931096"/>
    <w:rsid w:val="00934C02"/>
    <w:rsid w:val="00946212"/>
    <w:rsid w:val="0095030D"/>
    <w:rsid w:val="00953DFA"/>
    <w:rsid w:val="00955A59"/>
    <w:rsid w:val="00983E23"/>
    <w:rsid w:val="009846C4"/>
    <w:rsid w:val="009A721C"/>
    <w:rsid w:val="009B241F"/>
    <w:rsid w:val="009B25E5"/>
    <w:rsid w:val="009C22A2"/>
    <w:rsid w:val="009C318B"/>
    <w:rsid w:val="009D10CE"/>
    <w:rsid w:val="009E14AC"/>
    <w:rsid w:val="009E2578"/>
    <w:rsid w:val="009E5F4F"/>
    <w:rsid w:val="009F1555"/>
    <w:rsid w:val="00A00C8F"/>
    <w:rsid w:val="00A01100"/>
    <w:rsid w:val="00A05279"/>
    <w:rsid w:val="00A06A54"/>
    <w:rsid w:val="00A17C46"/>
    <w:rsid w:val="00A5090E"/>
    <w:rsid w:val="00A50982"/>
    <w:rsid w:val="00A52257"/>
    <w:rsid w:val="00A63B3E"/>
    <w:rsid w:val="00A6661E"/>
    <w:rsid w:val="00A9155E"/>
    <w:rsid w:val="00AA2250"/>
    <w:rsid w:val="00AA2E11"/>
    <w:rsid w:val="00AA7BB9"/>
    <w:rsid w:val="00AB3FD8"/>
    <w:rsid w:val="00AB6606"/>
    <w:rsid w:val="00AC59A4"/>
    <w:rsid w:val="00AC6922"/>
    <w:rsid w:val="00AF1D87"/>
    <w:rsid w:val="00AF7C38"/>
    <w:rsid w:val="00AF7FFC"/>
    <w:rsid w:val="00B16D53"/>
    <w:rsid w:val="00B221D6"/>
    <w:rsid w:val="00B37BF8"/>
    <w:rsid w:val="00B4247C"/>
    <w:rsid w:val="00B43BEE"/>
    <w:rsid w:val="00B452EC"/>
    <w:rsid w:val="00B47BFE"/>
    <w:rsid w:val="00B53501"/>
    <w:rsid w:val="00B6100A"/>
    <w:rsid w:val="00B624BB"/>
    <w:rsid w:val="00B65BEA"/>
    <w:rsid w:val="00B73289"/>
    <w:rsid w:val="00B83148"/>
    <w:rsid w:val="00B900B4"/>
    <w:rsid w:val="00B91690"/>
    <w:rsid w:val="00BB0161"/>
    <w:rsid w:val="00BB3D47"/>
    <w:rsid w:val="00BC5B4D"/>
    <w:rsid w:val="00BD0E20"/>
    <w:rsid w:val="00BD7EA4"/>
    <w:rsid w:val="00BE73A7"/>
    <w:rsid w:val="00BF616C"/>
    <w:rsid w:val="00C00E0A"/>
    <w:rsid w:val="00C05997"/>
    <w:rsid w:val="00C10CB3"/>
    <w:rsid w:val="00C13E92"/>
    <w:rsid w:val="00C20E88"/>
    <w:rsid w:val="00C351A1"/>
    <w:rsid w:val="00C352B4"/>
    <w:rsid w:val="00C43079"/>
    <w:rsid w:val="00C760FC"/>
    <w:rsid w:val="00C84BB0"/>
    <w:rsid w:val="00C87597"/>
    <w:rsid w:val="00C97823"/>
    <w:rsid w:val="00CA13FA"/>
    <w:rsid w:val="00CA6426"/>
    <w:rsid w:val="00CC2256"/>
    <w:rsid w:val="00CC4392"/>
    <w:rsid w:val="00CC7BD8"/>
    <w:rsid w:val="00CE3FAA"/>
    <w:rsid w:val="00CF38AF"/>
    <w:rsid w:val="00D41C86"/>
    <w:rsid w:val="00D45C1A"/>
    <w:rsid w:val="00D51C7C"/>
    <w:rsid w:val="00D56C5C"/>
    <w:rsid w:val="00D6182B"/>
    <w:rsid w:val="00D771F7"/>
    <w:rsid w:val="00D77342"/>
    <w:rsid w:val="00DC7D6D"/>
    <w:rsid w:val="00DC7E98"/>
    <w:rsid w:val="00DD4AD5"/>
    <w:rsid w:val="00DE573B"/>
    <w:rsid w:val="00DF518F"/>
    <w:rsid w:val="00DF6DD1"/>
    <w:rsid w:val="00DF72D0"/>
    <w:rsid w:val="00E0153D"/>
    <w:rsid w:val="00E064C8"/>
    <w:rsid w:val="00E2354D"/>
    <w:rsid w:val="00E364E4"/>
    <w:rsid w:val="00E36C52"/>
    <w:rsid w:val="00E40C67"/>
    <w:rsid w:val="00E55444"/>
    <w:rsid w:val="00E7173A"/>
    <w:rsid w:val="00E80933"/>
    <w:rsid w:val="00E83736"/>
    <w:rsid w:val="00E962C5"/>
    <w:rsid w:val="00EA0D7A"/>
    <w:rsid w:val="00EC091D"/>
    <w:rsid w:val="00EC2F6A"/>
    <w:rsid w:val="00EC48E4"/>
    <w:rsid w:val="00ED3850"/>
    <w:rsid w:val="00ED412F"/>
    <w:rsid w:val="00ED4F43"/>
    <w:rsid w:val="00ED65E6"/>
    <w:rsid w:val="00ED7717"/>
    <w:rsid w:val="00EE12A8"/>
    <w:rsid w:val="00EF056F"/>
    <w:rsid w:val="00EF6D1B"/>
    <w:rsid w:val="00EF74D1"/>
    <w:rsid w:val="00F01329"/>
    <w:rsid w:val="00F07C92"/>
    <w:rsid w:val="00F10222"/>
    <w:rsid w:val="00F13B08"/>
    <w:rsid w:val="00F23A62"/>
    <w:rsid w:val="00F332F2"/>
    <w:rsid w:val="00F35E8F"/>
    <w:rsid w:val="00F52BBA"/>
    <w:rsid w:val="00F54CB1"/>
    <w:rsid w:val="00F81187"/>
    <w:rsid w:val="00F9158D"/>
    <w:rsid w:val="00FB0330"/>
    <w:rsid w:val="00FB2049"/>
    <w:rsid w:val="00FC005D"/>
    <w:rsid w:val="00FD45B9"/>
    <w:rsid w:val="00FE314B"/>
    <w:rsid w:val="00FF245F"/>
    <w:rsid w:val="00FF27A3"/>
    <w:rsid w:val="00FF2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DB"/>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5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1">
    <w:name w:val="Unresolved Mention1"/>
    <w:basedOn w:val="DefaultParagraphFont"/>
    <w:uiPriority w:val="99"/>
    <w:semiHidden/>
    <w:unhideWhenUsed/>
    <w:rsid w:val="00121DDE"/>
    <w:rPr>
      <w:color w:val="605E5C"/>
      <w:shd w:val="clear" w:color="auto" w:fill="E1DFDD"/>
    </w:rPr>
  </w:style>
  <w:style w:type="character" w:styleId="PlaceholderText">
    <w:name w:val="Placeholder Text"/>
    <w:basedOn w:val="DefaultParagraphFont"/>
    <w:uiPriority w:val="99"/>
    <w:semiHidden/>
    <w:rsid w:val="006E26D1"/>
    <w:rPr>
      <w:color w:val="666666"/>
    </w:rPr>
  </w:style>
  <w:style w:type="character" w:customStyle="1" w:styleId="UnresolvedMention2">
    <w:name w:val="Unresolved Mention2"/>
    <w:basedOn w:val="DefaultParagraphFont"/>
    <w:uiPriority w:val="99"/>
    <w:semiHidden/>
    <w:unhideWhenUsed/>
    <w:rsid w:val="00BB0161"/>
    <w:rPr>
      <w:color w:val="605E5C"/>
      <w:shd w:val="clear" w:color="auto" w:fill="E1DFDD"/>
    </w:rPr>
  </w:style>
  <w:style w:type="character" w:customStyle="1" w:styleId="UnresolvedMention">
    <w:name w:val="Unresolved Mention"/>
    <w:basedOn w:val="DefaultParagraphFont"/>
    <w:uiPriority w:val="99"/>
    <w:semiHidden/>
    <w:unhideWhenUsed/>
    <w:rsid w:val="001D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2290">
      <w:bodyDiv w:val="1"/>
      <w:marLeft w:val="0"/>
      <w:marRight w:val="0"/>
      <w:marTop w:val="0"/>
      <w:marBottom w:val="0"/>
      <w:divBdr>
        <w:top w:val="none" w:sz="0" w:space="0" w:color="auto"/>
        <w:left w:val="none" w:sz="0" w:space="0" w:color="auto"/>
        <w:bottom w:val="none" w:sz="0" w:space="0" w:color="auto"/>
        <w:right w:val="none" w:sz="0" w:space="0" w:color="auto"/>
      </w:divBdr>
      <w:divsChild>
        <w:div w:id="1698891886">
          <w:marLeft w:val="0"/>
          <w:marRight w:val="0"/>
          <w:marTop w:val="0"/>
          <w:marBottom w:val="0"/>
          <w:divBdr>
            <w:top w:val="none" w:sz="0" w:space="0" w:color="auto"/>
            <w:left w:val="none" w:sz="0" w:space="0" w:color="auto"/>
            <w:bottom w:val="none" w:sz="0" w:space="0" w:color="auto"/>
            <w:right w:val="none" w:sz="0" w:space="0" w:color="auto"/>
          </w:divBdr>
        </w:div>
        <w:div w:id="1846943781">
          <w:marLeft w:val="0"/>
          <w:marRight w:val="0"/>
          <w:marTop w:val="0"/>
          <w:marBottom w:val="0"/>
          <w:divBdr>
            <w:top w:val="none" w:sz="0" w:space="0" w:color="auto"/>
            <w:left w:val="none" w:sz="0" w:space="0" w:color="auto"/>
            <w:bottom w:val="none" w:sz="0" w:space="0" w:color="auto"/>
            <w:right w:val="none" w:sz="0" w:space="0" w:color="auto"/>
          </w:divBdr>
        </w:div>
        <w:div w:id="1074278342">
          <w:marLeft w:val="0"/>
          <w:marRight w:val="0"/>
          <w:marTop w:val="0"/>
          <w:marBottom w:val="0"/>
          <w:divBdr>
            <w:top w:val="none" w:sz="0" w:space="0" w:color="auto"/>
            <w:left w:val="none" w:sz="0" w:space="0" w:color="auto"/>
            <w:bottom w:val="none" w:sz="0" w:space="0" w:color="auto"/>
            <w:right w:val="none" w:sz="0" w:space="0" w:color="auto"/>
          </w:divBdr>
        </w:div>
        <w:div w:id="1437291863">
          <w:marLeft w:val="0"/>
          <w:marRight w:val="0"/>
          <w:marTop w:val="0"/>
          <w:marBottom w:val="0"/>
          <w:divBdr>
            <w:top w:val="none" w:sz="0" w:space="0" w:color="auto"/>
            <w:left w:val="none" w:sz="0" w:space="0" w:color="auto"/>
            <w:bottom w:val="none" w:sz="0" w:space="0" w:color="auto"/>
            <w:right w:val="none" w:sz="0" w:space="0" w:color="auto"/>
          </w:divBdr>
        </w:div>
        <w:div w:id="395475558">
          <w:marLeft w:val="0"/>
          <w:marRight w:val="0"/>
          <w:marTop w:val="0"/>
          <w:marBottom w:val="0"/>
          <w:divBdr>
            <w:top w:val="none" w:sz="0" w:space="0" w:color="auto"/>
            <w:left w:val="none" w:sz="0" w:space="0" w:color="auto"/>
            <w:bottom w:val="none" w:sz="0" w:space="0" w:color="auto"/>
            <w:right w:val="none" w:sz="0" w:space="0" w:color="auto"/>
          </w:divBdr>
        </w:div>
        <w:div w:id="1141918265">
          <w:marLeft w:val="0"/>
          <w:marRight w:val="0"/>
          <w:marTop w:val="0"/>
          <w:marBottom w:val="0"/>
          <w:divBdr>
            <w:top w:val="none" w:sz="0" w:space="0" w:color="auto"/>
            <w:left w:val="none" w:sz="0" w:space="0" w:color="auto"/>
            <w:bottom w:val="none" w:sz="0" w:space="0" w:color="auto"/>
            <w:right w:val="none" w:sz="0" w:space="0" w:color="auto"/>
          </w:divBdr>
        </w:div>
      </w:divsChild>
    </w:div>
    <w:div w:id="88937808">
      <w:bodyDiv w:val="1"/>
      <w:marLeft w:val="0"/>
      <w:marRight w:val="0"/>
      <w:marTop w:val="0"/>
      <w:marBottom w:val="0"/>
      <w:divBdr>
        <w:top w:val="none" w:sz="0" w:space="0" w:color="auto"/>
        <w:left w:val="none" w:sz="0" w:space="0" w:color="auto"/>
        <w:bottom w:val="none" w:sz="0" w:space="0" w:color="auto"/>
        <w:right w:val="none" w:sz="0" w:space="0" w:color="auto"/>
      </w:divBdr>
    </w:div>
    <w:div w:id="112025128">
      <w:bodyDiv w:val="1"/>
      <w:marLeft w:val="0"/>
      <w:marRight w:val="0"/>
      <w:marTop w:val="0"/>
      <w:marBottom w:val="0"/>
      <w:divBdr>
        <w:top w:val="none" w:sz="0" w:space="0" w:color="auto"/>
        <w:left w:val="none" w:sz="0" w:space="0" w:color="auto"/>
        <w:bottom w:val="none" w:sz="0" w:space="0" w:color="auto"/>
        <w:right w:val="none" w:sz="0" w:space="0" w:color="auto"/>
      </w:divBdr>
    </w:div>
    <w:div w:id="114521755">
      <w:bodyDiv w:val="1"/>
      <w:marLeft w:val="0"/>
      <w:marRight w:val="0"/>
      <w:marTop w:val="0"/>
      <w:marBottom w:val="0"/>
      <w:divBdr>
        <w:top w:val="none" w:sz="0" w:space="0" w:color="auto"/>
        <w:left w:val="none" w:sz="0" w:space="0" w:color="auto"/>
        <w:bottom w:val="none" w:sz="0" w:space="0" w:color="auto"/>
        <w:right w:val="none" w:sz="0" w:space="0" w:color="auto"/>
      </w:divBdr>
    </w:div>
    <w:div w:id="198671306">
      <w:bodyDiv w:val="1"/>
      <w:marLeft w:val="0"/>
      <w:marRight w:val="0"/>
      <w:marTop w:val="0"/>
      <w:marBottom w:val="0"/>
      <w:divBdr>
        <w:top w:val="none" w:sz="0" w:space="0" w:color="auto"/>
        <w:left w:val="none" w:sz="0" w:space="0" w:color="auto"/>
        <w:bottom w:val="none" w:sz="0" w:space="0" w:color="auto"/>
        <w:right w:val="none" w:sz="0" w:space="0" w:color="auto"/>
      </w:divBdr>
    </w:div>
    <w:div w:id="202059113">
      <w:bodyDiv w:val="1"/>
      <w:marLeft w:val="0"/>
      <w:marRight w:val="0"/>
      <w:marTop w:val="0"/>
      <w:marBottom w:val="0"/>
      <w:divBdr>
        <w:top w:val="none" w:sz="0" w:space="0" w:color="auto"/>
        <w:left w:val="none" w:sz="0" w:space="0" w:color="auto"/>
        <w:bottom w:val="none" w:sz="0" w:space="0" w:color="auto"/>
        <w:right w:val="none" w:sz="0" w:space="0" w:color="auto"/>
      </w:divBdr>
      <w:divsChild>
        <w:div w:id="1861162532">
          <w:marLeft w:val="0"/>
          <w:marRight w:val="0"/>
          <w:marTop w:val="0"/>
          <w:marBottom w:val="0"/>
          <w:divBdr>
            <w:top w:val="none" w:sz="0" w:space="0" w:color="auto"/>
            <w:left w:val="none" w:sz="0" w:space="0" w:color="auto"/>
            <w:bottom w:val="none" w:sz="0" w:space="0" w:color="auto"/>
            <w:right w:val="none" w:sz="0" w:space="0" w:color="auto"/>
          </w:divBdr>
        </w:div>
        <w:div w:id="1937790105">
          <w:marLeft w:val="0"/>
          <w:marRight w:val="0"/>
          <w:marTop w:val="0"/>
          <w:marBottom w:val="0"/>
          <w:divBdr>
            <w:top w:val="none" w:sz="0" w:space="0" w:color="auto"/>
            <w:left w:val="none" w:sz="0" w:space="0" w:color="auto"/>
            <w:bottom w:val="none" w:sz="0" w:space="0" w:color="auto"/>
            <w:right w:val="none" w:sz="0" w:space="0" w:color="auto"/>
          </w:divBdr>
        </w:div>
      </w:divsChild>
    </w:div>
    <w:div w:id="213739213">
      <w:bodyDiv w:val="1"/>
      <w:marLeft w:val="0"/>
      <w:marRight w:val="0"/>
      <w:marTop w:val="0"/>
      <w:marBottom w:val="0"/>
      <w:divBdr>
        <w:top w:val="none" w:sz="0" w:space="0" w:color="auto"/>
        <w:left w:val="none" w:sz="0" w:space="0" w:color="auto"/>
        <w:bottom w:val="none" w:sz="0" w:space="0" w:color="auto"/>
        <w:right w:val="none" w:sz="0" w:space="0" w:color="auto"/>
      </w:divBdr>
      <w:divsChild>
        <w:div w:id="379745941">
          <w:marLeft w:val="0"/>
          <w:marRight w:val="0"/>
          <w:marTop w:val="0"/>
          <w:marBottom w:val="0"/>
          <w:divBdr>
            <w:top w:val="none" w:sz="0" w:space="0" w:color="auto"/>
            <w:left w:val="none" w:sz="0" w:space="0" w:color="auto"/>
            <w:bottom w:val="none" w:sz="0" w:space="0" w:color="auto"/>
            <w:right w:val="none" w:sz="0" w:space="0" w:color="auto"/>
          </w:divBdr>
        </w:div>
        <w:div w:id="1329287496">
          <w:marLeft w:val="0"/>
          <w:marRight w:val="0"/>
          <w:marTop w:val="0"/>
          <w:marBottom w:val="0"/>
          <w:divBdr>
            <w:top w:val="none" w:sz="0" w:space="0" w:color="auto"/>
            <w:left w:val="none" w:sz="0" w:space="0" w:color="auto"/>
            <w:bottom w:val="none" w:sz="0" w:space="0" w:color="auto"/>
            <w:right w:val="none" w:sz="0" w:space="0" w:color="auto"/>
          </w:divBdr>
        </w:div>
        <w:div w:id="1295410269">
          <w:marLeft w:val="0"/>
          <w:marRight w:val="0"/>
          <w:marTop w:val="0"/>
          <w:marBottom w:val="0"/>
          <w:divBdr>
            <w:top w:val="none" w:sz="0" w:space="0" w:color="auto"/>
            <w:left w:val="none" w:sz="0" w:space="0" w:color="auto"/>
            <w:bottom w:val="none" w:sz="0" w:space="0" w:color="auto"/>
            <w:right w:val="none" w:sz="0" w:space="0" w:color="auto"/>
          </w:divBdr>
        </w:div>
        <w:div w:id="2064060435">
          <w:marLeft w:val="0"/>
          <w:marRight w:val="0"/>
          <w:marTop w:val="0"/>
          <w:marBottom w:val="0"/>
          <w:divBdr>
            <w:top w:val="none" w:sz="0" w:space="0" w:color="auto"/>
            <w:left w:val="none" w:sz="0" w:space="0" w:color="auto"/>
            <w:bottom w:val="none" w:sz="0" w:space="0" w:color="auto"/>
            <w:right w:val="none" w:sz="0" w:space="0" w:color="auto"/>
          </w:divBdr>
        </w:div>
        <w:div w:id="529881084">
          <w:marLeft w:val="0"/>
          <w:marRight w:val="0"/>
          <w:marTop w:val="0"/>
          <w:marBottom w:val="0"/>
          <w:divBdr>
            <w:top w:val="none" w:sz="0" w:space="0" w:color="auto"/>
            <w:left w:val="none" w:sz="0" w:space="0" w:color="auto"/>
            <w:bottom w:val="none" w:sz="0" w:space="0" w:color="auto"/>
            <w:right w:val="none" w:sz="0" w:space="0" w:color="auto"/>
          </w:divBdr>
        </w:div>
        <w:div w:id="1378161902">
          <w:marLeft w:val="0"/>
          <w:marRight w:val="0"/>
          <w:marTop w:val="0"/>
          <w:marBottom w:val="0"/>
          <w:divBdr>
            <w:top w:val="none" w:sz="0" w:space="0" w:color="auto"/>
            <w:left w:val="none" w:sz="0" w:space="0" w:color="auto"/>
            <w:bottom w:val="none" w:sz="0" w:space="0" w:color="auto"/>
            <w:right w:val="none" w:sz="0" w:space="0" w:color="auto"/>
          </w:divBdr>
        </w:div>
      </w:divsChild>
    </w:div>
    <w:div w:id="259264323">
      <w:bodyDiv w:val="1"/>
      <w:marLeft w:val="0"/>
      <w:marRight w:val="0"/>
      <w:marTop w:val="0"/>
      <w:marBottom w:val="0"/>
      <w:divBdr>
        <w:top w:val="none" w:sz="0" w:space="0" w:color="auto"/>
        <w:left w:val="none" w:sz="0" w:space="0" w:color="auto"/>
        <w:bottom w:val="none" w:sz="0" w:space="0" w:color="auto"/>
        <w:right w:val="none" w:sz="0" w:space="0" w:color="auto"/>
      </w:divBdr>
      <w:divsChild>
        <w:div w:id="494802797">
          <w:marLeft w:val="0"/>
          <w:marRight w:val="0"/>
          <w:marTop w:val="0"/>
          <w:marBottom w:val="0"/>
          <w:divBdr>
            <w:top w:val="none" w:sz="0" w:space="0" w:color="auto"/>
            <w:left w:val="none" w:sz="0" w:space="0" w:color="auto"/>
            <w:bottom w:val="none" w:sz="0" w:space="0" w:color="auto"/>
            <w:right w:val="none" w:sz="0" w:space="0" w:color="auto"/>
          </w:divBdr>
        </w:div>
        <w:div w:id="1207571515">
          <w:marLeft w:val="0"/>
          <w:marRight w:val="0"/>
          <w:marTop w:val="0"/>
          <w:marBottom w:val="0"/>
          <w:divBdr>
            <w:top w:val="none" w:sz="0" w:space="0" w:color="auto"/>
            <w:left w:val="none" w:sz="0" w:space="0" w:color="auto"/>
            <w:bottom w:val="none" w:sz="0" w:space="0" w:color="auto"/>
            <w:right w:val="none" w:sz="0" w:space="0" w:color="auto"/>
          </w:divBdr>
        </w:div>
        <w:div w:id="388192737">
          <w:marLeft w:val="0"/>
          <w:marRight w:val="0"/>
          <w:marTop w:val="0"/>
          <w:marBottom w:val="0"/>
          <w:divBdr>
            <w:top w:val="none" w:sz="0" w:space="0" w:color="auto"/>
            <w:left w:val="none" w:sz="0" w:space="0" w:color="auto"/>
            <w:bottom w:val="none" w:sz="0" w:space="0" w:color="auto"/>
            <w:right w:val="none" w:sz="0" w:space="0" w:color="auto"/>
          </w:divBdr>
        </w:div>
        <w:div w:id="944576367">
          <w:marLeft w:val="0"/>
          <w:marRight w:val="0"/>
          <w:marTop w:val="0"/>
          <w:marBottom w:val="0"/>
          <w:divBdr>
            <w:top w:val="none" w:sz="0" w:space="0" w:color="auto"/>
            <w:left w:val="none" w:sz="0" w:space="0" w:color="auto"/>
            <w:bottom w:val="none" w:sz="0" w:space="0" w:color="auto"/>
            <w:right w:val="none" w:sz="0" w:space="0" w:color="auto"/>
          </w:divBdr>
        </w:div>
      </w:divsChild>
    </w:div>
    <w:div w:id="300158391">
      <w:bodyDiv w:val="1"/>
      <w:marLeft w:val="0"/>
      <w:marRight w:val="0"/>
      <w:marTop w:val="0"/>
      <w:marBottom w:val="0"/>
      <w:divBdr>
        <w:top w:val="none" w:sz="0" w:space="0" w:color="auto"/>
        <w:left w:val="none" w:sz="0" w:space="0" w:color="auto"/>
        <w:bottom w:val="none" w:sz="0" w:space="0" w:color="auto"/>
        <w:right w:val="none" w:sz="0" w:space="0" w:color="auto"/>
      </w:divBdr>
    </w:div>
    <w:div w:id="346441806">
      <w:bodyDiv w:val="1"/>
      <w:marLeft w:val="0"/>
      <w:marRight w:val="0"/>
      <w:marTop w:val="0"/>
      <w:marBottom w:val="0"/>
      <w:divBdr>
        <w:top w:val="none" w:sz="0" w:space="0" w:color="auto"/>
        <w:left w:val="none" w:sz="0" w:space="0" w:color="auto"/>
        <w:bottom w:val="none" w:sz="0" w:space="0" w:color="auto"/>
        <w:right w:val="none" w:sz="0" w:space="0" w:color="auto"/>
      </w:divBdr>
    </w:div>
    <w:div w:id="410590431">
      <w:bodyDiv w:val="1"/>
      <w:marLeft w:val="0"/>
      <w:marRight w:val="0"/>
      <w:marTop w:val="0"/>
      <w:marBottom w:val="0"/>
      <w:divBdr>
        <w:top w:val="none" w:sz="0" w:space="0" w:color="auto"/>
        <w:left w:val="none" w:sz="0" w:space="0" w:color="auto"/>
        <w:bottom w:val="none" w:sz="0" w:space="0" w:color="auto"/>
        <w:right w:val="none" w:sz="0" w:space="0" w:color="auto"/>
      </w:divBdr>
      <w:divsChild>
        <w:div w:id="1300382648">
          <w:marLeft w:val="0"/>
          <w:marRight w:val="0"/>
          <w:marTop w:val="0"/>
          <w:marBottom w:val="0"/>
          <w:divBdr>
            <w:top w:val="none" w:sz="0" w:space="0" w:color="auto"/>
            <w:left w:val="none" w:sz="0" w:space="0" w:color="auto"/>
            <w:bottom w:val="none" w:sz="0" w:space="0" w:color="auto"/>
            <w:right w:val="none" w:sz="0" w:space="0" w:color="auto"/>
          </w:divBdr>
        </w:div>
        <w:div w:id="1932464260">
          <w:marLeft w:val="0"/>
          <w:marRight w:val="0"/>
          <w:marTop w:val="0"/>
          <w:marBottom w:val="0"/>
          <w:divBdr>
            <w:top w:val="none" w:sz="0" w:space="0" w:color="auto"/>
            <w:left w:val="none" w:sz="0" w:space="0" w:color="auto"/>
            <w:bottom w:val="none" w:sz="0" w:space="0" w:color="auto"/>
            <w:right w:val="none" w:sz="0" w:space="0" w:color="auto"/>
          </w:divBdr>
        </w:div>
      </w:divsChild>
    </w:div>
    <w:div w:id="490215240">
      <w:bodyDiv w:val="1"/>
      <w:marLeft w:val="0"/>
      <w:marRight w:val="0"/>
      <w:marTop w:val="0"/>
      <w:marBottom w:val="0"/>
      <w:divBdr>
        <w:top w:val="none" w:sz="0" w:space="0" w:color="auto"/>
        <w:left w:val="none" w:sz="0" w:space="0" w:color="auto"/>
        <w:bottom w:val="none" w:sz="0" w:space="0" w:color="auto"/>
        <w:right w:val="none" w:sz="0" w:space="0" w:color="auto"/>
      </w:divBdr>
      <w:divsChild>
        <w:div w:id="798575233">
          <w:marLeft w:val="0"/>
          <w:marRight w:val="0"/>
          <w:marTop w:val="0"/>
          <w:marBottom w:val="0"/>
          <w:divBdr>
            <w:top w:val="none" w:sz="0" w:space="0" w:color="auto"/>
            <w:left w:val="none" w:sz="0" w:space="0" w:color="auto"/>
            <w:bottom w:val="none" w:sz="0" w:space="0" w:color="auto"/>
            <w:right w:val="none" w:sz="0" w:space="0" w:color="auto"/>
          </w:divBdr>
        </w:div>
        <w:div w:id="1238789031">
          <w:marLeft w:val="0"/>
          <w:marRight w:val="0"/>
          <w:marTop w:val="0"/>
          <w:marBottom w:val="0"/>
          <w:divBdr>
            <w:top w:val="none" w:sz="0" w:space="0" w:color="auto"/>
            <w:left w:val="none" w:sz="0" w:space="0" w:color="auto"/>
            <w:bottom w:val="none" w:sz="0" w:space="0" w:color="auto"/>
            <w:right w:val="none" w:sz="0" w:space="0" w:color="auto"/>
          </w:divBdr>
        </w:div>
      </w:divsChild>
    </w:div>
    <w:div w:id="757554535">
      <w:bodyDiv w:val="1"/>
      <w:marLeft w:val="0"/>
      <w:marRight w:val="0"/>
      <w:marTop w:val="0"/>
      <w:marBottom w:val="0"/>
      <w:divBdr>
        <w:top w:val="none" w:sz="0" w:space="0" w:color="auto"/>
        <w:left w:val="none" w:sz="0" w:space="0" w:color="auto"/>
        <w:bottom w:val="none" w:sz="0" w:space="0" w:color="auto"/>
        <w:right w:val="none" w:sz="0" w:space="0" w:color="auto"/>
      </w:divBdr>
      <w:divsChild>
        <w:div w:id="865753850">
          <w:marLeft w:val="0"/>
          <w:marRight w:val="0"/>
          <w:marTop w:val="0"/>
          <w:marBottom w:val="0"/>
          <w:divBdr>
            <w:top w:val="none" w:sz="0" w:space="0" w:color="auto"/>
            <w:left w:val="none" w:sz="0" w:space="0" w:color="auto"/>
            <w:bottom w:val="none" w:sz="0" w:space="0" w:color="auto"/>
            <w:right w:val="none" w:sz="0" w:space="0" w:color="auto"/>
          </w:divBdr>
        </w:div>
        <w:div w:id="1319724593">
          <w:marLeft w:val="0"/>
          <w:marRight w:val="0"/>
          <w:marTop w:val="0"/>
          <w:marBottom w:val="0"/>
          <w:divBdr>
            <w:top w:val="none" w:sz="0" w:space="0" w:color="auto"/>
            <w:left w:val="none" w:sz="0" w:space="0" w:color="auto"/>
            <w:bottom w:val="none" w:sz="0" w:space="0" w:color="auto"/>
            <w:right w:val="none" w:sz="0" w:space="0" w:color="auto"/>
          </w:divBdr>
        </w:div>
        <w:div w:id="188377281">
          <w:marLeft w:val="0"/>
          <w:marRight w:val="0"/>
          <w:marTop w:val="0"/>
          <w:marBottom w:val="0"/>
          <w:divBdr>
            <w:top w:val="none" w:sz="0" w:space="0" w:color="auto"/>
            <w:left w:val="none" w:sz="0" w:space="0" w:color="auto"/>
            <w:bottom w:val="none" w:sz="0" w:space="0" w:color="auto"/>
            <w:right w:val="none" w:sz="0" w:space="0" w:color="auto"/>
          </w:divBdr>
        </w:div>
        <w:div w:id="1431778072">
          <w:marLeft w:val="0"/>
          <w:marRight w:val="0"/>
          <w:marTop w:val="0"/>
          <w:marBottom w:val="0"/>
          <w:divBdr>
            <w:top w:val="none" w:sz="0" w:space="0" w:color="auto"/>
            <w:left w:val="none" w:sz="0" w:space="0" w:color="auto"/>
            <w:bottom w:val="none" w:sz="0" w:space="0" w:color="auto"/>
            <w:right w:val="none" w:sz="0" w:space="0" w:color="auto"/>
          </w:divBdr>
        </w:div>
      </w:divsChild>
    </w:div>
    <w:div w:id="775443979">
      <w:bodyDiv w:val="1"/>
      <w:marLeft w:val="0"/>
      <w:marRight w:val="0"/>
      <w:marTop w:val="0"/>
      <w:marBottom w:val="0"/>
      <w:divBdr>
        <w:top w:val="none" w:sz="0" w:space="0" w:color="auto"/>
        <w:left w:val="none" w:sz="0" w:space="0" w:color="auto"/>
        <w:bottom w:val="none" w:sz="0" w:space="0" w:color="auto"/>
        <w:right w:val="none" w:sz="0" w:space="0" w:color="auto"/>
      </w:divBdr>
    </w:div>
    <w:div w:id="886140396">
      <w:bodyDiv w:val="1"/>
      <w:marLeft w:val="0"/>
      <w:marRight w:val="0"/>
      <w:marTop w:val="0"/>
      <w:marBottom w:val="0"/>
      <w:divBdr>
        <w:top w:val="none" w:sz="0" w:space="0" w:color="auto"/>
        <w:left w:val="none" w:sz="0" w:space="0" w:color="auto"/>
        <w:bottom w:val="none" w:sz="0" w:space="0" w:color="auto"/>
        <w:right w:val="none" w:sz="0" w:space="0" w:color="auto"/>
      </w:divBdr>
    </w:div>
    <w:div w:id="934630087">
      <w:bodyDiv w:val="1"/>
      <w:marLeft w:val="0"/>
      <w:marRight w:val="0"/>
      <w:marTop w:val="0"/>
      <w:marBottom w:val="0"/>
      <w:divBdr>
        <w:top w:val="none" w:sz="0" w:space="0" w:color="auto"/>
        <w:left w:val="none" w:sz="0" w:space="0" w:color="auto"/>
        <w:bottom w:val="none" w:sz="0" w:space="0" w:color="auto"/>
        <w:right w:val="none" w:sz="0" w:space="0" w:color="auto"/>
      </w:divBdr>
    </w:div>
    <w:div w:id="944657769">
      <w:bodyDiv w:val="1"/>
      <w:marLeft w:val="0"/>
      <w:marRight w:val="0"/>
      <w:marTop w:val="0"/>
      <w:marBottom w:val="0"/>
      <w:divBdr>
        <w:top w:val="none" w:sz="0" w:space="0" w:color="auto"/>
        <w:left w:val="none" w:sz="0" w:space="0" w:color="auto"/>
        <w:bottom w:val="none" w:sz="0" w:space="0" w:color="auto"/>
        <w:right w:val="none" w:sz="0" w:space="0" w:color="auto"/>
      </w:divBdr>
      <w:divsChild>
        <w:div w:id="76633725">
          <w:marLeft w:val="0"/>
          <w:marRight w:val="0"/>
          <w:marTop w:val="0"/>
          <w:marBottom w:val="0"/>
          <w:divBdr>
            <w:top w:val="none" w:sz="0" w:space="0" w:color="auto"/>
            <w:left w:val="none" w:sz="0" w:space="0" w:color="auto"/>
            <w:bottom w:val="none" w:sz="0" w:space="0" w:color="auto"/>
            <w:right w:val="none" w:sz="0" w:space="0" w:color="auto"/>
          </w:divBdr>
        </w:div>
        <w:div w:id="306397941">
          <w:marLeft w:val="0"/>
          <w:marRight w:val="0"/>
          <w:marTop w:val="0"/>
          <w:marBottom w:val="0"/>
          <w:divBdr>
            <w:top w:val="none" w:sz="0" w:space="0" w:color="auto"/>
            <w:left w:val="none" w:sz="0" w:space="0" w:color="auto"/>
            <w:bottom w:val="none" w:sz="0" w:space="0" w:color="auto"/>
            <w:right w:val="none" w:sz="0" w:space="0" w:color="auto"/>
          </w:divBdr>
        </w:div>
        <w:div w:id="1416168818">
          <w:marLeft w:val="0"/>
          <w:marRight w:val="0"/>
          <w:marTop w:val="0"/>
          <w:marBottom w:val="0"/>
          <w:divBdr>
            <w:top w:val="none" w:sz="0" w:space="0" w:color="auto"/>
            <w:left w:val="none" w:sz="0" w:space="0" w:color="auto"/>
            <w:bottom w:val="none" w:sz="0" w:space="0" w:color="auto"/>
            <w:right w:val="none" w:sz="0" w:space="0" w:color="auto"/>
          </w:divBdr>
        </w:div>
        <w:div w:id="1726684294">
          <w:marLeft w:val="0"/>
          <w:marRight w:val="0"/>
          <w:marTop w:val="0"/>
          <w:marBottom w:val="0"/>
          <w:divBdr>
            <w:top w:val="none" w:sz="0" w:space="0" w:color="auto"/>
            <w:left w:val="none" w:sz="0" w:space="0" w:color="auto"/>
            <w:bottom w:val="none" w:sz="0" w:space="0" w:color="auto"/>
            <w:right w:val="none" w:sz="0" w:space="0" w:color="auto"/>
          </w:divBdr>
        </w:div>
        <w:div w:id="1729457995">
          <w:marLeft w:val="0"/>
          <w:marRight w:val="0"/>
          <w:marTop w:val="0"/>
          <w:marBottom w:val="0"/>
          <w:divBdr>
            <w:top w:val="none" w:sz="0" w:space="0" w:color="auto"/>
            <w:left w:val="none" w:sz="0" w:space="0" w:color="auto"/>
            <w:bottom w:val="none" w:sz="0" w:space="0" w:color="auto"/>
            <w:right w:val="none" w:sz="0" w:space="0" w:color="auto"/>
          </w:divBdr>
        </w:div>
        <w:div w:id="802116061">
          <w:marLeft w:val="0"/>
          <w:marRight w:val="0"/>
          <w:marTop w:val="0"/>
          <w:marBottom w:val="0"/>
          <w:divBdr>
            <w:top w:val="none" w:sz="0" w:space="0" w:color="auto"/>
            <w:left w:val="none" w:sz="0" w:space="0" w:color="auto"/>
            <w:bottom w:val="none" w:sz="0" w:space="0" w:color="auto"/>
            <w:right w:val="none" w:sz="0" w:space="0" w:color="auto"/>
          </w:divBdr>
        </w:div>
      </w:divsChild>
    </w:div>
    <w:div w:id="1008141092">
      <w:bodyDiv w:val="1"/>
      <w:marLeft w:val="0"/>
      <w:marRight w:val="0"/>
      <w:marTop w:val="0"/>
      <w:marBottom w:val="0"/>
      <w:divBdr>
        <w:top w:val="none" w:sz="0" w:space="0" w:color="auto"/>
        <w:left w:val="none" w:sz="0" w:space="0" w:color="auto"/>
        <w:bottom w:val="none" w:sz="0" w:space="0" w:color="auto"/>
        <w:right w:val="none" w:sz="0" w:space="0" w:color="auto"/>
      </w:divBdr>
    </w:div>
    <w:div w:id="1025978457">
      <w:bodyDiv w:val="1"/>
      <w:marLeft w:val="0"/>
      <w:marRight w:val="0"/>
      <w:marTop w:val="0"/>
      <w:marBottom w:val="0"/>
      <w:divBdr>
        <w:top w:val="none" w:sz="0" w:space="0" w:color="auto"/>
        <w:left w:val="none" w:sz="0" w:space="0" w:color="auto"/>
        <w:bottom w:val="none" w:sz="0" w:space="0" w:color="auto"/>
        <w:right w:val="none" w:sz="0" w:space="0" w:color="auto"/>
      </w:divBdr>
    </w:div>
    <w:div w:id="1089154301">
      <w:bodyDiv w:val="1"/>
      <w:marLeft w:val="0"/>
      <w:marRight w:val="0"/>
      <w:marTop w:val="0"/>
      <w:marBottom w:val="0"/>
      <w:divBdr>
        <w:top w:val="none" w:sz="0" w:space="0" w:color="auto"/>
        <w:left w:val="none" w:sz="0" w:space="0" w:color="auto"/>
        <w:bottom w:val="none" w:sz="0" w:space="0" w:color="auto"/>
        <w:right w:val="none" w:sz="0" w:space="0" w:color="auto"/>
      </w:divBdr>
      <w:divsChild>
        <w:div w:id="869414882">
          <w:marLeft w:val="0"/>
          <w:marRight w:val="0"/>
          <w:marTop w:val="0"/>
          <w:marBottom w:val="0"/>
          <w:divBdr>
            <w:top w:val="none" w:sz="0" w:space="0" w:color="auto"/>
            <w:left w:val="none" w:sz="0" w:space="0" w:color="auto"/>
            <w:bottom w:val="none" w:sz="0" w:space="0" w:color="auto"/>
            <w:right w:val="none" w:sz="0" w:space="0" w:color="auto"/>
          </w:divBdr>
        </w:div>
        <w:div w:id="1986929250">
          <w:marLeft w:val="0"/>
          <w:marRight w:val="0"/>
          <w:marTop w:val="0"/>
          <w:marBottom w:val="0"/>
          <w:divBdr>
            <w:top w:val="none" w:sz="0" w:space="0" w:color="auto"/>
            <w:left w:val="none" w:sz="0" w:space="0" w:color="auto"/>
            <w:bottom w:val="none" w:sz="0" w:space="0" w:color="auto"/>
            <w:right w:val="none" w:sz="0" w:space="0" w:color="auto"/>
          </w:divBdr>
        </w:div>
        <w:div w:id="496727587">
          <w:marLeft w:val="0"/>
          <w:marRight w:val="0"/>
          <w:marTop w:val="0"/>
          <w:marBottom w:val="0"/>
          <w:divBdr>
            <w:top w:val="none" w:sz="0" w:space="0" w:color="auto"/>
            <w:left w:val="none" w:sz="0" w:space="0" w:color="auto"/>
            <w:bottom w:val="none" w:sz="0" w:space="0" w:color="auto"/>
            <w:right w:val="none" w:sz="0" w:space="0" w:color="auto"/>
          </w:divBdr>
        </w:div>
      </w:divsChild>
    </w:div>
    <w:div w:id="1152916666">
      <w:bodyDiv w:val="1"/>
      <w:marLeft w:val="0"/>
      <w:marRight w:val="0"/>
      <w:marTop w:val="0"/>
      <w:marBottom w:val="0"/>
      <w:divBdr>
        <w:top w:val="none" w:sz="0" w:space="0" w:color="auto"/>
        <w:left w:val="none" w:sz="0" w:space="0" w:color="auto"/>
        <w:bottom w:val="none" w:sz="0" w:space="0" w:color="auto"/>
        <w:right w:val="none" w:sz="0" w:space="0" w:color="auto"/>
      </w:divBdr>
    </w:div>
    <w:div w:id="1208184424">
      <w:bodyDiv w:val="1"/>
      <w:marLeft w:val="0"/>
      <w:marRight w:val="0"/>
      <w:marTop w:val="0"/>
      <w:marBottom w:val="0"/>
      <w:divBdr>
        <w:top w:val="none" w:sz="0" w:space="0" w:color="auto"/>
        <w:left w:val="none" w:sz="0" w:space="0" w:color="auto"/>
        <w:bottom w:val="none" w:sz="0" w:space="0" w:color="auto"/>
        <w:right w:val="none" w:sz="0" w:space="0" w:color="auto"/>
      </w:divBdr>
    </w:div>
    <w:div w:id="1332636078">
      <w:bodyDiv w:val="1"/>
      <w:marLeft w:val="0"/>
      <w:marRight w:val="0"/>
      <w:marTop w:val="0"/>
      <w:marBottom w:val="0"/>
      <w:divBdr>
        <w:top w:val="none" w:sz="0" w:space="0" w:color="auto"/>
        <w:left w:val="none" w:sz="0" w:space="0" w:color="auto"/>
        <w:bottom w:val="none" w:sz="0" w:space="0" w:color="auto"/>
        <w:right w:val="none" w:sz="0" w:space="0" w:color="auto"/>
      </w:divBdr>
      <w:divsChild>
        <w:div w:id="87627469">
          <w:marLeft w:val="0"/>
          <w:marRight w:val="0"/>
          <w:marTop w:val="0"/>
          <w:marBottom w:val="0"/>
          <w:divBdr>
            <w:top w:val="none" w:sz="0" w:space="0" w:color="auto"/>
            <w:left w:val="none" w:sz="0" w:space="0" w:color="auto"/>
            <w:bottom w:val="none" w:sz="0" w:space="0" w:color="auto"/>
            <w:right w:val="none" w:sz="0" w:space="0" w:color="auto"/>
          </w:divBdr>
        </w:div>
        <w:div w:id="1004894175">
          <w:marLeft w:val="0"/>
          <w:marRight w:val="0"/>
          <w:marTop w:val="0"/>
          <w:marBottom w:val="0"/>
          <w:divBdr>
            <w:top w:val="none" w:sz="0" w:space="0" w:color="auto"/>
            <w:left w:val="none" w:sz="0" w:space="0" w:color="auto"/>
            <w:bottom w:val="none" w:sz="0" w:space="0" w:color="auto"/>
            <w:right w:val="none" w:sz="0" w:space="0" w:color="auto"/>
          </w:divBdr>
        </w:div>
        <w:div w:id="1275484335">
          <w:marLeft w:val="0"/>
          <w:marRight w:val="0"/>
          <w:marTop w:val="0"/>
          <w:marBottom w:val="0"/>
          <w:divBdr>
            <w:top w:val="none" w:sz="0" w:space="0" w:color="auto"/>
            <w:left w:val="none" w:sz="0" w:space="0" w:color="auto"/>
            <w:bottom w:val="none" w:sz="0" w:space="0" w:color="auto"/>
            <w:right w:val="none" w:sz="0" w:space="0" w:color="auto"/>
          </w:divBdr>
        </w:div>
        <w:div w:id="1716805261">
          <w:marLeft w:val="0"/>
          <w:marRight w:val="0"/>
          <w:marTop w:val="0"/>
          <w:marBottom w:val="0"/>
          <w:divBdr>
            <w:top w:val="none" w:sz="0" w:space="0" w:color="auto"/>
            <w:left w:val="none" w:sz="0" w:space="0" w:color="auto"/>
            <w:bottom w:val="none" w:sz="0" w:space="0" w:color="auto"/>
            <w:right w:val="none" w:sz="0" w:space="0" w:color="auto"/>
          </w:divBdr>
        </w:div>
        <w:div w:id="1919558132">
          <w:marLeft w:val="0"/>
          <w:marRight w:val="0"/>
          <w:marTop w:val="0"/>
          <w:marBottom w:val="0"/>
          <w:divBdr>
            <w:top w:val="none" w:sz="0" w:space="0" w:color="auto"/>
            <w:left w:val="none" w:sz="0" w:space="0" w:color="auto"/>
            <w:bottom w:val="none" w:sz="0" w:space="0" w:color="auto"/>
            <w:right w:val="none" w:sz="0" w:space="0" w:color="auto"/>
          </w:divBdr>
        </w:div>
        <w:div w:id="1857695769">
          <w:marLeft w:val="0"/>
          <w:marRight w:val="0"/>
          <w:marTop w:val="0"/>
          <w:marBottom w:val="0"/>
          <w:divBdr>
            <w:top w:val="none" w:sz="0" w:space="0" w:color="auto"/>
            <w:left w:val="none" w:sz="0" w:space="0" w:color="auto"/>
            <w:bottom w:val="none" w:sz="0" w:space="0" w:color="auto"/>
            <w:right w:val="none" w:sz="0" w:space="0" w:color="auto"/>
          </w:divBdr>
        </w:div>
      </w:divsChild>
    </w:div>
    <w:div w:id="1353409838">
      <w:bodyDiv w:val="1"/>
      <w:marLeft w:val="0"/>
      <w:marRight w:val="0"/>
      <w:marTop w:val="0"/>
      <w:marBottom w:val="0"/>
      <w:divBdr>
        <w:top w:val="none" w:sz="0" w:space="0" w:color="auto"/>
        <w:left w:val="none" w:sz="0" w:space="0" w:color="auto"/>
        <w:bottom w:val="none" w:sz="0" w:space="0" w:color="auto"/>
        <w:right w:val="none" w:sz="0" w:space="0" w:color="auto"/>
      </w:divBdr>
      <w:divsChild>
        <w:div w:id="365301374">
          <w:marLeft w:val="0"/>
          <w:marRight w:val="0"/>
          <w:marTop w:val="0"/>
          <w:marBottom w:val="0"/>
          <w:divBdr>
            <w:top w:val="none" w:sz="0" w:space="0" w:color="auto"/>
            <w:left w:val="none" w:sz="0" w:space="0" w:color="auto"/>
            <w:bottom w:val="none" w:sz="0" w:space="0" w:color="auto"/>
            <w:right w:val="none" w:sz="0" w:space="0" w:color="auto"/>
          </w:divBdr>
        </w:div>
        <w:div w:id="1998806395">
          <w:marLeft w:val="0"/>
          <w:marRight w:val="0"/>
          <w:marTop w:val="0"/>
          <w:marBottom w:val="0"/>
          <w:divBdr>
            <w:top w:val="none" w:sz="0" w:space="0" w:color="auto"/>
            <w:left w:val="none" w:sz="0" w:space="0" w:color="auto"/>
            <w:bottom w:val="none" w:sz="0" w:space="0" w:color="auto"/>
            <w:right w:val="none" w:sz="0" w:space="0" w:color="auto"/>
          </w:divBdr>
        </w:div>
      </w:divsChild>
    </w:div>
    <w:div w:id="1356887105">
      <w:bodyDiv w:val="1"/>
      <w:marLeft w:val="0"/>
      <w:marRight w:val="0"/>
      <w:marTop w:val="0"/>
      <w:marBottom w:val="0"/>
      <w:divBdr>
        <w:top w:val="none" w:sz="0" w:space="0" w:color="auto"/>
        <w:left w:val="none" w:sz="0" w:space="0" w:color="auto"/>
        <w:bottom w:val="none" w:sz="0" w:space="0" w:color="auto"/>
        <w:right w:val="none" w:sz="0" w:space="0" w:color="auto"/>
      </w:divBdr>
      <w:divsChild>
        <w:div w:id="1207913852">
          <w:marLeft w:val="0"/>
          <w:marRight w:val="0"/>
          <w:marTop w:val="0"/>
          <w:marBottom w:val="0"/>
          <w:divBdr>
            <w:top w:val="none" w:sz="0" w:space="0" w:color="auto"/>
            <w:left w:val="none" w:sz="0" w:space="0" w:color="auto"/>
            <w:bottom w:val="none" w:sz="0" w:space="0" w:color="auto"/>
            <w:right w:val="none" w:sz="0" w:space="0" w:color="auto"/>
          </w:divBdr>
        </w:div>
        <w:div w:id="623736507">
          <w:marLeft w:val="0"/>
          <w:marRight w:val="0"/>
          <w:marTop w:val="0"/>
          <w:marBottom w:val="0"/>
          <w:divBdr>
            <w:top w:val="none" w:sz="0" w:space="0" w:color="auto"/>
            <w:left w:val="none" w:sz="0" w:space="0" w:color="auto"/>
            <w:bottom w:val="none" w:sz="0" w:space="0" w:color="auto"/>
            <w:right w:val="none" w:sz="0" w:space="0" w:color="auto"/>
          </w:divBdr>
        </w:div>
        <w:div w:id="396512644">
          <w:marLeft w:val="0"/>
          <w:marRight w:val="0"/>
          <w:marTop w:val="0"/>
          <w:marBottom w:val="0"/>
          <w:divBdr>
            <w:top w:val="none" w:sz="0" w:space="0" w:color="auto"/>
            <w:left w:val="none" w:sz="0" w:space="0" w:color="auto"/>
            <w:bottom w:val="none" w:sz="0" w:space="0" w:color="auto"/>
            <w:right w:val="none" w:sz="0" w:space="0" w:color="auto"/>
          </w:divBdr>
        </w:div>
      </w:divsChild>
    </w:div>
    <w:div w:id="1431200122">
      <w:bodyDiv w:val="1"/>
      <w:marLeft w:val="0"/>
      <w:marRight w:val="0"/>
      <w:marTop w:val="0"/>
      <w:marBottom w:val="0"/>
      <w:divBdr>
        <w:top w:val="none" w:sz="0" w:space="0" w:color="auto"/>
        <w:left w:val="none" w:sz="0" w:space="0" w:color="auto"/>
        <w:bottom w:val="none" w:sz="0" w:space="0" w:color="auto"/>
        <w:right w:val="none" w:sz="0" w:space="0" w:color="auto"/>
      </w:divBdr>
    </w:div>
    <w:div w:id="1439984504">
      <w:bodyDiv w:val="1"/>
      <w:marLeft w:val="0"/>
      <w:marRight w:val="0"/>
      <w:marTop w:val="0"/>
      <w:marBottom w:val="0"/>
      <w:divBdr>
        <w:top w:val="none" w:sz="0" w:space="0" w:color="auto"/>
        <w:left w:val="none" w:sz="0" w:space="0" w:color="auto"/>
        <w:bottom w:val="none" w:sz="0" w:space="0" w:color="auto"/>
        <w:right w:val="none" w:sz="0" w:space="0" w:color="auto"/>
      </w:divBdr>
    </w:div>
    <w:div w:id="1552109665">
      <w:bodyDiv w:val="1"/>
      <w:marLeft w:val="0"/>
      <w:marRight w:val="0"/>
      <w:marTop w:val="0"/>
      <w:marBottom w:val="0"/>
      <w:divBdr>
        <w:top w:val="none" w:sz="0" w:space="0" w:color="auto"/>
        <w:left w:val="none" w:sz="0" w:space="0" w:color="auto"/>
        <w:bottom w:val="none" w:sz="0" w:space="0" w:color="auto"/>
        <w:right w:val="none" w:sz="0" w:space="0" w:color="auto"/>
      </w:divBdr>
    </w:div>
    <w:div w:id="1601331229">
      <w:bodyDiv w:val="1"/>
      <w:marLeft w:val="0"/>
      <w:marRight w:val="0"/>
      <w:marTop w:val="0"/>
      <w:marBottom w:val="0"/>
      <w:divBdr>
        <w:top w:val="none" w:sz="0" w:space="0" w:color="auto"/>
        <w:left w:val="none" w:sz="0" w:space="0" w:color="auto"/>
        <w:bottom w:val="none" w:sz="0" w:space="0" w:color="auto"/>
        <w:right w:val="none" w:sz="0" w:space="0" w:color="auto"/>
      </w:divBdr>
    </w:div>
    <w:div w:id="1615556189">
      <w:bodyDiv w:val="1"/>
      <w:marLeft w:val="0"/>
      <w:marRight w:val="0"/>
      <w:marTop w:val="0"/>
      <w:marBottom w:val="0"/>
      <w:divBdr>
        <w:top w:val="none" w:sz="0" w:space="0" w:color="auto"/>
        <w:left w:val="none" w:sz="0" w:space="0" w:color="auto"/>
        <w:bottom w:val="none" w:sz="0" w:space="0" w:color="auto"/>
        <w:right w:val="none" w:sz="0" w:space="0" w:color="auto"/>
      </w:divBdr>
    </w:div>
    <w:div w:id="1643803443">
      <w:bodyDiv w:val="1"/>
      <w:marLeft w:val="0"/>
      <w:marRight w:val="0"/>
      <w:marTop w:val="0"/>
      <w:marBottom w:val="0"/>
      <w:divBdr>
        <w:top w:val="none" w:sz="0" w:space="0" w:color="auto"/>
        <w:left w:val="none" w:sz="0" w:space="0" w:color="auto"/>
        <w:bottom w:val="none" w:sz="0" w:space="0" w:color="auto"/>
        <w:right w:val="none" w:sz="0" w:space="0" w:color="auto"/>
      </w:divBdr>
    </w:div>
    <w:div w:id="1674456943">
      <w:bodyDiv w:val="1"/>
      <w:marLeft w:val="0"/>
      <w:marRight w:val="0"/>
      <w:marTop w:val="0"/>
      <w:marBottom w:val="0"/>
      <w:divBdr>
        <w:top w:val="none" w:sz="0" w:space="0" w:color="auto"/>
        <w:left w:val="none" w:sz="0" w:space="0" w:color="auto"/>
        <w:bottom w:val="none" w:sz="0" w:space="0" w:color="auto"/>
        <w:right w:val="none" w:sz="0" w:space="0" w:color="auto"/>
      </w:divBdr>
    </w:div>
    <w:div w:id="1682854767">
      <w:bodyDiv w:val="1"/>
      <w:marLeft w:val="0"/>
      <w:marRight w:val="0"/>
      <w:marTop w:val="0"/>
      <w:marBottom w:val="0"/>
      <w:divBdr>
        <w:top w:val="none" w:sz="0" w:space="0" w:color="auto"/>
        <w:left w:val="none" w:sz="0" w:space="0" w:color="auto"/>
        <w:bottom w:val="none" w:sz="0" w:space="0" w:color="auto"/>
        <w:right w:val="none" w:sz="0" w:space="0" w:color="auto"/>
      </w:divBdr>
    </w:div>
    <w:div w:id="1771927537">
      <w:bodyDiv w:val="1"/>
      <w:marLeft w:val="0"/>
      <w:marRight w:val="0"/>
      <w:marTop w:val="0"/>
      <w:marBottom w:val="0"/>
      <w:divBdr>
        <w:top w:val="none" w:sz="0" w:space="0" w:color="auto"/>
        <w:left w:val="none" w:sz="0" w:space="0" w:color="auto"/>
        <w:bottom w:val="none" w:sz="0" w:space="0" w:color="auto"/>
        <w:right w:val="none" w:sz="0" w:space="0" w:color="auto"/>
      </w:divBdr>
      <w:divsChild>
        <w:div w:id="1411459662">
          <w:marLeft w:val="0"/>
          <w:marRight w:val="0"/>
          <w:marTop w:val="0"/>
          <w:marBottom w:val="0"/>
          <w:divBdr>
            <w:top w:val="none" w:sz="0" w:space="0" w:color="auto"/>
            <w:left w:val="none" w:sz="0" w:space="0" w:color="auto"/>
            <w:bottom w:val="none" w:sz="0" w:space="0" w:color="auto"/>
            <w:right w:val="none" w:sz="0" w:space="0" w:color="auto"/>
          </w:divBdr>
        </w:div>
        <w:div w:id="2029604122">
          <w:marLeft w:val="0"/>
          <w:marRight w:val="0"/>
          <w:marTop w:val="0"/>
          <w:marBottom w:val="0"/>
          <w:divBdr>
            <w:top w:val="none" w:sz="0" w:space="0" w:color="auto"/>
            <w:left w:val="none" w:sz="0" w:space="0" w:color="auto"/>
            <w:bottom w:val="none" w:sz="0" w:space="0" w:color="auto"/>
            <w:right w:val="none" w:sz="0" w:space="0" w:color="auto"/>
          </w:divBdr>
        </w:div>
        <w:div w:id="1783068503">
          <w:marLeft w:val="0"/>
          <w:marRight w:val="0"/>
          <w:marTop w:val="0"/>
          <w:marBottom w:val="0"/>
          <w:divBdr>
            <w:top w:val="none" w:sz="0" w:space="0" w:color="auto"/>
            <w:left w:val="none" w:sz="0" w:space="0" w:color="auto"/>
            <w:bottom w:val="none" w:sz="0" w:space="0" w:color="auto"/>
            <w:right w:val="none" w:sz="0" w:space="0" w:color="auto"/>
          </w:divBdr>
        </w:div>
        <w:div w:id="2015842126">
          <w:marLeft w:val="0"/>
          <w:marRight w:val="0"/>
          <w:marTop w:val="0"/>
          <w:marBottom w:val="0"/>
          <w:divBdr>
            <w:top w:val="none" w:sz="0" w:space="0" w:color="auto"/>
            <w:left w:val="none" w:sz="0" w:space="0" w:color="auto"/>
            <w:bottom w:val="none" w:sz="0" w:space="0" w:color="auto"/>
            <w:right w:val="none" w:sz="0" w:space="0" w:color="auto"/>
          </w:divBdr>
        </w:div>
        <w:div w:id="1192956735">
          <w:marLeft w:val="0"/>
          <w:marRight w:val="0"/>
          <w:marTop w:val="0"/>
          <w:marBottom w:val="0"/>
          <w:divBdr>
            <w:top w:val="none" w:sz="0" w:space="0" w:color="auto"/>
            <w:left w:val="none" w:sz="0" w:space="0" w:color="auto"/>
            <w:bottom w:val="none" w:sz="0" w:space="0" w:color="auto"/>
            <w:right w:val="none" w:sz="0" w:space="0" w:color="auto"/>
          </w:divBdr>
        </w:div>
        <w:div w:id="1251502123">
          <w:marLeft w:val="0"/>
          <w:marRight w:val="0"/>
          <w:marTop w:val="0"/>
          <w:marBottom w:val="0"/>
          <w:divBdr>
            <w:top w:val="none" w:sz="0" w:space="0" w:color="auto"/>
            <w:left w:val="none" w:sz="0" w:space="0" w:color="auto"/>
            <w:bottom w:val="none" w:sz="0" w:space="0" w:color="auto"/>
            <w:right w:val="none" w:sz="0" w:space="0" w:color="auto"/>
          </w:divBdr>
        </w:div>
      </w:divsChild>
    </w:div>
    <w:div w:id="1860973079">
      <w:bodyDiv w:val="1"/>
      <w:marLeft w:val="0"/>
      <w:marRight w:val="0"/>
      <w:marTop w:val="0"/>
      <w:marBottom w:val="0"/>
      <w:divBdr>
        <w:top w:val="none" w:sz="0" w:space="0" w:color="auto"/>
        <w:left w:val="none" w:sz="0" w:space="0" w:color="auto"/>
        <w:bottom w:val="none" w:sz="0" w:space="0" w:color="auto"/>
        <w:right w:val="none" w:sz="0" w:space="0" w:color="auto"/>
      </w:divBdr>
    </w:div>
    <w:div w:id="1937519226">
      <w:bodyDiv w:val="1"/>
      <w:marLeft w:val="0"/>
      <w:marRight w:val="0"/>
      <w:marTop w:val="0"/>
      <w:marBottom w:val="0"/>
      <w:divBdr>
        <w:top w:val="none" w:sz="0" w:space="0" w:color="auto"/>
        <w:left w:val="none" w:sz="0" w:space="0" w:color="auto"/>
        <w:bottom w:val="none" w:sz="0" w:space="0" w:color="auto"/>
        <w:right w:val="none" w:sz="0" w:space="0" w:color="auto"/>
      </w:divBdr>
      <w:divsChild>
        <w:div w:id="239825682">
          <w:marLeft w:val="0"/>
          <w:marRight w:val="0"/>
          <w:marTop w:val="0"/>
          <w:marBottom w:val="0"/>
          <w:divBdr>
            <w:top w:val="none" w:sz="0" w:space="0" w:color="auto"/>
            <w:left w:val="none" w:sz="0" w:space="0" w:color="auto"/>
            <w:bottom w:val="none" w:sz="0" w:space="0" w:color="auto"/>
            <w:right w:val="none" w:sz="0" w:space="0" w:color="auto"/>
          </w:divBdr>
        </w:div>
        <w:div w:id="360478888">
          <w:marLeft w:val="0"/>
          <w:marRight w:val="0"/>
          <w:marTop w:val="0"/>
          <w:marBottom w:val="0"/>
          <w:divBdr>
            <w:top w:val="none" w:sz="0" w:space="0" w:color="auto"/>
            <w:left w:val="none" w:sz="0" w:space="0" w:color="auto"/>
            <w:bottom w:val="none" w:sz="0" w:space="0" w:color="auto"/>
            <w:right w:val="none" w:sz="0" w:space="0" w:color="auto"/>
          </w:divBdr>
        </w:div>
        <w:div w:id="1824616146">
          <w:marLeft w:val="0"/>
          <w:marRight w:val="0"/>
          <w:marTop w:val="0"/>
          <w:marBottom w:val="0"/>
          <w:divBdr>
            <w:top w:val="none" w:sz="0" w:space="0" w:color="auto"/>
            <w:left w:val="none" w:sz="0" w:space="0" w:color="auto"/>
            <w:bottom w:val="none" w:sz="0" w:space="0" w:color="auto"/>
            <w:right w:val="none" w:sz="0" w:space="0" w:color="auto"/>
          </w:divBdr>
        </w:div>
        <w:div w:id="410850929">
          <w:marLeft w:val="0"/>
          <w:marRight w:val="0"/>
          <w:marTop w:val="0"/>
          <w:marBottom w:val="0"/>
          <w:divBdr>
            <w:top w:val="none" w:sz="0" w:space="0" w:color="auto"/>
            <w:left w:val="none" w:sz="0" w:space="0" w:color="auto"/>
            <w:bottom w:val="none" w:sz="0" w:space="0" w:color="auto"/>
            <w:right w:val="none" w:sz="0" w:space="0" w:color="auto"/>
          </w:divBdr>
        </w:div>
        <w:div w:id="1607035166">
          <w:marLeft w:val="0"/>
          <w:marRight w:val="0"/>
          <w:marTop w:val="0"/>
          <w:marBottom w:val="0"/>
          <w:divBdr>
            <w:top w:val="none" w:sz="0" w:space="0" w:color="auto"/>
            <w:left w:val="none" w:sz="0" w:space="0" w:color="auto"/>
            <w:bottom w:val="none" w:sz="0" w:space="0" w:color="auto"/>
            <w:right w:val="none" w:sz="0" w:space="0" w:color="auto"/>
          </w:divBdr>
        </w:div>
        <w:div w:id="1771657485">
          <w:marLeft w:val="0"/>
          <w:marRight w:val="0"/>
          <w:marTop w:val="0"/>
          <w:marBottom w:val="0"/>
          <w:divBdr>
            <w:top w:val="none" w:sz="0" w:space="0" w:color="auto"/>
            <w:left w:val="none" w:sz="0" w:space="0" w:color="auto"/>
            <w:bottom w:val="none" w:sz="0" w:space="0" w:color="auto"/>
            <w:right w:val="none" w:sz="0" w:space="0" w:color="auto"/>
          </w:divBdr>
        </w:div>
      </w:divsChild>
    </w:div>
    <w:div w:id="2146123265">
      <w:bodyDiv w:val="1"/>
      <w:marLeft w:val="0"/>
      <w:marRight w:val="0"/>
      <w:marTop w:val="0"/>
      <w:marBottom w:val="0"/>
      <w:divBdr>
        <w:top w:val="none" w:sz="0" w:space="0" w:color="auto"/>
        <w:left w:val="none" w:sz="0" w:space="0" w:color="auto"/>
        <w:bottom w:val="none" w:sz="0" w:space="0" w:color="auto"/>
        <w:right w:val="none" w:sz="0" w:space="0" w:color="auto"/>
      </w:divBdr>
      <w:divsChild>
        <w:div w:id="1944919474">
          <w:marLeft w:val="0"/>
          <w:marRight w:val="0"/>
          <w:marTop w:val="0"/>
          <w:marBottom w:val="0"/>
          <w:divBdr>
            <w:top w:val="none" w:sz="0" w:space="0" w:color="auto"/>
            <w:left w:val="none" w:sz="0" w:space="0" w:color="auto"/>
            <w:bottom w:val="none" w:sz="0" w:space="0" w:color="auto"/>
            <w:right w:val="none" w:sz="0" w:space="0" w:color="auto"/>
          </w:divBdr>
        </w:div>
        <w:div w:id="892541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guidance/ta1053" TargetMode="External"/><Relationship Id="rId18" Type="http://schemas.openxmlformats.org/officeDocument/2006/relationships/hyperlink" Target="https://humberandnorthyorkshire.org.uk/area-prescribing-committee-ap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ce.org.uk/guidance/ta1051" TargetMode="External"/><Relationship Id="rId17" Type="http://schemas.openxmlformats.org/officeDocument/2006/relationships/hyperlink" Target="mailto:nuth.nyrdtc.rxsupp@nhs.ne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nice.org.uk/guidance/hst33" TargetMode="External"/><Relationship Id="rId20" Type="http://schemas.openxmlformats.org/officeDocument/2006/relationships/hyperlink" Target="https://twitter.com/RDTC_R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10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ta1055" TargetMode="External"/><Relationship Id="rId23" Type="http://schemas.openxmlformats.org/officeDocument/2006/relationships/footer" Target="footer3.xml"/><Relationship Id="rId10" Type="http://schemas.openxmlformats.org/officeDocument/2006/relationships/hyperlink" Target="https://www.nice.org.uk/guidance/ta1056"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guidance/ta1054"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A717F1D-BC65-42D3-AE1B-4745896D4804}"/>
      </w:docPartPr>
      <w:docPartBody>
        <w:p w:rsidR="00540650" w:rsidRDefault="00540650">
          <w:r w:rsidRPr="00291D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50"/>
    <w:rsid w:val="000A1EB8"/>
    <w:rsid w:val="000B5DED"/>
    <w:rsid w:val="00364CE2"/>
    <w:rsid w:val="00540650"/>
    <w:rsid w:val="0080238C"/>
    <w:rsid w:val="0081642A"/>
    <w:rsid w:val="00B04B03"/>
    <w:rsid w:val="00B45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CE2"/>
    <w:rPr>
      <w:color w:val="666666"/>
    </w:rPr>
  </w:style>
  <w:style w:type="paragraph" w:customStyle="1" w:styleId="9CB03A37E0644DA49020970700469628">
    <w:name w:val="9CB03A37E0644DA49020970700469628"/>
    <w:rsid w:val="00364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D6A0-6F22-4AAB-AA5B-329A6CA968E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cp:lastModifiedBy>
  <cp:revision>2</cp:revision>
  <dcterms:created xsi:type="dcterms:W3CDTF">2025-05-29T14:45:00Z</dcterms:created>
  <dcterms:modified xsi:type="dcterms:W3CDTF">2025-05-29T14:45:00Z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