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C1E9" w14:textId="136B98F1" w:rsidR="004E17BD" w:rsidRPr="00E971BB" w:rsidRDefault="00524045" w:rsidP="004E17BD">
      <w:pPr>
        <w:pStyle w:val="Heading1"/>
      </w:pPr>
      <w:r>
        <w:t>GP Retainer Scheme (GPRS)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273"/>
      </w:tblGrid>
      <w:tr w:rsidR="004E17BD" w:rsidRPr="00E971BB" w14:paraId="02BD4224" w14:textId="77777777" w:rsidTr="0023761E">
        <w:tc>
          <w:tcPr>
            <w:tcW w:w="2802" w:type="dxa"/>
            <w:shd w:val="clear" w:color="auto" w:fill="auto"/>
          </w:tcPr>
          <w:p w14:paraId="6A8EB1D4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Data Controller(s)</w:t>
            </w:r>
          </w:p>
        </w:tc>
        <w:tc>
          <w:tcPr>
            <w:tcW w:w="6440" w:type="dxa"/>
            <w:shd w:val="clear" w:color="auto" w:fill="auto"/>
          </w:tcPr>
          <w:p w14:paraId="2D1110C6" w14:textId="5308062E" w:rsidR="004E17BD" w:rsidRPr="00E971BB" w:rsidRDefault="00524045" w:rsidP="008413C5">
            <w:pPr>
              <w:pStyle w:val="NoSpacing"/>
            </w:pPr>
            <w:r>
              <w:t xml:space="preserve">NHS Humber &amp; North Yorkshire Integrated Care Board </w:t>
            </w:r>
          </w:p>
        </w:tc>
      </w:tr>
      <w:tr w:rsidR="004E17BD" w:rsidRPr="00E971BB" w14:paraId="5C26D253" w14:textId="77777777" w:rsidTr="0023761E">
        <w:tc>
          <w:tcPr>
            <w:tcW w:w="2802" w:type="dxa"/>
            <w:shd w:val="clear" w:color="auto" w:fill="auto"/>
          </w:tcPr>
          <w:p w14:paraId="319F1A1F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Purpose</w:t>
            </w:r>
          </w:p>
        </w:tc>
        <w:tc>
          <w:tcPr>
            <w:tcW w:w="6440" w:type="dxa"/>
            <w:shd w:val="clear" w:color="auto" w:fill="auto"/>
          </w:tcPr>
          <w:p w14:paraId="745ABD1C" w14:textId="77777777" w:rsidR="00D90CFE" w:rsidRDefault="00F642CF" w:rsidP="00F642CF">
            <w:pPr>
              <w:spacing w:after="0"/>
            </w:pPr>
            <w:r>
              <w:t xml:space="preserve">The GPRS is a national programme that supports GPs that may be looking to leave General Practice. It offers working pattern flexibility, additional educational/supervision support and financial reimbursement to the practice and GP. </w:t>
            </w:r>
          </w:p>
          <w:p w14:paraId="74B2BE80" w14:textId="26004B70" w:rsidR="00F642CF" w:rsidRDefault="00F642CF" w:rsidP="00F642CF">
            <w:pPr>
              <w:spacing w:after="0"/>
            </w:pPr>
            <w:r>
              <w:t xml:space="preserve"> </w:t>
            </w:r>
          </w:p>
          <w:p w14:paraId="5047DCD5" w14:textId="68ACF1B8" w:rsidR="0023708A" w:rsidRDefault="00D90CFE" w:rsidP="00D90CFE">
            <w:pPr>
              <w:spacing w:after="0"/>
            </w:pPr>
            <w:r>
              <w:t>The HNY funding allocation for the scheme is limited and HNY ICB have adopted a new approach to approving applications to the scheme.   GPs are now requested to submit an application form to the ICB for assessment by a local panel</w:t>
            </w:r>
          </w:p>
          <w:p w14:paraId="5B8DCA92" w14:textId="77777777" w:rsidR="008413C5" w:rsidRDefault="008413C5" w:rsidP="00DF06FB">
            <w:pPr>
              <w:spacing w:after="0" w:line="240" w:lineRule="auto"/>
            </w:pPr>
          </w:p>
          <w:p w14:paraId="3FB9F633" w14:textId="0928F351" w:rsidR="008413C5" w:rsidRPr="00DA70C1" w:rsidRDefault="008413C5" w:rsidP="00DF06FB">
            <w:pPr>
              <w:spacing w:after="0" w:line="240" w:lineRule="auto"/>
            </w:pPr>
          </w:p>
        </w:tc>
      </w:tr>
      <w:tr w:rsidR="004E17BD" w:rsidRPr="00E971BB" w14:paraId="11474DFF" w14:textId="77777777" w:rsidTr="0023761E">
        <w:tc>
          <w:tcPr>
            <w:tcW w:w="2802" w:type="dxa"/>
            <w:shd w:val="clear" w:color="auto" w:fill="auto"/>
          </w:tcPr>
          <w:p w14:paraId="585FA526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Type of information Used</w:t>
            </w:r>
          </w:p>
        </w:tc>
        <w:tc>
          <w:tcPr>
            <w:tcW w:w="6440" w:type="dxa"/>
            <w:shd w:val="clear" w:color="auto" w:fill="auto"/>
          </w:tcPr>
          <w:p w14:paraId="68D187E3" w14:textId="67F7C005" w:rsidR="00DA70C1" w:rsidRDefault="00D90CFE" w:rsidP="0023761E">
            <w:pPr>
              <w:pStyle w:val="NoSpacing"/>
            </w:pPr>
            <w:r>
              <w:t>Personal: Name</w:t>
            </w:r>
            <w:r w:rsidR="00CA60AD">
              <w:t>, GP Practice, Carer responsibilities</w:t>
            </w:r>
          </w:p>
          <w:p w14:paraId="4EA0FE44" w14:textId="61675804" w:rsidR="008413C5" w:rsidRPr="00E971BB" w:rsidRDefault="00CA60AD" w:rsidP="0023761E">
            <w:pPr>
              <w:pStyle w:val="NoSpacing"/>
            </w:pPr>
            <w:r>
              <w:t xml:space="preserve">Sensitive: Health data </w:t>
            </w:r>
          </w:p>
        </w:tc>
      </w:tr>
      <w:tr w:rsidR="004E17BD" w:rsidRPr="00E971BB" w14:paraId="15B320C3" w14:textId="77777777" w:rsidTr="0023761E">
        <w:tc>
          <w:tcPr>
            <w:tcW w:w="2802" w:type="dxa"/>
            <w:shd w:val="clear" w:color="auto" w:fill="auto"/>
          </w:tcPr>
          <w:p w14:paraId="7787FA90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Legal basis</w:t>
            </w:r>
          </w:p>
        </w:tc>
        <w:tc>
          <w:tcPr>
            <w:tcW w:w="6440" w:type="dxa"/>
            <w:shd w:val="clear" w:color="auto" w:fill="auto"/>
          </w:tcPr>
          <w:p w14:paraId="6D72E0BC" w14:textId="17D97023" w:rsidR="004E17BD" w:rsidRDefault="00E74A7C" w:rsidP="0023708A">
            <w:pPr>
              <w:pStyle w:val="NoSpacing"/>
            </w:pPr>
            <w:r>
              <w:t>Article 6 (1) (b) – processing in relation to a contract…</w:t>
            </w:r>
          </w:p>
          <w:p w14:paraId="723D92B1" w14:textId="00AD9C67" w:rsidR="008413C5" w:rsidRDefault="006C663C" w:rsidP="0023708A">
            <w:pPr>
              <w:pStyle w:val="NoSpacing"/>
            </w:pPr>
            <w:r w:rsidRPr="006C663C">
              <w:t>Article 6(1)(e) – processing is necessary for the performance of a task carried out in the exercise of official authority vested in the controller</w:t>
            </w:r>
            <w:r w:rsidRPr="006C663C">
              <w:br/>
              <w:t>GDPR Article 9(2)(h) processing is necessary for the purposes of the provision of health or social care or treatment or the management of health or social care systems and services.</w:t>
            </w:r>
          </w:p>
          <w:p w14:paraId="319BD095" w14:textId="77777777" w:rsidR="00341A34" w:rsidRDefault="00341A34" w:rsidP="0023708A">
            <w:pPr>
              <w:pStyle w:val="NoSpacing"/>
            </w:pPr>
          </w:p>
          <w:p w14:paraId="58FE4240" w14:textId="31B88C87" w:rsidR="00341A34" w:rsidRDefault="00341A34" w:rsidP="0023708A">
            <w:pPr>
              <w:pStyle w:val="NoSpacing"/>
            </w:pPr>
            <w:r>
              <w:t xml:space="preserve">GPs are asked to provide their consent as part of this process </w:t>
            </w:r>
            <w:r w:rsidR="00DB6A43">
              <w:t xml:space="preserve">when </w:t>
            </w:r>
            <w:r w:rsidR="00DB6A43">
              <w:rPr>
                <w:rFonts w:cs="Arial"/>
              </w:rPr>
              <w:t>sharing their details with the panel by return of email.</w:t>
            </w:r>
          </w:p>
          <w:p w14:paraId="6A7B4280" w14:textId="71438B46" w:rsidR="008413C5" w:rsidRPr="00E971BB" w:rsidRDefault="008413C5" w:rsidP="0023708A">
            <w:pPr>
              <w:pStyle w:val="NoSpacing"/>
            </w:pPr>
          </w:p>
        </w:tc>
      </w:tr>
      <w:tr w:rsidR="004E17BD" w:rsidRPr="00E971BB" w14:paraId="593C719F" w14:textId="77777777" w:rsidTr="0023761E">
        <w:tc>
          <w:tcPr>
            <w:tcW w:w="2802" w:type="dxa"/>
            <w:shd w:val="clear" w:color="auto" w:fill="auto"/>
          </w:tcPr>
          <w:p w14:paraId="13FCA0C6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How we collect (the source) and use the information</w:t>
            </w:r>
          </w:p>
        </w:tc>
        <w:tc>
          <w:tcPr>
            <w:tcW w:w="6440" w:type="dxa"/>
            <w:shd w:val="clear" w:color="auto" w:fill="auto"/>
          </w:tcPr>
          <w:p w14:paraId="2E8CFC4F" w14:textId="2FB5FBD1" w:rsidR="00121851" w:rsidRDefault="00121851" w:rsidP="00121851">
            <w:pPr>
              <w:pStyle w:val="NoSpacing"/>
            </w:pPr>
            <w:r>
              <w:t>The Local Medical Councils will receive application forms from the ICB.</w:t>
            </w:r>
          </w:p>
          <w:p w14:paraId="43399457" w14:textId="77777777" w:rsidR="00121851" w:rsidRDefault="00121851" w:rsidP="00121851">
            <w:pPr>
              <w:pStyle w:val="NoSpacing"/>
            </w:pPr>
          </w:p>
          <w:p w14:paraId="12FCAA72" w14:textId="257E7BA9" w:rsidR="00121851" w:rsidRDefault="00121851" w:rsidP="00121851">
            <w:pPr>
              <w:pStyle w:val="NoSpacing"/>
            </w:pPr>
            <w:r>
              <w:t>GP/GP Practice -  submits application form to HNY ICB generic mailbox.</w:t>
            </w:r>
          </w:p>
          <w:p w14:paraId="02238CEB" w14:textId="77777777" w:rsidR="00121851" w:rsidRDefault="00121851" w:rsidP="00121851">
            <w:pPr>
              <w:pStyle w:val="NoSpacing"/>
            </w:pPr>
          </w:p>
          <w:p w14:paraId="28E1BB03" w14:textId="77777777" w:rsidR="00121851" w:rsidRDefault="00121851" w:rsidP="00121851">
            <w:pPr>
              <w:pStyle w:val="NoSpacing"/>
            </w:pPr>
            <w:r>
              <w:t>HNY ICB Primary Care acknowledge receipt – request consent to share with panel and store online.</w:t>
            </w:r>
          </w:p>
          <w:p w14:paraId="76D018F0" w14:textId="77777777" w:rsidR="00121851" w:rsidRDefault="00121851" w:rsidP="00121851">
            <w:pPr>
              <w:pStyle w:val="NoSpacing"/>
            </w:pPr>
          </w:p>
          <w:p w14:paraId="5DB08DCA" w14:textId="529D727E" w:rsidR="004E17BD" w:rsidRPr="00E971BB" w:rsidRDefault="00121851" w:rsidP="00121851">
            <w:pPr>
              <w:pStyle w:val="NoSpacing"/>
            </w:pPr>
            <w:r>
              <w:t>HNY ICB Primary Care share application details with approval panel members (all of which are ICB colleagues apart from the 2 Local Medical Councils (</w:t>
            </w:r>
            <w:r w:rsidR="00182712">
              <w:t>5</w:t>
            </w:r>
            <w:r>
              <w:t xml:space="preserve"> individuals in total).</w:t>
            </w:r>
          </w:p>
        </w:tc>
      </w:tr>
      <w:tr w:rsidR="004E17BD" w:rsidRPr="00E971BB" w14:paraId="7A50B173" w14:textId="77777777" w:rsidTr="0023761E">
        <w:tc>
          <w:tcPr>
            <w:tcW w:w="2802" w:type="dxa"/>
            <w:shd w:val="clear" w:color="auto" w:fill="auto"/>
          </w:tcPr>
          <w:p w14:paraId="7EDFC889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Data Processors</w:t>
            </w:r>
          </w:p>
        </w:tc>
        <w:tc>
          <w:tcPr>
            <w:tcW w:w="6440" w:type="dxa"/>
            <w:shd w:val="clear" w:color="auto" w:fill="auto"/>
          </w:tcPr>
          <w:p w14:paraId="1370C6BA" w14:textId="226E9687" w:rsidR="008413C5" w:rsidRDefault="004448C1" w:rsidP="0023761E">
            <w:pPr>
              <w:pStyle w:val="NoSpacing"/>
            </w:pPr>
            <w:r>
              <w:t>N/A</w:t>
            </w:r>
          </w:p>
          <w:p w14:paraId="6A1D1F8F" w14:textId="6B257ABF" w:rsidR="008413C5" w:rsidRPr="00E971BB" w:rsidRDefault="008413C5" w:rsidP="0023761E">
            <w:pPr>
              <w:pStyle w:val="NoSpacing"/>
            </w:pPr>
          </w:p>
        </w:tc>
      </w:tr>
      <w:tr w:rsidR="004E17BD" w:rsidRPr="00E971BB" w14:paraId="1F2F8878" w14:textId="77777777" w:rsidTr="0023761E">
        <w:tc>
          <w:tcPr>
            <w:tcW w:w="2802" w:type="dxa"/>
            <w:shd w:val="clear" w:color="auto" w:fill="auto"/>
          </w:tcPr>
          <w:p w14:paraId="04B47654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Your Rights</w:t>
            </w:r>
          </w:p>
        </w:tc>
        <w:tc>
          <w:tcPr>
            <w:tcW w:w="6440" w:type="dxa"/>
            <w:shd w:val="clear" w:color="auto" w:fill="auto"/>
          </w:tcPr>
          <w:p w14:paraId="1A2C1736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be informed about the processing of your information (this notice)</w:t>
            </w:r>
          </w:p>
          <w:p w14:paraId="288329EB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Of access to the information held about you</w:t>
            </w:r>
          </w:p>
          <w:p w14:paraId="4AEBD1CB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have the information corrected in the event that it is inaccurate</w:t>
            </w:r>
          </w:p>
          <w:p w14:paraId="447BB469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object to it being processed or used</w:t>
            </w:r>
          </w:p>
          <w:p w14:paraId="58C4F81C" w14:textId="4C103DF8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 xml:space="preserve">Not to be subject </w:t>
            </w:r>
            <w:r w:rsidR="003D5DC1">
              <w:t xml:space="preserve">to </w:t>
            </w:r>
            <w:r w:rsidRPr="00E971BB">
              <w:t>automated decision-taking or profiling</w:t>
            </w:r>
          </w:p>
          <w:p w14:paraId="176F2D74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be notified of data breaches</w:t>
            </w:r>
          </w:p>
        </w:tc>
      </w:tr>
      <w:tr w:rsidR="004E17BD" w:rsidRPr="00E971BB" w14:paraId="0697EACB" w14:textId="77777777" w:rsidTr="0023761E">
        <w:tc>
          <w:tcPr>
            <w:tcW w:w="2802" w:type="dxa"/>
            <w:shd w:val="clear" w:color="auto" w:fill="auto"/>
          </w:tcPr>
          <w:p w14:paraId="7D932873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lastRenderedPageBreak/>
              <w:t>How long we will keep the information</w:t>
            </w:r>
          </w:p>
        </w:tc>
        <w:tc>
          <w:tcPr>
            <w:tcW w:w="6440" w:type="dxa"/>
            <w:shd w:val="clear" w:color="auto" w:fill="auto"/>
          </w:tcPr>
          <w:p w14:paraId="1183C136" w14:textId="71909438" w:rsidR="004E17BD" w:rsidRPr="00E971BB" w:rsidRDefault="004448C1" w:rsidP="0023761E">
            <w:pPr>
              <w:pStyle w:val="NoSpacing"/>
            </w:pPr>
            <w:r>
              <w:t xml:space="preserve">Application forms will be kept for 5 years. </w:t>
            </w:r>
          </w:p>
        </w:tc>
      </w:tr>
      <w:tr w:rsidR="004E17BD" w14:paraId="06FACB5F" w14:textId="77777777" w:rsidTr="0023761E">
        <w:tc>
          <w:tcPr>
            <w:tcW w:w="2802" w:type="dxa"/>
            <w:shd w:val="clear" w:color="auto" w:fill="auto"/>
          </w:tcPr>
          <w:p w14:paraId="0D172DBD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Who we will share the information with (recipients)</w:t>
            </w:r>
          </w:p>
        </w:tc>
        <w:tc>
          <w:tcPr>
            <w:tcW w:w="6440" w:type="dxa"/>
            <w:shd w:val="clear" w:color="auto" w:fill="auto"/>
          </w:tcPr>
          <w:p w14:paraId="40BC06E1" w14:textId="78AF688C" w:rsidR="004D6DCA" w:rsidRPr="004D6DCA" w:rsidRDefault="004D6DCA" w:rsidP="004D6DCA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ICB will inform N</w:t>
            </w:r>
            <w:r w:rsidRPr="004D6DCA">
              <w:rPr>
                <w:rFonts w:asciiTheme="minorHAnsi" w:hAnsiTheme="minorHAnsi" w:cstheme="minorHAnsi"/>
              </w:rPr>
              <w:t xml:space="preserve">HSE Regional GP Retention Programme Team, Workforce Training and Education and ICB Primary Care Place Leads and Senior Leadership team </w:t>
            </w:r>
            <w:r>
              <w:rPr>
                <w:rFonts w:asciiTheme="minorHAnsi" w:hAnsiTheme="minorHAnsi" w:cstheme="minorHAnsi"/>
              </w:rPr>
              <w:t>of who has been</w:t>
            </w:r>
            <w:r w:rsidRPr="004D6DCA">
              <w:rPr>
                <w:rFonts w:asciiTheme="minorHAnsi" w:hAnsiTheme="minorHAnsi" w:cstheme="minorHAnsi"/>
              </w:rPr>
              <w:t xml:space="preserve"> approved</w:t>
            </w:r>
            <w:r>
              <w:rPr>
                <w:rFonts w:asciiTheme="minorHAnsi" w:hAnsiTheme="minorHAnsi" w:cstheme="minorHAnsi"/>
              </w:rPr>
              <w:t xml:space="preserve"> for the scheme. This will</w:t>
            </w:r>
            <w:r w:rsidRPr="004D6DC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</w:t>
            </w:r>
            <w:r w:rsidRPr="004D6DCA">
              <w:rPr>
                <w:rFonts w:asciiTheme="minorHAnsi" w:hAnsiTheme="minorHAnsi" w:cstheme="minorHAnsi"/>
              </w:rPr>
              <w:t>ust</w:t>
            </w:r>
            <w:r>
              <w:rPr>
                <w:rFonts w:asciiTheme="minorHAnsi" w:hAnsiTheme="minorHAnsi" w:cstheme="minorHAnsi"/>
              </w:rPr>
              <w:t xml:space="preserve"> be</w:t>
            </w:r>
            <w:r w:rsidRPr="004D6DCA">
              <w:rPr>
                <w:rFonts w:asciiTheme="minorHAnsi" w:hAnsiTheme="minorHAnsi" w:cstheme="minorHAnsi"/>
              </w:rPr>
              <w:t xml:space="preserve"> name, number of sessions worked and practice name. We will also let NHSE </w:t>
            </w:r>
            <w:proofErr w:type="gramStart"/>
            <w:r w:rsidRPr="004D6DCA">
              <w:rPr>
                <w:rFonts w:asciiTheme="minorHAnsi" w:hAnsiTheme="minorHAnsi" w:cstheme="minorHAnsi"/>
              </w:rPr>
              <w:t>North East</w:t>
            </w:r>
            <w:proofErr w:type="gramEnd"/>
            <w:r w:rsidRPr="004D6DCA">
              <w:rPr>
                <w:rFonts w:asciiTheme="minorHAnsi" w:hAnsiTheme="minorHAnsi" w:cstheme="minorHAnsi"/>
              </w:rPr>
              <w:t xml:space="preserve"> and Yorkshire System Improvement and Professional Standards Team know of those GPs that haven’t been approved. We may also involve Medical Director for Primary Care, NHS England – </w:t>
            </w:r>
            <w:proofErr w:type="gramStart"/>
            <w:r w:rsidRPr="004D6DCA">
              <w:rPr>
                <w:rFonts w:asciiTheme="minorHAnsi" w:hAnsiTheme="minorHAnsi" w:cstheme="minorHAnsi"/>
              </w:rPr>
              <w:t>North East</w:t>
            </w:r>
            <w:proofErr w:type="gramEnd"/>
            <w:r w:rsidRPr="004D6DCA">
              <w:rPr>
                <w:rFonts w:asciiTheme="minorHAnsi" w:hAnsiTheme="minorHAnsi" w:cstheme="minorHAnsi"/>
              </w:rPr>
              <w:t xml:space="preserve"> and Yorkshire and HNY ICB Clinical Director should a GP appeal a decision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D4263C8" w14:textId="5EF38ED9" w:rsidR="003D5DC1" w:rsidRPr="003D5DC1" w:rsidRDefault="003D5DC1" w:rsidP="0023761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5E58BB93" w14:textId="77777777" w:rsidR="008413C5" w:rsidRDefault="008413C5"/>
    <w:sectPr w:rsidR="0084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2FEB"/>
    <w:multiLevelType w:val="hybridMultilevel"/>
    <w:tmpl w:val="2BC4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14DEF"/>
    <w:multiLevelType w:val="multilevel"/>
    <w:tmpl w:val="2462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F2521B"/>
    <w:multiLevelType w:val="hybridMultilevel"/>
    <w:tmpl w:val="1460E4BC"/>
    <w:lvl w:ilvl="0" w:tplc="AFF6FA12">
      <w:start w:val="1"/>
      <w:numFmt w:val="decimal"/>
      <w:lvlText w:val="%1."/>
      <w:lvlJc w:val="left"/>
      <w:pPr>
        <w:ind w:left="1440" w:hanging="360"/>
      </w:pPr>
    </w:lvl>
    <w:lvl w:ilvl="1" w:tplc="2D5A5156">
      <w:start w:val="1"/>
      <w:numFmt w:val="decimal"/>
      <w:lvlText w:val="%2."/>
      <w:lvlJc w:val="left"/>
      <w:pPr>
        <w:ind w:left="1440" w:hanging="360"/>
      </w:pPr>
    </w:lvl>
    <w:lvl w:ilvl="2" w:tplc="B700F8BE">
      <w:start w:val="1"/>
      <w:numFmt w:val="decimal"/>
      <w:lvlText w:val="%3."/>
      <w:lvlJc w:val="left"/>
      <w:pPr>
        <w:ind w:left="1440" w:hanging="360"/>
      </w:pPr>
    </w:lvl>
    <w:lvl w:ilvl="3" w:tplc="43F8EB26">
      <w:start w:val="1"/>
      <w:numFmt w:val="decimal"/>
      <w:lvlText w:val="%4."/>
      <w:lvlJc w:val="left"/>
      <w:pPr>
        <w:ind w:left="1440" w:hanging="360"/>
      </w:pPr>
    </w:lvl>
    <w:lvl w:ilvl="4" w:tplc="D9BA593A">
      <w:start w:val="1"/>
      <w:numFmt w:val="decimal"/>
      <w:lvlText w:val="%5."/>
      <w:lvlJc w:val="left"/>
      <w:pPr>
        <w:ind w:left="1440" w:hanging="360"/>
      </w:pPr>
    </w:lvl>
    <w:lvl w:ilvl="5" w:tplc="92343A68">
      <w:start w:val="1"/>
      <w:numFmt w:val="decimal"/>
      <w:lvlText w:val="%6."/>
      <w:lvlJc w:val="left"/>
      <w:pPr>
        <w:ind w:left="1440" w:hanging="360"/>
      </w:pPr>
    </w:lvl>
    <w:lvl w:ilvl="6" w:tplc="21D67638">
      <w:start w:val="1"/>
      <w:numFmt w:val="decimal"/>
      <w:lvlText w:val="%7."/>
      <w:lvlJc w:val="left"/>
      <w:pPr>
        <w:ind w:left="1440" w:hanging="360"/>
      </w:pPr>
    </w:lvl>
    <w:lvl w:ilvl="7" w:tplc="A23E94B6">
      <w:start w:val="1"/>
      <w:numFmt w:val="decimal"/>
      <w:lvlText w:val="%8."/>
      <w:lvlJc w:val="left"/>
      <w:pPr>
        <w:ind w:left="1440" w:hanging="360"/>
      </w:pPr>
    </w:lvl>
    <w:lvl w:ilvl="8" w:tplc="785000EE">
      <w:start w:val="1"/>
      <w:numFmt w:val="decimal"/>
      <w:lvlText w:val="%9."/>
      <w:lvlJc w:val="left"/>
      <w:pPr>
        <w:ind w:left="1440" w:hanging="360"/>
      </w:pPr>
    </w:lvl>
  </w:abstractNum>
  <w:num w:numId="1" w16cid:durableId="1089276315">
    <w:abstractNumId w:val="0"/>
  </w:num>
  <w:num w:numId="2" w16cid:durableId="1888252677">
    <w:abstractNumId w:val="2"/>
  </w:num>
  <w:num w:numId="3" w16cid:durableId="172013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BD"/>
    <w:rsid w:val="0001495F"/>
    <w:rsid w:val="000555FB"/>
    <w:rsid w:val="00084636"/>
    <w:rsid w:val="000C42FC"/>
    <w:rsid w:val="001073AF"/>
    <w:rsid w:val="00115E0E"/>
    <w:rsid w:val="00121851"/>
    <w:rsid w:val="001345DC"/>
    <w:rsid w:val="00182712"/>
    <w:rsid w:val="001D1DE1"/>
    <w:rsid w:val="002258DD"/>
    <w:rsid w:val="0023708A"/>
    <w:rsid w:val="00271B36"/>
    <w:rsid w:val="003148C3"/>
    <w:rsid w:val="0033221D"/>
    <w:rsid w:val="00341A34"/>
    <w:rsid w:val="0035186D"/>
    <w:rsid w:val="003C0B43"/>
    <w:rsid w:val="003D5DC1"/>
    <w:rsid w:val="003F0416"/>
    <w:rsid w:val="00433141"/>
    <w:rsid w:val="004448C1"/>
    <w:rsid w:val="00487EDF"/>
    <w:rsid w:val="004C1A5C"/>
    <w:rsid w:val="004D6DCA"/>
    <w:rsid w:val="004E17BD"/>
    <w:rsid w:val="00524045"/>
    <w:rsid w:val="0063472F"/>
    <w:rsid w:val="006C663C"/>
    <w:rsid w:val="00761029"/>
    <w:rsid w:val="00827528"/>
    <w:rsid w:val="008413C5"/>
    <w:rsid w:val="0087708B"/>
    <w:rsid w:val="008C13BA"/>
    <w:rsid w:val="009A5C91"/>
    <w:rsid w:val="00A21411"/>
    <w:rsid w:val="00AA1D51"/>
    <w:rsid w:val="00BB2C72"/>
    <w:rsid w:val="00C46AB4"/>
    <w:rsid w:val="00CA60AD"/>
    <w:rsid w:val="00D312ED"/>
    <w:rsid w:val="00D42445"/>
    <w:rsid w:val="00D90CFE"/>
    <w:rsid w:val="00DA70C1"/>
    <w:rsid w:val="00DB274D"/>
    <w:rsid w:val="00DB6A43"/>
    <w:rsid w:val="00DE6F09"/>
    <w:rsid w:val="00DF06FB"/>
    <w:rsid w:val="00E74A7C"/>
    <w:rsid w:val="00F46CE0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D861"/>
  <w15:chartTrackingRefBased/>
  <w15:docId w15:val="{B527EDEB-0946-4937-BA00-0B784F2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BD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BD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4E17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4E17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7B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7B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D42445"/>
  </w:style>
  <w:style w:type="paragraph" w:styleId="NormalWeb">
    <w:name w:val="Normal (Web)"/>
    <w:basedOn w:val="Normal"/>
    <w:uiPriority w:val="99"/>
    <w:semiHidden/>
    <w:unhideWhenUsed/>
    <w:rsid w:val="00DA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347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f01">
    <w:name w:val="cf01"/>
    <w:basedOn w:val="DefaultParagraphFont"/>
    <w:rsid w:val="003D5D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3aa9367-fc84-4ae7-ac9b-8b98bed52397">
      <Terms xmlns="http://schemas.microsoft.com/office/infopath/2007/PartnerControls"/>
    </lcf76f155ced4ddcb4097134ff3c332f>
    <TaxCatchAll xmlns="7e8fbbb6-66ce-4444-ab4f-4857bfdd32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7DF58E94CF644BD28E1BF8FF78180" ma:contentTypeVersion="15" ma:contentTypeDescription="Create a new document." ma:contentTypeScope="" ma:versionID="33f0820aa3da3ae5429f0a20856eedc5">
  <xsd:schema xmlns:xsd="http://www.w3.org/2001/XMLSchema" xmlns:xs="http://www.w3.org/2001/XMLSchema" xmlns:p="http://schemas.microsoft.com/office/2006/metadata/properties" xmlns:ns1="http://schemas.microsoft.com/sharepoint/v3" xmlns:ns2="e3aa9367-fc84-4ae7-ac9b-8b98bed52397" xmlns:ns3="7e8fbbb6-66ce-4444-ab4f-4857bfdd32e0" targetNamespace="http://schemas.microsoft.com/office/2006/metadata/properties" ma:root="true" ma:fieldsID="9f6c3df2931c04da628b941b5619f998" ns1:_="" ns2:_="" ns3:_="">
    <xsd:import namespace="http://schemas.microsoft.com/sharepoint/v3"/>
    <xsd:import namespace="e3aa9367-fc84-4ae7-ac9b-8b98bed52397"/>
    <xsd:import namespace="7e8fbbb6-66ce-4444-ab4f-4857bfdd3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a9367-fc84-4ae7-ac9b-8b98bed52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bbb6-66ce-4444-ab4f-4857bfdd3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36dcb0-d4ac-467d-8fac-8b47192480dd}" ma:internalName="TaxCatchAll" ma:showField="CatchAllData" ma:web="7e8fbbb6-66ce-4444-ab4f-4857bfdd3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1D1CD-5597-4ADC-A656-56EA8E4CE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7dc29c-14d9-4402-b2d2-d335aac09e38"/>
    <ds:schemaRef ds:uri="3e97dc12-44a6-4725-b9e0-1f49e095a311"/>
  </ds:schemaRefs>
</ds:datastoreItem>
</file>

<file path=customXml/itemProps2.xml><?xml version="1.0" encoding="utf-8"?>
<ds:datastoreItem xmlns:ds="http://schemas.openxmlformats.org/officeDocument/2006/customXml" ds:itemID="{5291F35F-BDDD-452B-95D4-B2624EE216B1}"/>
</file>

<file path=customXml/itemProps3.xml><?xml version="1.0" encoding="utf-8"?>
<ds:datastoreItem xmlns:ds="http://schemas.openxmlformats.org/officeDocument/2006/customXml" ds:itemID="{56B3BB00-F0D0-4F8C-91EB-CFBD9D7A86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GILLINGWATER, Hayley (NHS HUMBER AND NORTH YORKSHIRE ICB - 02Y)</dc:creator>
  <cp:keywords/>
  <dc:description/>
  <cp:lastModifiedBy>GILLINGWATER, Hayley (NHS HUMBER AND NORTH YORKSHIRE ICB - 02Y)</cp:lastModifiedBy>
  <cp:revision>2</cp:revision>
  <dcterms:created xsi:type="dcterms:W3CDTF">2025-05-16T09:49:00Z</dcterms:created>
  <dcterms:modified xsi:type="dcterms:W3CDTF">2025-05-16T09:49:00Z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0x0101009097DF58E94CF644BD28E1BF8FF78180</vt:lpwstr>
  </property>
</Properties>
</file>