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EB5B4" w14:textId="0D741A23" w:rsidR="00560ADF" w:rsidRDefault="001C7976" w:rsidP="007909C3">
      <w:pPr>
        <w:pStyle w:val="BodyText"/>
      </w:pPr>
      <w:r w:rsidRPr="00F661F8">
        <w:rPr>
          <w:noProof/>
          <w:szCs w:val="21"/>
          <w:lang w:eastAsia="en-GB"/>
        </w:rPr>
        <w:drawing>
          <wp:anchor distT="0" distB="0" distL="114300" distR="114300" simplePos="0" relativeHeight="251661312" behindDoc="1" locked="0" layoutInCell="1" allowOverlap="1" wp14:anchorId="4B430088" wp14:editId="5306C8A4">
            <wp:simplePos x="0" y="0"/>
            <wp:positionH relativeFrom="column">
              <wp:posOffset>-635</wp:posOffset>
            </wp:positionH>
            <wp:positionV relativeFrom="paragraph">
              <wp:posOffset>71755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8969E5" w14:textId="1BE7E414" w:rsidR="001C7976" w:rsidRDefault="001C7976" w:rsidP="001C7976">
      <w:pPr>
        <w:spacing w:before="195" w:after="0"/>
        <w:ind w:right="321"/>
        <w:jc w:val="right"/>
        <w:rPr>
          <w:rFonts w:ascii="Helvetica" w:hAnsi="Helvetica" w:cs="Helvetica"/>
          <w:b/>
          <w:color w:val="404040" w:themeColor="text1" w:themeTint="BF"/>
          <w:sz w:val="40"/>
          <w:szCs w:val="22"/>
        </w:rPr>
      </w:pPr>
      <w:r>
        <w:rPr>
          <w:rFonts w:ascii="Helvetica" w:hAnsi="Helvetica" w:cs="Helvetica"/>
          <w:b/>
          <w:color w:val="404040" w:themeColor="text1" w:themeTint="BF"/>
          <w:sz w:val="40"/>
          <w:szCs w:val="22"/>
        </w:rPr>
        <w:t>SUMMARY OF DECISIONS</w:t>
      </w:r>
    </w:p>
    <w:p w14:paraId="1AD8D030" w14:textId="77777777" w:rsidR="00C966D9" w:rsidRDefault="00C966D9" w:rsidP="007909C3">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0F8"/>
        <w:tblLook w:val="01E0" w:firstRow="1" w:lastRow="1" w:firstColumn="1" w:lastColumn="1" w:noHBand="0" w:noVBand="0"/>
      </w:tblPr>
      <w:tblGrid>
        <w:gridCol w:w="8501"/>
        <w:gridCol w:w="2977"/>
        <w:gridCol w:w="4406"/>
      </w:tblGrid>
      <w:tr w:rsidR="00C966D9" w:rsidRPr="00172933" w14:paraId="104D1E88" w14:textId="77777777" w:rsidTr="005C0229">
        <w:trPr>
          <w:cantSplit/>
          <w:trHeight w:val="567"/>
          <w:tblHeader/>
        </w:trPr>
        <w:tc>
          <w:tcPr>
            <w:tcW w:w="2676" w:type="pct"/>
            <w:tcBorders>
              <w:top w:val="single" w:sz="4" w:space="0" w:color="auto"/>
              <w:left w:val="single" w:sz="4" w:space="0" w:color="auto"/>
              <w:bottom w:val="single" w:sz="4" w:space="0" w:color="auto"/>
              <w:right w:val="single" w:sz="4" w:space="0" w:color="auto"/>
            </w:tcBorders>
            <w:shd w:val="clear" w:color="auto" w:fill="C9ECFB"/>
            <w:vAlign w:val="center"/>
          </w:tcPr>
          <w:p w14:paraId="2806832D" w14:textId="59AA606C" w:rsidR="00C966D9" w:rsidRPr="00172933" w:rsidRDefault="00C966D9"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 xml:space="preserve">Recommendations made by </w:t>
            </w:r>
            <w:r w:rsidR="001C7976" w:rsidRPr="00172933">
              <w:rPr>
                <w:rFonts w:ascii="Helvetica" w:eastAsia="Calibri" w:hAnsi="Helvetica" w:cs="Helvetica"/>
                <w:b/>
                <w:sz w:val="24"/>
                <w:szCs w:val="24"/>
                <w:lang w:val="en-US"/>
              </w:rPr>
              <w:t>HNY APC</w:t>
            </w:r>
            <w:r w:rsidRPr="00172933">
              <w:rPr>
                <w:rFonts w:ascii="Helvetica" w:eastAsia="Calibri" w:hAnsi="Helvetica" w:cs="Helvetica"/>
                <w:b/>
                <w:sz w:val="24"/>
                <w:szCs w:val="24"/>
                <w:lang w:val="en-US"/>
              </w:rPr>
              <w:t xml:space="preserve"> subgroups</w:t>
            </w:r>
          </w:p>
        </w:tc>
        <w:tc>
          <w:tcPr>
            <w:tcW w:w="937" w:type="pct"/>
            <w:tcBorders>
              <w:top w:val="single" w:sz="4" w:space="0" w:color="auto"/>
              <w:left w:val="single" w:sz="4" w:space="0" w:color="auto"/>
              <w:bottom w:val="single" w:sz="4" w:space="0" w:color="auto"/>
              <w:right w:val="single" w:sz="4" w:space="0" w:color="auto"/>
            </w:tcBorders>
            <w:shd w:val="clear" w:color="auto" w:fill="C9ECFB"/>
            <w:hideMark/>
          </w:tcPr>
          <w:p w14:paraId="1CE3290C" w14:textId="7C367426" w:rsidR="00C966D9" w:rsidRPr="00172933" w:rsidRDefault="00B74ECB" w:rsidP="005C0229">
            <w:pPr>
              <w:tabs>
                <w:tab w:val="left" w:pos="720"/>
              </w:tabs>
              <w:autoSpaceDE/>
              <w:rPr>
                <w:rFonts w:ascii="Helvetica" w:eastAsia="Calibri" w:hAnsi="Helvetica" w:cs="Helvetica"/>
                <w:b/>
                <w:sz w:val="24"/>
                <w:szCs w:val="24"/>
                <w:lang w:val="en-US"/>
              </w:rPr>
            </w:pPr>
            <w:r>
              <w:rPr>
                <w:rFonts w:ascii="Helvetica" w:eastAsia="Calibri" w:hAnsi="Helvetica" w:cs="Helvetica"/>
                <w:b/>
                <w:sz w:val="24"/>
                <w:szCs w:val="24"/>
                <w:lang w:val="en-US"/>
              </w:rPr>
              <w:t>April</w:t>
            </w:r>
            <w:r w:rsidR="001C7976" w:rsidRPr="00172933">
              <w:rPr>
                <w:rFonts w:ascii="Helvetica" w:eastAsia="Calibri" w:hAnsi="Helvetica" w:cs="Helvetica"/>
                <w:b/>
                <w:sz w:val="24"/>
                <w:szCs w:val="24"/>
                <w:lang w:val="en-US"/>
              </w:rPr>
              <w:t xml:space="preserve"> 2025</w:t>
            </w:r>
          </w:p>
        </w:tc>
        <w:tc>
          <w:tcPr>
            <w:tcW w:w="1387" w:type="pct"/>
            <w:vMerge w:val="restart"/>
            <w:tcBorders>
              <w:top w:val="single" w:sz="4" w:space="0" w:color="auto"/>
              <w:left w:val="single" w:sz="4" w:space="0" w:color="auto"/>
              <w:bottom w:val="single" w:sz="4" w:space="0" w:color="auto"/>
              <w:right w:val="single" w:sz="4" w:space="0" w:color="auto"/>
            </w:tcBorders>
            <w:shd w:val="clear" w:color="auto" w:fill="C9ECFB"/>
            <w:hideMark/>
          </w:tcPr>
          <w:p w14:paraId="51AA60B7" w14:textId="01C8BFD6" w:rsidR="00C966D9" w:rsidRPr="00172933" w:rsidRDefault="001C7976" w:rsidP="001C7976">
            <w:pPr>
              <w:tabs>
                <w:tab w:val="left" w:pos="720"/>
              </w:tabs>
              <w:autoSpaceDE/>
              <w:spacing w:before="0" w:after="0"/>
              <w:rPr>
                <w:rFonts w:ascii="Helvetica" w:eastAsia="Calibri" w:hAnsi="Helvetica" w:cs="Helvetica"/>
                <w:b/>
                <w:sz w:val="24"/>
                <w:szCs w:val="24"/>
                <w:lang w:val="en-US"/>
              </w:rPr>
            </w:pPr>
            <w:r w:rsidRPr="00172933">
              <w:rPr>
                <w:noProof/>
                <w:sz w:val="24"/>
                <w:szCs w:val="24"/>
                <w:lang w:eastAsia="en-GB"/>
              </w:rPr>
              <w:drawing>
                <wp:anchor distT="0" distB="0" distL="114300" distR="114300" simplePos="0" relativeHeight="251659264" behindDoc="1" locked="0" layoutInCell="1" allowOverlap="1" wp14:anchorId="2CFE8275" wp14:editId="4B897185">
                  <wp:simplePos x="0" y="0"/>
                  <wp:positionH relativeFrom="column">
                    <wp:posOffset>575310</wp:posOffset>
                  </wp:positionH>
                  <wp:positionV relativeFrom="paragraph">
                    <wp:posOffset>15240</wp:posOffset>
                  </wp:positionV>
                  <wp:extent cx="1478915" cy="899795"/>
                  <wp:effectExtent l="0" t="0" r="6985" b="0"/>
                  <wp:wrapTight wrapText="bothSides">
                    <wp:wrapPolygon edited="0">
                      <wp:start x="0" y="0"/>
                      <wp:lineTo x="0" y="21036"/>
                      <wp:lineTo x="21424" y="21036"/>
                      <wp:lineTo x="21424"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915" cy="899795"/>
                          </a:xfrm>
                          <a:prstGeom prst="rect">
                            <a:avLst/>
                          </a:prstGeom>
                        </pic:spPr>
                      </pic:pic>
                    </a:graphicData>
                  </a:graphic>
                  <wp14:sizeRelH relativeFrom="margin">
                    <wp14:pctWidth>0</wp14:pctWidth>
                  </wp14:sizeRelH>
                  <wp14:sizeRelV relativeFrom="margin">
                    <wp14:pctHeight>0</wp14:pctHeight>
                  </wp14:sizeRelV>
                </wp:anchor>
              </w:drawing>
            </w:r>
          </w:p>
        </w:tc>
      </w:tr>
      <w:tr w:rsidR="00C966D9" w:rsidRPr="00172933" w14:paraId="7F66C268" w14:textId="77777777" w:rsidTr="005C0229">
        <w:trPr>
          <w:cantSplit/>
          <w:trHeight w:val="567"/>
          <w:tblHeader/>
        </w:trPr>
        <w:tc>
          <w:tcPr>
            <w:tcW w:w="2676" w:type="pct"/>
            <w:tcBorders>
              <w:top w:val="single" w:sz="4" w:space="0" w:color="auto"/>
              <w:left w:val="single" w:sz="4" w:space="0" w:color="auto"/>
              <w:bottom w:val="single" w:sz="4" w:space="0" w:color="auto"/>
              <w:right w:val="single" w:sz="4" w:space="0" w:color="auto"/>
            </w:tcBorders>
            <w:shd w:val="clear" w:color="auto" w:fill="C9ECFB"/>
            <w:vAlign w:val="center"/>
            <w:hideMark/>
          </w:tcPr>
          <w:p w14:paraId="7998F6E8" w14:textId="62A2A4CA" w:rsidR="00C966D9" w:rsidRPr="00172933" w:rsidRDefault="00C966D9"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 xml:space="preserve">Approved by: </w:t>
            </w:r>
            <w:r w:rsidR="001C7976" w:rsidRPr="00172933">
              <w:rPr>
                <w:rFonts w:ascii="Helvetica" w:eastAsia="Calibri" w:hAnsi="Helvetica" w:cs="Helvetica"/>
                <w:b/>
                <w:sz w:val="24"/>
                <w:szCs w:val="24"/>
                <w:lang w:val="en-US"/>
              </w:rPr>
              <w:t>HNY APC</w:t>
            </w:r>
          </w:p>
        </w:tc>
        <w:tc>
          <w:tcPr>
            <w:tcW w:w="937" w:type="pct"/>
            <w:tcBorders>
              <w:top w:val="single" w:sz="4" w:space="0" w:color="auto"/>
              <w:left w:val="single" w:sz="4" w:space="0" w:color="auto"/>
              <w:bottom w:val="single" w:sz="4" w:space="0" w:color="auto"/>
              <w:right w:val="single" w:sz="4" w:space="0" w:color="auto"/>
            </w:tcBorders>
            <w:shd w:val="clear" w:color="auto" w:fill="C9ECFB"/>
          </w:tcPr>
          <w:p w14:paraId="04347631" w14:textId="356A6C02" w:rsidR="00C966D9" w:rsidRPr="00172933" w:rsidRDefault="00B74ECB" w:rsidP="005C0229">
            <w:pPr>
              <w:tabs>
                <w:tab w:val="left" w:pos="720"/>
              </w:tabs>
              <w:autoSpaceDE/>
              <w:rPr>
                <w:rFonts w:ascii="Helvetica" w:eastAsia="Calibri" w:hAnsi="Helvetica" w:cs="Helvetica"/>
                <w:b/>
                <w:sz w:val="24"/>
                <w:szCs w:val="24"/>
                <w:lang w:val="en-US"/>
              </w:rPr>
            </w:pPr>
            <w:r>
              <w:rPr>
                <w:rFonts w:ascii="Helvetica" w:eastAsia="Calibri" w:hAnsi="Helvetica" w:cs="Helvetica"/>
                <w:b/>
                <w:sz w:val="24"/>
                <w:szCs w:val="24"/>
                <w:lang w:val="en-US"/>
              </w:rPr>
              <w:t>7</w:t>
            </w:r>
            <w:r w:rsidRPr="00B74ECB">
              <w:rPr>
                <w:rFonts w:ascii="Helvetica" w:eastAsia="Calibri" w:hAnsi="Helvetica" w:cs="Helvetica"/>
                <w:b/>
                <w:sz w:val="24"/>
                <w:szCs w:val="24"/>
                <w:vertAlign w:val="superscript"/>
                <w:lang w:val="en-US"/>
              </w:rPr>
              <w:t>th</w:t>
            </w:r>
            <w:r>
              <w:rPr>
                <w:rFonts w:ascii="Helvetica" w:eastAsia="Calibri" w:hAnsi="Helvetica" w:cs="Helvetica"/>
                <w:b/>
                <w:sz w:val="24"/>
                <w:szCs w:val="24"/>
                <w:lang w:val="en-US"/>
              </w:rPr>
              <w:t xml:space="preserve"> May</w:t>
            </w:r>
            <w:r w:rsidR="00830A05" w:rsidRPr="00172933">
              <w:rPr>
                <w:rFonts w:ascii="Helvetica" w:eastAsia="Calibri" w:hAnsi="Helvetica" w:cs="Helvetica"/>
                <w:b/>
                <w:sz w:val="24"/>
                <w:szCs w:val="24"/>
                <w:lang w:val="en-US"/>
              </w:rPr>
              <w:t xml:space="preserve"> </w:t>
            </w:r>
            <w:r w:rsidR="001C7976" w:rsidRPr="00172933">
              <w:rPr>
                <w:rFonts w:ascii="Helvetica" w:eastAsia="Calibri" w:hAnsi="Helvetica" w:cs="Helvetica"/>
                <w:b/>
                <w:sz w:val="24"/>
                <w:szCs w:val="24"/>
                <w:lang w:val="en-US"/>
              </w:rPr>
              <w:t>2025</w:t>
            </w:r>
          </w:p>
        </w:tc>
        <w:tc>
          <w:tcPr>
            <w:tcW w:w="1387" w:type="pct"/>
            <w:vMerge/>
            <w:tcBorders>
              <w:top w:val="single" w:sz="4" w:space="0" w:color="auto"/>
              <w:left w:val="single" w:sz="4" w:space="0" w:color="auto"/>
              <w:bottom w:val="single" w:sz="4" w:space="0" w:color="auto"/>
              <w:right w:val="single" w:sz="4" w:space="0" w:color="auto"/>
            </w:tcBorders>
            <w:shd w:val="clear" w:color="auto" w:fill="AAE0F8"/>
            <w:vAlign w:val="center"/>
            <w:hideMark/>
          </w:tcPr>
          <w:p w14:paraId="6BA6F736" w14:textId="77777777" w:rsidR="00C966D9" w:rsidRPr="00172933" w:rsidRDefault="00C966D9" w:rsidP="005777CA">
            <w:pPr>
              <w:tabs>
                <w:tab w:val="clear" w:pos="975"/>
              </w:tabs>
              <w:spacing w:before="0" w:after="0"/>
              <w:rPr>
                <w:rFonts w:ascii="Helvetica" w:eastAsia="Calibri" w:hAnsi="Helvetica" w:cs="Helvetica"/>
                <w:b/>
                <w:sz w:val="24"/>
                <w:szCs w:val="24"/>
                <w:lang w:val="en-US"/>
              </w:rPr>
            </w:pPr>
          </w:p>
        </w:tc>
      </w:tr>
      <w:tr w:rsidR="001C7976" w:rsidRPr="00172933" w14:paraId="02EC6D31" w14:textId="77777777" w:rsidTr="005C0229">
        <w:trPr>
          <w:cantSplit/>
          <w:trHeight w:val="567"/>
          <w:tblHeader/>
        </w:trPr>
        <w:tc>
          <w:tcPr>
            <w:tcW w:w="2676" w:type="pct"/>
            <w:tcBorders>
              <w:top w:val="single" w:sz="4" w:space="0" w:color="auto"/>
              <w:left w:val="single" w:sz="4" w:space="0" w:color="auto"/>
              <w:right w:val="single" w:sz="4" w:space="0" w:color="auto"/>
            </w:tcBorders>
            <w:shd w:val="clear" w:color="auto" w:fill="C9ECFB"/>
          </w:tcPr>
          <w:p w14:paraId="243D1049" w14:textId="6A0CB675" w:rsidR="001C7976" w:rsidRPr="00172933" w:rsidRDefault="00C4153E"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 xml:space="preserve">Reviewed </w:t>
            </w:r>
            <w:r w:rsidR="001C7976" w:rsidRPr="00172933">
              <w:rPr>
                <w:rFonts w:ascii="Helvetica" w:eastAsia="Calibri" w:hAnsi="Helvetica" w:cs="Helvetica"/>
                <w:b/>
                <w:sz w:val="24"/>
                <w:szCs w:val="24"/>
                <w:lang w:val="en-US"/>
              </w:rPr>
              <w:t xml:space="preserve">by: </w:t>
            </w:r>
            <w:r w:rsidR="008D6DE1" w:rsidRPr="00172933">
              <w:rPr>
                <w:rFonts w:ascii="Helvetica" w:eastAsia="Calibri" w:hAnsi="Helvetica" w:cs="Helvetica"/>
                <w:b/>
                <w:sz w:val="24"/>
                <w:szCs w:val="24"/>
                <w:lang w:val="en-US"/>
              </w:rPr>
              <w:t>CPC</w:t>
            </w:r>
          </w:p>
          <w:p w14:paraId="55A687C6" w14:textId="413EE863" w:rsidR="001C7976" w:rsidRPr="00172933" w:rsidRDefault="008D6DE1" w:rsidP="005C0229">
            <w:pPr>
              <w:tabs>
                <w:tab w:val="left" w:pos="720"/>
              </w:tabs>
              <w:autoSpaceDE/>
              <w:rPr>
                <w:rFonts w:ascii="Helvetica" w:eastAsia="Calibri" w:hAnsi="Helvetica" w:cs="Helvetica"/>
                <w:sz w:val="24"/>
                <w:szCs w:val="24"/>
                <w:lang w:val="en-US"/>
              </w:rPr>
            </w:pPr>
            <w:r w:rsidRPr="00172933">
              <w:rPr>
                <w:rFonts w:ascii="Helvetica" w:eastAsia="Calibri" w:hAnsi="Helvetica" w:cs="Helvetica"/>
                <w:sz w:val="24"/>
                <w:szCs w:val="24"/>
                <w:lang w:val="en-US"/>
              </w:rPr>
              <w:t xml:space="preserve">NB: HNY APC is a decision-making group. Decisions are submitted to CPC for information. </w:t>
            </w:r>
          </w:p>
        </w:tc>
        <w:tc>
          <w:tcPr>
            <w:tcW w:w="937" w:type="pct"/>
            <w:tcBorders>
              <w:top w:val="single" w:sz="4" w:space="0" w:color="auto"/>
              <w:left w:val="single" w:sz="4" w:space="0" w:color="auto"/>
              <w:right w:val="single" w:sz="4" w:space="0" w:color="auto"/>
            </w:tcBorders>
            <w:shd w:val="clear" w:color="auto" w:fill="C9ECFB"/>
          </w:tcPr>
          <w:p w14:paraId="70B3AD2A" w14:textId="67AB3967" w:rsidR="001C7976" w:rsidRPr="00172933" w:rsidRDefault="001C7976" w:rsidP="005C0229">
            <w:pPr>
              <w:tabs>
                <w:tab w:val="left" w:pos="720"/>
              </w:tabs>
              <w:autoSpaceDE/>
              <w:rPr>
                <w:rFonts w:ascii="Helvetica" w:eastAsia="Calibri" w:hAnsi="Helvetica" w:cs="Helvetica"/>
                <w:bCs/>
                <w:iCs/>
                <w:sz w:val="24"/>
                <w:szCs w:val="24"/>
                <w:lang w:val="en-US"/>
              </w:rPr>
            </w:pPr>
            <w:r w:rsidRPr="00172933">
              <w:rPr>
                <w:rFonts w:ascii="Helvetica" w:eastAsia="Calibri" w:hAnsi="Helvetica" w:cs="Helvetica"/>
                <w:bCs/>
                <w:i/>
                <w:iCs/>
                <w:sz w:val="24"/>
                <w:szCs w:val="24"/>
                <w:lang w:val="en-US"/>
              </w:rPr>
              <w:t>pending</w:t>
            </w:r>
          </w:p>
        </w:tc>
        <w:tc>
          <w:tcPr>
            <w:tcW w:w="1387" w:type="pct"/>
            <w:vMerge/>
            <w:tcBorders>
              <w:top w:val="single" w:sz="4" w:space="0" w:color="auto"/>
              <w:left w:val="single" w:sz="4" w:space="0" w:color="auto"/>
              <w:bottom w:val="single" w:sz="4" w:space="0" w:color="auto"/>
              <w:right w:val="single" w:sz="4" w:space="0" w:color="auto"/>
            </w:tcBorders>
            <w:shd w:val="clear" w:color="auto" w:fill="AAE0F8"/>
            <w:vAlign w:val="center"/>
            <w:hideMark/>
          </w:tcPr>
          <w:p w14:paraId="38071639" w14:textId="77777777" w:rsidR="001C7976" w:rsidRPr="00172933" w:rsidRDefault="001C7976" w:rsidP="005777CA">
            <w:pPr>
              <w:tabs>
                <w:tab w:val="clear" w:pos="975"/>
              </w:tabs>
              <w:spacing w:before="0" w:after="0"/>
              <w:rPr>
                <w:rFonts w:ascii="Helvetica" w:eastAsia="Calibri" w:hAnsi="Helvetica" w:cs="Helvetica"/>
                <w:b/>
                <w:sz w:val="24"/>
                <w:szCs w:val="24"/>
                <w:lang w:val="en-US"/>
              </w:rPr>
            </w:pPr>
          </w:p>
        </w:tc>
      </w:tr>
      <w:tr w:rsidR="00C966D9" w:rsidRPr="00172933" w14:paraId="44B0920B" w14:textId="77777777" w:rsidTr="005777CA">
        <w:trPr>
          <w:cantSplit/>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C9ECFB"/>
          </w:tcPr>
          <w:p w14:paraId="49F70009" w14:textId="77777777" w:rsidR="00C966D9" w:rsidRPr="00172933" w:rsidRDefault="00C966D9" w:rsidP="001C7976">
            <w:pPr>
              <w:tabs>
                <w:tab w:val="left" w:pos="720"/>
              </w:tabs>
              <w:autoSpaceDE/>
              <w:rPr>
                <w:rFonts w:eastAsia="Arial"/>
                <w:b/>
                <w:noProof/>
                <w:color w:val="000000" w:themeColor="text1"/>
                <w:sz w:val="24"/>
                <w:szCs w:val="24"/>
                <w:lang w:val="en-US" w:eastAsia="en-GB"/>
              </w:rPr>
            </w:pPr>
            <w:r w:rsidRPr="00172933">
              <w:rPr>
                <w:rFonts w:eastAsia="Arial"/>
                <w:b/>
                <w:noProof/>
                <w:color w:val="000000" w:themeColor="text1"/>
                <w:sz w:val="24"/>
                <w:szCs w:val="24"/>
                <w:lang w:val="en-US" w:eastAsia="en-GB"/>
              </w:rPr>
              <w:t>The NHS is legally obliged to fund and resource medicines and treatments recommended by NICE's technology appraisals. When NICE recommends a treatment 'as an option', the NHS must make sure it is available within 90 days (unless otherwise specified) of its date of publication. This means that, if a patient has a disease or condition and the doctor responsible for their care thinks that the technology is the right treatment, it should be available for use, in line with NICE's recommendations.</w:t>
            </w:r>
          </w:p>
          <w:p w14:paraId="5151A840" w14:textId="0C43F78C" w:rsidR="00172933" w:rsidRPr="00172933" w:rsidRDefault="00172933" w:rsidP="001C7976">
            <w:pPr>
              <w:tabs>
                <w:tab w:val="left" w:pos="720"/>
              </w:tabs>
              <w:autoSpaceDE/>
              <w:rPr>
                <w:rFonts w:eastAsia="Arial"/>
                <w:b/>
                <w:noProof/>
                <w:color w:val="000000" w:themeColor="text1"/>
                <w:sz w:val="24"/>
                <w:szCs w:val="24"/>
                <w:lang w:val="en-US" w:eastAsia="en-GB"/>
              </w:rPr>
            </w:pPr>
            <w:r w:rsidRPr="00172933">
              <w:rPr>
                <w:rFonts w:eastAsia="MS Mincho"/>
                <w:bCs/>
                <w:sz w:val="24"/>
                <w:szCs w:val="24"/>
                <w:lang w:eastAsia="ja-JP"/>
              </w:rPr>
              <w:t xml:space="preserve">For copies of current HNY APC minutes and decisions, please visit </w:t>
            </w:r>
            <w:hyperlink r:id="rId10" w:history="1">
              <w:r w:rsidRPr="00172933">
                <w:rPr>
                  <w:rFonts w:eastAsia="MS Mincho"/>
                  <w:bCs/>
                  <w:color w:val="0000FF"/>
                  <w:sz w:val="24"/>
                  <w:szCs w:val="24"/>
                  <w:u w:val="single"/>
                  <w:lang w:eastAsia="ja-JP"/>
                </w:rPr>
                <w:t>https://humberandnorthyorkshire.org.uk/area-prescribing-committee-apc-minutes-from-meetings/</w:t>
              </w:r>
            </w:hyperlink>
            <w:r w:rsidRPr="00172933">
              <w:rPr>
                <w:rFonts w:eastAsia="MS Mincho"/>
                <w:bCs/>
                <w:sz w:val="24"/>
                <w:szCs w:val="24"/>
                <w:lang w:eastAsia="ja-JP"/>
              </w:rPr>
              <w:t>.</w:t>
            </w:r>
          </w:p>
        </w:tc>
      </w:tr>
    </w:tbl>
    <w:p w14:paraId="3BE1BD1C" w14:textId="77777777" w:rsidR="00C966D9" w:rsidRPr="00FD45B9" w:rsidRDefault="00C966D9" w:rsidP="007909C3">
      <w:pPr>
        <w:pStyle w:val="BodyText"/>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B4247C" w:rsidRPr="00383A54" w14:paraId="5F6A2C11" w14:textId="77777777" w:rsidTr="00383A54">
        <w:trPr>
          <w:cantSplit/>
        </w:trPr>
        <w:tc>
          <w:tcPr>
            <w:tcW w:w="5000" w:type="pct"/>
            <w:shd w:val="clear" w:color="auto" w:fill="auto"/>
          </w:tcPr>
          <w:p w14:paraId="280B9544" w14:textId="7C9E55B0" w:rsidR="00B4247C"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 xml:space="preserve">DECISIONS WITH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2E891FA4" w14:textId="77777777" w:rsidR="001F28EB" w:rsidRDefault="001F28EB" w:rsidP="00383A54">
      <w:pPr>
        <w:spacing w:before="0" w:after="0"/>
        <w:rPr>
          <w:sz w:val="20"/>
          <w:lang w:val="en-US" w:eastAsia="ja-JP"/>
        </w:rPr>
      </w:pPr>
    </w:p>
    <w:p w14:paraId="6BC62169" w14:textId="0D3111EB" w:rsidR="00383A54" w:rsidRPr="00383A54" w:rsidRDefault="00383A54" w:rsidP="00383A54">
      <w:pPr>
        <w:spacing w:before="0" w:after="0"/>
        <w:rPr>
          <w:sz w:val="10"/>
          <w:szCs w:val="10"/>
          <w:lang w:val="en-US" w:eastAsia="ja-JP"/>
        </w:rPr>
        <w:sectPr w:rsidR="00383A54" w:rsidRPr="00383A54" w:rsidSect="00C8733F">
          <w:footerReference w:type="even" r:id="rId11"/>
          <w:footerReference w:type="default" r:id="rId12"/>
          <w:footerReference w:type="first" r:id="rId13"/>
          <w:pgSz w:w="16840" w:h="11910" w:orient="landscape"/>
          <w:pgMar w:top="284" w:right="520" w:bottom="993" w:left="426" w:header="11" w:footer="179"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835"/>
        <w:gridCol w:w="4395"/>
        <w:gridCol w:w="3969"/>
        <w:gridCol w:w="1852"/>
      </w:tblGrid>
      <w:tr w:rsidR="001C7976" w:rsidRPr="00B74ECB" w14:paraId="58618552" w14:textId="77777777" w:rsidTr="00B74ECB">
        <w:trPr>
          <w:cantSplit/>
          <w:trHeight w:val="548"/>
          <w:tblHeader/>
        </w:trPr>
        <w:tc>
          <w:tcPr>
            <w:tcW w:w="2830" w:type="dxa"/>
            <w:tcBorders>
              <w:bottom w:val="single" w:sz="4" w:space="0" w:color="auto"/>
            </w:tcBorders>
            <w:shd w:val="clear" w:color="auto" w:fill="B6DDE8"/>
          </w:tcPr>
          <w:p w14:paraId="465998DD" w14:textId="4656542C" w:rsidR="001C7976" w:rsidRPr="00B74ECB" w:rsidRDefault="001C7976" w:rsidP="007909C3">
            <w:pPr>
              <w:tabs>
                <w:tab w:val="clear" w:pos="975"/>
              </w:tabs>
              <w:rPr>
                <w:rFonts w:eastAsia="Calibri"/>
                <w:b/>
                <w:sz w:val="24"/>
                <w:szCs w:val="24"/>
              </w:rPr>
            </w:pPr>
            <w:r w:rsidRPr="00B74ECB">
              <w:rPr>
                <w:rFonts w:eastAsia="Calibri"/>
                <w:b/>
                <w:sz w:val="24"/>
                <w:szCs w:val="24"/>
              </w:rPr>
              <w:t xml:space="preserve">Drug and indication </w:t>
            </w:r>
          </w:p>
        </w:tc>
        <w:tc>
          <w:tcPr>
            <w:tcW w:w="2835" w:type="dxa"/>
            <w:tcBorders>
              <w:bottom w:val="single" w:sz="4" w:space="0" w:color="auto"/>
            </w:tcBorders>
            <w:shd w:val="clear" w:color="auto" w:fill="B6DDE8"/>
          </w:tcPr>
          <w:p w14:paraId="764A3AC3" w14:textId="20E2B955" w:rsidR="001C7976" w:rsidRPr="00B74ECB" w:rsidRDefault="001C7976" w:rsidP="007909C3">
            <w:pPr>
              <w:tabs>
                <w:tab w:val="clear" w:pos="975"/>
              </w:tabs>
              <w:rPr>
                <w:rFonts w:eastAsia="Calibri"/>
                <w:b/>
                <w:sz w:val="24"/>
                <w:szCs w:val="24"/>
              </w:rPr>
            </w:pPr>
            <w:r w:rsidRPr="00B74ECB">
              <w:rPr>
                <w:rFonts w:eastAsia="Calibri"/>
                <w:b/>
                <w:sz w:val="24"/>
                <w:szCs w:val="24"/>
              </w:rPr>
              <w:t>Status and formulary position assigned</w:t>
            </w:r>
          </w:p>
        </w:tc>
        <w:tc>
          <w:tcPr>
            <w:tcW w:w="4395" w:type="dxa"/>
            <w:tcBorders>
              <w:bottom w:val="single" w:sz="4" w:space="0" w:color="auto"/>
            </w:tcBorders>
            <w:shd w:val="clear" w:color="auto" w:fill="B6DDE8"/>
          </w:tcPr>
          <w:p w14:paraId="18BD51F0" w14:textId="3CED56E6" w:rsidR="001C7976" w:rsidRPr="00B74ECB" w:rsidRDefault="001C7976" w:rsidP="007909C3">
            <w:pPr>
              <w:tabs>
                <w:tab w:val="clear" w:pos="975"/>
              </w:tabs>
              <w:rPr>
                <w:rFonts w:eastAsia="Calibri"/>
                <w:b/>
                <w:sz w:val="24"/>
                <w:szCs w:val="24"/>
              </w:rPr>
            </w:pPr>
            <w:r w:rsidRPr="00B74ECB">
              <w:rPr>
                <w:rFonts w:eastAsia="Calibri"/>
                <w:b/>
                <w:sz w:val="24"/>
                <w:szCs w:val="24"/>
              </w:rPr>
              <w:t>Notes on decision</w:t>
            </w:r>
          </w:p>
        </w:tc>
        <w:tc>
          <w:tcPr>
            <w:tcW w:w="3969" w:type="dxa"/>
            <w:tcBorders>
              <w:bottom w:val="single" w:sz="4" w:space="0" w:color="auto"/>
            </w:tcBorders>
            <w:shd w:val="clear" w:color="auto" w:fill="B6DDE8"/>
          </w:tcPr>
          <w:p w14:paraId="63DF0E3F" w14:textId="3D0072C2" w:rsidR="001C7976" w:rsidRPr="00B74ECB" w:rsidRDefault="001C7976" w:rsidP="00EA5257">
            <w:pPr>
              <w:tabs>
                <w:tab w:val="clear" w:pos="975"/>
              </w:tabs>
              <w:rPr>
                <w:rFonts w:eastAsia="Calibri"/>
                <w:b/>
                <w:sz w:val="24"/>
                <w:szCs w:val="24"/>
              </w:rPr>
            </w:pPr>
            <w:r w:rsidRPr="00B74ECB">
              <w:rPr>
                <w:rFonts w:eastAsia="Calibri"/>
                <w:b/>
                <w:sz w:val="24"/>
                <w:szCs w:val="24"/>
              </w:rPr>
              <w:t>Cost impact and commissioning / service implications</w:t>
            </w:r>
          </w:p>
        </w:tc>
        <w:tc>
          <w:tcPr>
            <w:tcW w:w="1852" w:type="dxa"/>
            <w:tcBorders>
              <w:bottom w:val="single" w:sz="4" w:space="0" w:color="auto"/>
            </w:tcBorders>
            <w:shd w:val="clear" w:color="auto" w:fill="B6DDE8"/>
          </w:tcPr>
          <w:p w14:paraId="31FD2AD9" w14:textId="4EECB6E0" w:rsidR="001C7976" w:rsidRPr="00B74ECB" w:rsidRDefault="00B74ECB" w:rsidP="001C7976">
            <w:pPr>
              <w:tabs>
                <w:tab w:val="clear" w:pos="975"/>
              </w:tabs>
              <w:rPr>
                <w:rFonts w:eastAsia="Calibri"/>
                <w:b/>
                <w:sz w:val="24"/>
                <w:szCs w:val="24"/>
              </w:rPr>
            </w:pPr>
            <w:r w:rsidRPr="00B74ECB">
              <w:rPr>
                <w:rFonts w:eastAsia="Calibri"/>
                <w:b/>
                <w:sz w:val="24"/>
                <w:szCs w:val="24"/>
              </w:rPr>
              <w:t>APC decision</w:t>
            </w:r>
          </w:p>
        </w:tc>
      </w:tr>
      <w:tr w:rsidR="00B74ECB" w:rsidRPr="00B74ECB" w14:paraId="6B9E4442" w14:textId="77777777" w:rsidTr="00B74ECB">
        <w:trPr>
          <w:cantSplit/>
          <w:trHeight w:val="548"/>
        </w:trPr>
        <w:tc>
          <w:tcPr>
            <w:tcW w:w="2830" w:type="dxa"/>
            <w:shd w:val="clear" w:color="auto" w:fill="auto"/>
          </w:tcPr>
          <w:p w14:paraId="0147C98F" w14:textId="53433158" w:rsidR="00B74ECB" w:rsidRPr="00B74ECB" w:rsidRDefault="00B74ECB" w:rsidP="00B74ECB">
            <w:pPr>
              <w:tabs>
                <w:tab w:val="left" w:pos="720"/>
              </w:tabs>
              <w:rPr>
                <w:color w:val="000000"/>
                <w:sz w:val="24"/>
                <w:szCs w:val="24"/>
              </w:rPr>
            </w:pPr>
            <w:proofErr w:type="spellStart"/>
            <w:r w:rsidRPr="00B74ECB">
              <w:rPr>
                <w:b/>
                <w:bCs/>
                <w:sz w:val="24"/>
                <w:szCs w:val="24"/>
              </w:rPr>
              <w:t>Aerobika</w:t>
            </w:r>
            <w:proofErr w:type="spellEnd"/>
            <w:r w:rsidRPr="00B74ECB">
              <w:rPr>
                <w:b/>
                <w:bCs/>
                <w:sz w:val="24"/>
                <w:szCs w:val="24"/>
              </w:rPr>
              <w:t xml:space="preserve"> Oscillating positive expiratory pressure (OPEP) device</w:t>
            </w:r>
          </w:p>
        </w:tc>
        <w:tc>
          <w:tcPr>
            <w:tcW w:w="2835" w:type="dxa"/>
            <w:shd w:val="clear" w:color="auto" w:fill="auto"/>
          </w:tcPr>
          <w:p w14:paraId="3A0C3184" w14:textId="749EC0B0" w:rsidR="00B74ECB" w:rsidRPr="00B74ECB" w:rsidRDefault="00B74ECB" w:rsidP="00B74ECB">
            <w:pPr>
              <w:shd w:val="clear" w:color="auto" w:fill="FFC000"/>
              <w:rPr>
                <w:rStyle w:val="eop"/>
                <w:sz w:val="24"/>
                <w:szCs w:val="24"/>
              </w:rPr>
            </w:pPr>
            <w:r w:rsidRPr="00B74ECB">
              <w:rPr>
                <w:rStyle w:val="normaltextrun"/>
                <w:sz w:val="24"/>
                <w:szCs w:val="24"/>
                <w:shd w:val="clear" w:color="auto" w:fill="FFC000"/>
              </w:rPr>
              <w:t xml:space="preserve">AMBER Specialist Initiation (SI)* </w:t>
            </w:r>
          </w:p>
          <w:p w14:paraId="355206DC" w14:textId="77777777" w:rsidR="00B74ECB" w:rsidRPr="00B74ECB" w:rsidRDefault="00B74ECB" w:rsidP="00B74ECB">
            <w:pPr>
              <w:rPr>
                <w:sz w:val="24"/>
                <w:szCs w:val="24"/>
              </w:rPr>
            </w:pPr>
          </w:p>
          <w:p w14:paraId="00D46222" w14:textId="043B5E56" w:rsidR="00B74ECB" w:rsidRPr="00B74ECB" w:rsidRDefault="00B74ECB" w:rsidP="00B74ECB">
            <w:pPr>
              <w:rPr>
                <w:sz w:val="24"/>
                <w:szCs w:val="24"/>
              </w:rPr>
            </w:pPr>
            <w:r w:rsidRPr="00B74ECB">
              <w:rPr>
                <w:sz w:val="24"/>
                <w:szCs w:val="24"/>
              </w:rPr>
              <w:t>*Training and the first device will be supplied by the Hospital</w:t>
            </w:r>
          </w:p>
        </w:tc>
        <w:tc>
          <w:tcPr>
            <w:tcW w:w="4395" w:type="dxa"/>
            <w:shd w:val="clear" w:color="auto" w:fill="auto"/>
          </w:tcPr>
          <w:p w14:paraId="311FBD11" w14:textId="77777777" w:rsidR="00B74ECB" w:rsidRPr="00B74ECB" w:rsidRDefault="00B74ECB" w:rsidP="00B74ECB">
            <w:pPr>
              <w:tabs>
                <w:tab w:val="clear" w:pos="975"/>
              </w:tabs>
              <w:ind w:left="20"/>
              <w:rPr>
                <w:rFonts w:eastAsiaTheme="minorHAnsi"/>
                <w:sz w:val="24"/>
                <w:szCs w:val="24"/>
              </w:rPr>
            </w:pPr>
            <w:r w:rsidRPr="00B74ECB">
              <w:rPr>
                <w:rFonts w:eastAsiaTheme="minorHAnsi"/>
                <w:sz w:val="24"/>
                <w:szCs w:val="24"/>
              </w:rPr>
              <w:t>Primary care to prescribe replacement devices only in the event of breakage or when the device starts to "fail". </w:t>
            </w:r>
          </w:p>
          <w:p w14:paraId="29A4F371" w14:textId="77777777" w:rsidR="00B74ECB" w:rsidRPr="00B74ECB" w:rsidRDefault="00B74ECB" w:rsidP="00B74ECB">
            <w:pPr>
              <w:tabs>
                <w:tab w:val="clear" w:pos="975"/>
              </w:tabs>
              <w:ind w:left="20"/>
              <w:rPr>
                <w:rFonts w:eastAsiaTheme="minorHAnsi"/>
                <w:iCs/>
                <w:sz w:val="24"/>
                <w:szCs w:val="24"/>
              </w:rPr>
            </w:pPr>
            <w:proofErr w:type="spellStart"/>
            <w:r w:rsidRPr="00B74ECB">
              <w:rPr>
                <w:iCs/>
                <w:sz w:val="24"/>
                <w:szCs w:val="24"/>
              </w:rPr>
              <w:t>Aerobika</w:t>
            </w:r>
            <w:proofErr w:type="spellEnd"/>
            <w:r w:rsidRPr="00B74ECB">
              <w:rPr>
                <w:iCs/>
                <w:sz w:val="24"/>
                <w:szCs w:val="24"/>
              </w:rPr>
              <w:t xml:space="preserve"> requires replacement after 12 months</w:t>
            </w:r>
          </w:p>
          <w:p w14:paraId="6EC574BC" w14:textId="77777777" w:rsidR="00B74ECB" w:rsidRPr="00B74ECB" w:rsidRDefault="00B74ECB" w:rsidP="00B74ECB">
            <w:pPr>
              <w:tabs>
                <w:tab w:val="clear" w:pos="975"/>
              </w:tabs>
              <w:ind w:left="20"/>
              <w:rPr>
                <w:iCs/>
                <w:sz w:val="24"/>
                <w:szCs w:val="24"/>
              </w:rPr>
            </w:pPr>
          </w:p>
        </w:tc>
        <w:tc>
          <w:tcPr>
            <w:tcW w:w="3969" w:type="dxa"/>
          </w:tcPr>
          <w:p w14:paraId="281C4DF4" w14:textId="381C0DB8" w:rsidR="00B74ECB" w:rsidRPr="00B74ECB" w:rsidRDefault="00B74ECB" w:rsidP="00B74ECB">
            <w:pPr>
              <w:rPr>
                <w:i/>
                <w:sz w:val="24"/>
                <w:szCs w:val="24"/>
              </w:rPr>
            </w:pPr>
            <w:r w:rsidRPr="00B74ECB">
              <w:rPr>
                <w:sz w:val="24"/>
                <w:szCs w:val="24"/>
              </w:rPr>
              <w:t xml:space="preserve">The cost impact of introducing a different device is minimal as patients would otherwise be prescribed Acapella or Flutter. Will be an alteration of how the device is currently provided in South Tees who currently use this as Amber Specialist Recommendation. </w:t>
            </w:r>
          </w:p>
        </w:tc>
        <w:tc>
          <w:tcPr>
            <w:tcW w:w="1852" w:type="dxa"/>
            <w:shd w:val="clear" w:color="auto" w:fill="FFFFFF"/>
          </w:tcPr>
          <w:p w14:paraId="27471341" w14:textId="77777777" w:rsidR="00B74ECB" w:rsidRPr="00B74ECB" w:rsidRDefault="00B74ECB" w:rsidP="00B74ECB">
            <w:pPr>
              <w:rPr>
                <w:iCs/>
                <w:sz w:val="24"/>
                <w:szCs w:val="24"/>
                <w:lang w:val="en-US"/>
              </w:rPr>
            </w:pPr>
            <w:r w:rsidRPr="00B74ECB">
              <w:rPr>
                <w:iCs/>
                <w:sz w:val="24"/>
                <w:szCs w:val="24"/>
                <w:lang w:val="en-US"/>
              </w:rPr>
              <w:t>Approve addition to formulary</w:t>
            </w:r>
          </w:p>
          <w:p w14:paraId="2761BD0C" w14:textId="77777777" w:rsidR="00B74ECB" w:rsidRPr="00B74ECB" w:rsidRDefault="00B74ECB" w:rsidP="00B74ECB">
            <w:pPr>
              <w:rPr>
                <w:iCs/>
                <w:sz w:val="24"/>
                <w:szCs w:val="24"/>
              </w:rPr>
            </w:pPr>
          </w:p>
        </w:tc>
      </w:tr>
      <w:tr w:rsidR="00B74ECB" w:rsidRPr="00B74ECB" w14:paraId="2ABF37AA" w14:textId="77777777" w:rsidTr="00B74ECB">
        <w:trPr>
          <w:cantSplit/>
          <w:trHeight w:val="548"/>
        </w:trPr>
        <w:tc>
          <w:tcPr>
            <w:tcW w:w="2830" w:type="dxa"/>
            <w:shd w:val="clear" w:color="auto" w:fill="auto"/>
          </w:tcPr>
          <w:p w14:paraId="79FCCD1C" w14:textId="63192C8B" w:rsidR="00B74ECB" w:rsidRPr="00B74ECB" w:rsidRDefault="00B74ECB" w:rsidP="00B74ECB">
            <w:pPr>
              <w:tabs>
                <w:tab w:val="left" w:pos="720"/>
              </w:tabs>
              <w:rPr>
                <w:b/>
                <w:bCs/>
                <w:color w:val="000000"/>
                <w:sz w:val="24"/>
                <w:szCs w:val="24"/>
              </w:rPr>
            </w:pPr>
            <w:r w:rsidRPr="00B74ECB">
              <w:rPr>
                <w:b/>
                <w:bCs/>
                <w:color w:val="000000"/>
                <w:sz w:val="24"/>
                <w:szCs w:val="24"/>
              </w:rPr>
              <w:lastRenderedPageBreak/>
              <w:t xml:space="preserve">Doxylamine and pyridoxine (Xonvea) </w:t>
            </w:r>
            <w:r w:rsidRPr="00B74ECB">
              <w:rPr>
                <w:color w:val="000000"/>
                <w:sz w:val="24"/>
                <w:szCs w:val="24"/>
              </w:rPr>
              <w:t>for nausea and vomiting in pregnancy</w:t>
            </w:r>
          </w:p>
        </w:tc>
        <w:tc>
          <w:tcPr>
            <w:tcW w:w="2835" w:type="dxa"/>
            <w:shd w:val="clear" w:color="auto" w:fill="auto"/>
          </w:tcPr>
          <w:p w14:paraId="72559857" w14:textId="57CEC2D6" w:rsidR="00B74ECB" w:rsidRPr="00B74ECB" w:rsidRDefault="00B74ECB" w:rsidP="00B74ECB">
            <w:pPr>
              <w:shd w:val="clear" w:color="auto" w:fill="00B050"/>
              <w:rPr>
                <w:rStyle w:val="eop"/>
                <w:sz w:val="24"/>
                <w:szCs w:val="24"/>
              </w:rPr>
            </w:pPr>
            <w:r w:rsidRPr="00B74ECB">
              <w:rPr>
                <w:rStyle w:val="normaltextrun"/>
                <w:sz w:val="24"/>
                <w:szCs w:val="24"/>
                <w:shd w:val="clear" w:color="auto" w:fill="00B050"/>
                <w:lang w:val="en-US"/>
              </w:rPr>
              <w:t xml:space="preserve">GREEN </w:t>
            </w:r>
          </w:p>
          <w:p w14:paraId="7AF50AA4" w14:textId="77777777" w:rsidR="00B74ECB" w:rsidRPr="00B74ECB" w:rsidRDefault="00B74ECB" w:rsidP="00B74ECB">
            <w:pPr>
              <w:rPr>
                <w:sz w:val="24"/>
                <w:szCs w:val="24"/>
              </w:rPr>
            </w:pPr>
          </w:p>
          <w:p w14:paraId="58C23478" w14:textId="725CC193" w:rsidR="00B74ECB" w:rsidRPr="00B74ECB" w:rsidRDefault="00B74ECB" w:rsidP="00B74ECB">
            <w:pPr>
              <w:rPr>
                <w:sz w:val="24"/>
                <w:szCs w:val="24"/>
              </w:rPr>
            </w:pPr>
            <w:r w:rsidRPr="00B74ECB">
              <w:rPr>
                <w:sz w:val="24"/>
                <w:szCs w:val="24"/>
              </w:rPr>
              <w:t>Presented as a treatment option alongside other established (off-label) options</w:t>
            </w:r>
          </w:p>
        </w:tc>
        <w:tc>
          <w:tcPr>
            <w:tcW w:w="4395" w:type="dxa"/>
            <w:shd w:val="clear" w:color="auto" w:fill="auto"/>
          </w:tcPr>
          <w:p w14:paraId="1CA6EA7F" w14:textId="77777777" w:rsidR="00B74ECB" w:rsidRPr="00B74ECB" w:rsidRDefault="00B74ECB" w:rsidP="00B74ECB">
            <w:pPr>
              <w:tabs>
                <w:tab w:val="clear" w:pos="975"/>
              </w:tabs>
              <w:ind w:left="20"/>
              <w:rPr>
                <w:sz w:val="24"/>
                <w:szCs w:val="24"/>
              </w:rPr>
            </w:pPr>
            <w:r w:rsidRPr="00B74ECB">
              <w:rPr>
                <w:sz w:val="24"/>
                <w:szCs w:val="24"/>
              </w:rPr>
              <w:t>This is the only licensed treatment for hyperemesis in pregnancy. It Is included in RCOG guidelines.</w:t>
            </w:r>
          </w:p>
          <w:p w14:paraId="2D63CAF8" w14:textId="4A7ED30B" w:rsidR="00B74ECB" w:rsidRPr="00B74ECB" w:rsidRDefault="00FA5593" w:rsidP="00B74ECB">
            <w:pPr>
              <w:tabs>
                <w:tab w:val="clear" w:pos="975"/>
              </w:tabs>
              <w:ind w:left="20"/>
              <w:rPr>
                <w:iCs/>
                <w:sz w:val="24"/>
                <w:szCs w:val="24"/>
              </w:rPr>
            </w:pPr>
            <w:hyperlink r:id="rId14" w:history="1">
              <w:r w:rsidR="00B74ECB" w:rsidRPr="00B74ECB">
                <w:rPr>
                  <w:rStyle w:val="Hyperlink"/>
                  <w:rFonts w:eastAsiaTheme="minorHAnsi" w:cs="Arial"/>
                  <w:sz w:val="24"/>
                  <w:szCs w:val="24"/>
                </w:rPr>
                <w:t>The Management of Nausea and Vomiting in Pregnancy and Hyperemesis Gravidarum (Green</w:t>
              </w:r>
              <w:r w:rsidR="00B74ECB" w:rsidRPr="00B74ECB">
                <w:rPr>
                  <w:rStyle w:val="Hyperlink"/>
                  <w:rFonts w:ascii="Cambria Math" w:eastAsiaTheme="minorHAnsi" w:hAnsi="Cambria Math" w:cs="Cambria Math"/>
                  <w:sz w:val="24"/>
                  <w:szCs w:val="24"/>
                </w:rPr>
                <w:t>‐</w:t>
              </w:r>
              <w:r w:rsidR="00B74ECB" w:rsidRPr="00B74ECB">
                <w:rPr>
                  <w:rStyle w:val="Hyperlink"/>
                  <w:rFonts w:eastAsiaTheme="minorHAnsi" w:cs="Arial"/>
                  <w:sz w:val="24"/>
                  <w:szCs w:val="24"/>
                </w:rPr>
                <w:t>top Guideline No. 69) - Nelson</w:t>
              </w:r>
              <w:r w:rsidR="00B74ECB" w:rsidRPr="00B74ECB">
                <w:rPr>
                  <w:rStyle w:val="Hyperlink"/>
                  <w:rFonts w:ascii="Cambria Math" w:eastAsiaTheme="minorHAnsi" w:hAnsi="Cambria Math" w:cs="Cambria Math"/>
                  <w:sz w:val="24"/>
                  <w:szCs w:val="24"/>
                </w:rPr>
                <w:t>‐</w:t>
              </w:r>
              <w:r w:rsidR="00B74ECB" w:rsidRPr="00B74ECB">
                <w:rPr>
                  <w:rStyle w:val="Hyperlink"/>
                  <w:rFonts w:eastAsiaTheme="minorHAnsi" w:cs="Arial"/>
                  <w:sz w:val="24"/>
                  <w:szCs w:val="24"/>
                </w:rPr>
                <w:t>Piercy - 2024 - BJOG: An International Journal of Obstetrics &amp; Gynaecology - Wiley Online Library</w:t>
              </w:r>
            </w:hyperlink>
          </w:p>
        </w:tc>
        <w:tc>
          <w:tcPr>
            <w:tcW w:w="3969" w:type="dxa"/>
          </w:tcPr>
          <w:p w14:paraId="7E731CB7" w14:textId="77777777" w:rsidR="00B74ECB" w:rsidRPr="00B74ECB" w:rsidRDefault="00B74ECB" w:rsidP="00B74ECB">
            <w:pPr>
              <w:tabs>
                <w:tab w:val="clear" w:pos="975"/>
              </w:tabs>
              <w:rPr>
                <w:sz w:val="24"/>
                <w:szCs w:val="24"/>
              </w:rPr>
            </w:pPr>
            <w:r w:rsidRPr="00B74ECB">
              <w:rPr>
                <w:sz w:val="24"/>
                <w:szCs w:val="24"/>
              </w:rPr>
              <w:t>Estimates of cost per patient approx. £211 per patient</w:t>
            </w:r>
          </w:p>
          <w:p w14:paraId="2121A2E0" w14:textId="77777777" w:rsidR="00B74ECB" w:rsidRPr="00B74ECB" w:rsidRDefault="00B74ECB" w:rsidP="00B74ECB">
            <w:pPr>
              <w:tabs>
                <w:tab w:val="clear" w:pos="975"/>
              </w:tabs>
              <w:rPr>
                <w:sz w:val="24"/>
                <w:szCs w:val="24"/>
              </w:rPr>
            </w:pPr>
          </w:p>
          <w:p w14:paraId="686E4ABB" w14:textId="227231BC" w:rsidR="00B74ECB" w:rsidRPr="00B74ECB" w:rsidRDefault="00B74ECB" w:rsidP="00B74ECB">
            <w:pPr>
              <w:rPr>
                <w:i/>
                <w:sz w:val="24"/>
                <w:szCs w:val="24"/>
              </w:rPr>
            </w:pPr>
            <w:r w:rsidRPr="00B74ECB">
              <w:rPr>
                <w:sz w:val="24"/>
                <w:szCs w:val="24"/>
              </w:rPr>
              <w:t>Approx 14,000 pregnancies per annum over the ICB.  As a crude estimate the Y&amp;S team predict 1-2% of pregnant women might end up needing it i.e. 140 – 280 over the whole ICB. Cost could therefore be in the region of £30,000 - £60,000, although other potential costing impacts are detailed in the application.</w:t>
            </w:r>
          </w:p>
        </w:tc>
        <w:tc>
          <w:tcPr>
            <w:tcW w:w="1852" w:type="dxa"/>
            <w:shd w:val="clear" w:color="auto" w:fill="FFFFFF"/>
          </w:tcPr>
          <w:p w14:paraId="11EAC248" w14:textId="77777777" w:rsidR="00B74ECB" w:rsidRPr="00B74ECB" w:rsidRDefault="00B74ECB" w:rsidP="00B74ECB">
            <w:pPr>
              <w:rPr>
                <w:iCs/>
                <w:sz w:val="24"/>
                <w:szCs w:val="24"/>
                <w:lang w:val="en-US"/>
              </w:rPr>
            </w:pPr>
            <w:r w:rsidRPr="00B74ECB">
              <w:rPr>
                <w:iCs/>
                <w:sz w:val="24"/>
                <w:szCs w:val="24"/>
                <w:lang w:val="en-US"/>
              </w:rPr>
              <w:t>Approve addition to formulary</w:t>
            </w:r>
          </w:p>
          <w:p w14:paraId="303CE237" w14:textId="77777777" w:rsidR="00B74ECB" w:rsidRPr="00B74ECB" w:rsidRDefault="00B74ECB" w:rsidP="00B74ECB">
            <w:pPr>
              <w:rPr>
                <w:iCs/>
                <w:sz w:val="24"/>
                <w:szCs w:val="24"/>
              </w:rPr>
            </w:pPr>
          </w:p>
        </w:tc>
      </w:tr>
      <w:tr w:rsidR="00B74ECB" w:rsidRPr="00B74ECB" w14:paraId="57D7F727" w14:textId="77777777" w:rsidTr="00B74ECB">
        <w:trPr>
          <w:cantSplit/>
          <w:trHeight w:val="548"/>
        </w:trPr>
        <w:tc>
          <w:tcPr>
            <w:tcW w:w="2830" w:type="dxa"/>
            <w:shd w:val="clear" w:color="auto" w:fill="auto"/>
          </w:tcPr>
          <w:p w14:paraId="12179458" w14:textId="48225D02" w:rsidR="00B74ECB" w:rsidRPr="00B74ECB" w:rsidRDefault="00B74ECB" w:rsidP="00B74ECB">
            <w:pPr>
              <w:tabs>
                <w:tab w:val="clear" w:pos="975"/>
              </w:tabs>
              <w:rPr>
                <w:b/>
                <w:bCs/>
                <w:sz w:val="24"/>
                <w:szCs w:val="24"/>
              </w:rPr>
            </w:pPr>
            <w:r w:rsidRPr="00B74ECB">
              <w:rPr>
                <w:b/>
                <w:bCs/>
                <w:sz w:val="24"/>
                <w:szCs w:val="24"/>
              </w:rPr>
              <w:t>Naltrexone for gambling that harms.</w:t>
            </w:r>
          </w:p>
          <w:p w14:paraId="36952E4A" w14:textId="2DA2B323" w:rsidR="00B74ECB" w:rsidRPr="00B74ECB" w:rsidRDefault="00B74ECB" w:rsidP="00B74ECB">
            <w:pPr>
              <w:rPr>
                <w:sz w:val="24"/>
                <w:szCs w:val="24"/>
              </w:rPr>
            </w:pPr>
            <w:r w:rsidRPr="00B74ECB">
              <w:rPr>
                <w:sz w:val="24"/>
                <w:szCs w:val="24"/>
              </w:rPr>
              <w:t>Any prescription of Naltrexone for gambling disorder is off-license</w:t>
            </w:r>
          </w:p>
        </w:tc>
        <w:tc>
          <w:tcPr>
            <w:tcW w:w="2835" w:type="dxa"/>
            <w:shd w:val="clear" w:color="auto" w:fill="auto"/>
          </w:tcPr>
          <w:p w14:paraId="37E32E56" w14:textId="77777777" w:rsidR="00B74ECB" w:rsidRPr="00B74ECB" w:rsidRDefault="00B74ECB" w:rsidP="00B74ECB">
            <w:pPr>
              <w:pStyle w:val="paragraph"/>
              <w:shd w:val="clear" w:color="auto" w:fill="FF0000"/>
              <w:spacing w:before="60" w:beforeAutospacing="0" w:after="60" w:afterAutospacing="0"/>
              <w:textAlignment w:val="baseline"/>
              <w:rPr>
                <w:rStyle w:val="normaltextrun"/>
                <w:rFonts w:ascii="Arial" w:hAnsi="Arial" w:cs="Arial"/>
              </w:rPr>
            </w:pPr>
            <w:r w:rsidRPr="00B74ECB">
              <w:rPr>
                <w:rStyle w:val="normaltextrun"/>
                <w:rFonts w:ascii="Arial" w:hAnsi="Arial" w:cs="Arial"/>
              </w:rPr>
              <w:t>Red – for use by specialist gambling service only</w:t>
            </w:r>
          </w:p>
          <w:p w14:paraId="141DA633" w14:textId="4A709F26" w:rsidR="00B74ECB" w:rsidRPr="00B74ECB" w:rsidRDefault="00FA5593" w:rsidP="00B74ECB">
            <w:pPr>
              <w:tabs>
                <w:tab w:val="clear" w:pos="975"/>
              </w:tabs>
              <w:rPr>
                <w:rStyle w:val="normaltextrun"/>
                <w:sz w:val="24"/>
                <w:szCs w:val="24"/>
              </w:rPr>
            </w:pPr>
            <w:hyperlink r:id="rId15" w:tgtFrame="_blank" w:history="1">
              <w:r w:rsidR="00B74ECB" w:rsidRPr="00B74ECB">
                <w:rPr>
                  <w:rStyle w:val="Hyperlink"/>
                  <w:rFonts w:cs="Arial"/>
                  <w:sz w:val="24"/>
                  <w:szCs w:val="24"/>
                </w:rPr>
                <w:t>NG248: Gambling-related harms: identification, assessment and management</w:t>
              </w:r>
            </w:hyperlink>
            <w:r w:rsidR="00B74ECB" w:rsidRPr="00B74ECB">
              <w:rPr>
                <w:sz w:val="24"/>
                <w:szCs w:val="24"/>
              </w:rPr>
              <w:t> </w:t>
            </w:r>
          </w:p>
        </w:tc>
        <w:tc>
          <w:tcPr>
            <w:tcW w:w="4395" w:type="dxa"/>
            <w:shd w:val="clear" w:color="auto" w:fill="auto"/>
          </w:tcPr>
          <w:p w14:paraId="49DAEEB6" w14:textId="77777777" w:rsidR="00B74ECB" w:rsidRPr="00B74ECB" w:rsidRDefault="00B74ECB" w:rsidP="00B74ECB">
            <w:pPr>
              <w:tabs>
                <w:tab w:val="clear" w:pos="975"/>
              </w:tabs>
              <w:rPr>
                <w:iCs/>
                <w:sz w:val="24"/>
                <w:szCs w:val="24"/>
              </w:rPr>
            </w:pPr>
            <w:r w:rsidRPr="00B74ECB">
              <w:rPr>
                <w:iCs/>
                <w:sz w:val="24"/>
                <w:szCs w:val="24"/>
              </w:rPr>
              <w:t>NICE recommends that naltrexone should be started by, or under the supervision of, an appropriately qualified and experienced specialist.  </w:t>
            </w:r>
          </w:p>
          <w:p w14:paraId="507DB9C9" w14:textId="6F04A564" w:rsidR="00B74ECB" w:rsidRPr="00B74ECB" w:rsidRDefault="00FA5593" w:rsidP="00B74ECB">
            <w:pPr>
              <w:tabs>
                <w:tab w:val="clear" w:pos="975"/>
              </w:tabs>
              <w:ind w:left="20"/>
              <w:rPr>
                <w:rStyle w:val="normaltextrun"/>
                <w:sz w:val="24"/>
                <w:szCs w:val="24"/>
              </w:rPr>
            </w:pPr>
            <w:hyperlink r:id="rId16" w:tgtFrame="_blank" w:history="1">
              <w:r w:rsidR="00B74ECB" w:rsidRPr="00B74ECB">
                <w:rPr>
                  <w:rStyle w:val="Hyperlink"/>
                  <w:rFonts w:cs="Arial"/>
                  <w:iCs/>
                  <w:sz w:val="24"/>
                  <w:szCs w:val="24"/>
                </w:rPr>
                <w:t>A national prescribing guideline is available.</w:t>
              </w:r>
            </w:hyperlink>
            <w:r w:rsidR="00B74ECB" w:rsidRPr="00B74ECB">
              <w:rPr>
                <w:iCs/>
                <w:sz w:val="24"/>
                <w:szCs w:val="24"/>
              </w:rPr>
              <w:t> </w:t>
            </w:r>
          </w:p>
        </w:tc>
        <w:tc>
          <w:tcPr>
            <w:tcW w:w="3969" w:type="dxa"/>
          </w:tcPr>
          <w:p w14:paraId="024D23E6" w14:textId="2049CF09" w:rsidR="00B74ECB" w:rsidRPr="00B74ECB" w:rsidRDefault="00B74ECB" w:rsidP="00B74ECB">
            <w:pPr>
              <w:rPr>
                <w:sz w:val="24"/>
                <w:szCs w:val="24"/>
              </w:rPr>
            </w:pPr>
            <w:r w:rsidRPr="00B74ECB">
              <w:rPr>
                <w:sz w:val="24"/>
                <w:szCs w:val="24"/>
              </w:rPr>
              <w:t>Naltrexone costs approximately £500 per person per 6 months.  </w:t>
            </w:r>
          </w:p>
        </w:tc>
        <w:tc>
          <w:tcPr>
            <w:tcW w:w="1852" w:type="dxa"/>
            <w:shd w:val="clear" w:color="auto" w:fill="FFFFFF"/>
          </w:tcPr>
          <w:p w14:paraId="4A9860B7" w14:textId="77777777" w:rsidR="00B74ECB" w:rsidRPr="00B74ECB" w:rsidRDefault="00B74ECB" w:rsidP="00B74ECB">
            <w:pPr>
              <w:rPr>
                <w:iCs/>
                <w:sz w:val="24"/>
                <w:szCs w:val="24"/>
                <w:lang w:val="en-US"/>
              </w:rPr>
            </w:pPr>
            <w:r w:rsidRPr="00B74ECB">
              <w:rPr>
                <w:iCs/>
                <w:sz w:val="24"/>
                <w:szCs w:val="24"/>
                <w:lang w:val="en-US"/>
              </w:rPr>
              <w:t>Approve addition to formulary</w:t>
            </w:r>
          </w:p>
          <w:p w14:paraId="6466D3CB" w14:textId="77777777" w:rsidR="00B74ECB" w:rsidRPr="00B74ECB" w:rsidRDefault="00B74ECB" w:rsidP="00B74ECB">
            <w:pPr>
              <w:rPr>
                <w:iCs/>
                <w:sz w:val="24"/>
                <w:szCs w:val="24"/>
                <w:lang w:val="en-US"/>
              </w:rPr>
            </w:pPr>
          </w:p>
        </w:tc>
      </w:tr>
      <w:tr w:rsidR="00AB66B9" w:rsidRPr="00D37628" w14:paraId="47C46057" w14:textId="77777777" w:rsidTr="00D37628">
        <w:trPr>
          <w:cantSplit/>
          <w:trHeight w:val="548"/>
        </w:trPr>
        <w:tc>
          <w:tcPr>
            <w:tcW w:w="2830" w:type="dxa"/>
            <w:shd w:val="clear" w:color="auto" w:fill="auto"/>
          </w:tcPr>
          <w:p w14:paraId="643D7F14" w14:textId="77777777" w:rsidR="00AB66B9" w:rsidRDefault="00AB66B9" w:rsidP="00AB66B9">
            <w:pPr>
              <w:tabs>
                <w:tab w:val="clear" w:pos="975"/>
              </w:tabs>
              <w:rPr>
                <w:b/>
                <w:bCs/>
                <w:sz w:val="24"/>
                <w:szCs w:val="24"/>
              </w:rPr>
            </w:pPr>
            <w:r>
              <w:rPr>
                <w:b/>
                <w:bCs/>
                <w:sz w:val="24"/>
                <w:szCs w:val="24"/>
              </w:rPr>
              <w:lastRenderedPageBreak/>
              <w:t>Lipid management pathway</w:t>
            </w:r>
          </w:p>
          <w:p w14:paraId="2ABD53D0" w14:textId="77777777" w:rsidR="00B801EC" w:rsidRDefault="00B801EC" w:rsidP="00AB66B9">
            <w:pPr>
              <w:tabs>
                <w:tab w:val="clear" w:pos="975"/>
              </w:tabs>
              <w:rPr>
                <w:b/>
                <w:bCs/>
                <w:sz w:val="24"/>
                <w:szCs w:val="24"/>
              </w:rPr>
            </w:pPr>
          </w:p>
          <w:p w14:paraId="11A0FD01" w14:textId="7F42EF27" w:rsidR="00B801EC" w:rsidRPr="00D37628" w:rsidRDefault="00B801EC" w:rsidP="00AB66B9">
            <w:pPr>
              <w:tabs>
                <w:tab w:val="clear" w:pos="975"/>
              </w:tabs>
              <w:rPr>
                <w:b/>
                <w:bCs/>
                <w:sz w:val="24"/>
                <w:szCs w:val="24"/>
              </w:rPr>
            </w:pPr>
            <w:r>
              <w:rPr>
                <w:b/>
                <w:bCs/>
                <w:sz w:val="24"/>
                <w:szCs w:val="24"/>
              </w:rPr>
              <w:object w:dxaOrig="1533" w:dyaOrig="991" w14:anchorId="45DD9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AcroExch.Document.DC" ShapeID="_x0000_i1025" DrawAspect="Icon" ObjectID="_1809266150" r:id="rId18"/>
              </w:object>
            </w:r>
          </w:p>
        </w:tc>
        <w:tc>
          <w:tcPr>
            <w:tcW w:w="2835" w:type="dxa"/>
            <w:shd w:val="clear" w:color="auto" w:fill="auto"/>
          </w:tcPr>
          <w:p w14:paraId="1994B336" w14:textId="77777777" w:rsidR="00AB66B9" w:rsidRDefault="001B7451" w:rsidP="00AB66B9">
            <w:pPr>
              <w:rPr>
                <w:sz w:val="24"/>
                <w:szCs w:val="24"/>
              </w:rPr>
            </w:pPr>
            <w:r>
              <w:rPr>
                <w:sz w:val="24"/>
                <w:szCs w:val="24"/>
              </w:rPr>
              <w:t xml:space="preserve">Align RAG status with the pathway: </w:t>
            </w:r>
          </w:p>
          <w:p w14:paraId="78ABEDD0" w14:textId="019EC841" w:rsidR="001B7451" w:rsidRPr="001B7451" w:rsidRDefault="001B7451" w:rsidP="001B7451">
            <w:pPr>
              <w:rPr>
                <w:sz w:val="24"/>
                <w:szCs w:val="24"/>
              </w:rPr>
            </w:pPr>
            <w:r w:rsidRPr="001B7451">
              <w:rPr>
                <w:sz w:val="24"/>
                <w:szCs w:val="24"/>
              </w:rPr>
              <w:t xml:space="preserve">Atorvastatin - Green </w:t>
            </w:r>
          </w:p>
          <w:p w14:paraId="76CF4489" w14:textId="4C2FC2FA" w:rsidR="001B7451" w:rsidRPr="001B7451" w:rsidRDefault="001B7451" w:rsidP="001B7451">
            <w:pPr>
              <w:rPr>
                <w:sz w:val="24"/>
                <w:szCs w:val="24"/>
              </w:rPr>
            </w:pPr>
            <w:r w:rsidRPr="001B7451">
              <w:rPr>
                <w:sz w:val="24"/>
                <w:szCs w:val="24"/>
              </w:rPr>
              <w:t xml:space="preserve">Rosuvastatin - Green </w:t>
            </w:r>
          </w:p>
          <w:p w14:paraId="08854544" w14:textId="0DC32AE0" w:rsidR="001B7451" w:rsidRPr="001B7451" w:rsidRDefault="001B7451" w:rsidP="001B7451">
            <w:pPr>
              <w:rPr>
                <w:sz w:val="24"/>
                <w:szCs w:val="24"/>
              </w:rPr>
            </w:pPr>
            <w:r w:rsidRPr="001B7451">
              <w:rPr>
                <w:sz w:val="24"/>
                <w:szCs w:val="24"/>
              </w:rPr>
              <w:t xml:space="preserve">Ezetimibe - Green </w:t>
            </w:r>
          </w:p>
          <w:p w14:paraId="7BBF012A" w14:textId="0471E524" w:rsidR="001B7451" w:rsidRPr="001B7451" w:rsidRDefault="001B7451" w:rsidP="001B7451">
            <w:pPr>
              <w:rPr>
                <w:sz w:val="24"/>
                <w:szCs w:val="24"/>
              </w:rPr>
            </w:pPr>
            <w:r w:rsidRPr="001B7451">
              <w:rPr>
                <w:sz w:val="24"/>
                <w:szCs w:val="24"/>
              </w:rPr>
              <w:t xml:space="preserve">Bempedoic acid 180mg and Ezetimibe 10mg - Green (with pathway/guideline) </w:t>
            </w:r>
          </w:p>
          <w:p w14:paraId="699CA2B0" w14:textId="064175FE" w:rsidR="001B7451" w:rsidRPr="001B7451" w:rsidRDefault="001B7451" w:rsidP="001B7451">
            <w:pPr>
              <w:rPr>
                <w:sz w:val="24"/>
                <w:szCs w:val="24"/>
              </w:rPr>
            </w:pPr>
            <w:r w:rsidRPr="001B7451">
              <w:rPr>
                <w:sz w:val="24"/>
                <w:szCs w:val="24"/>
              </w:rPr>
              <w:t xml:space="preserve">Bempedoic acid - Green (with pathway/guideline) </w:t>
            </w:r>
          </w:p>
          <w:p w14:paraId="391A32A6" w14:textId="0991BBD2" w:rsidR="001B7451" w:rsidRPr="001B7451" w:rsidRDefault="001B7451" w:rsidP="001B7451">
            <w:pPr>
              <w:rPr>
                <w:sz w:val="24"/>
                <w:szCs w:val="24"/>
              </w:rPr>
            </w:pPr>
            <w:r w:rsidRPr="001B7451">
              <w:rPr>
                <w:sz w:val="24"/>
                <w:szCs w:val="24"/>
              </w:rPr>
              <w:t xml:space="preserve">Icosapent Ethyl - Green (with pathway/guideline) </w:t>
            </w:r>
          </w:p>
          <w:p w14:paraId="3D15D5AF" w14:textId="11267662" w:rsidR="001B7451" w:rsidRPr="001B7451" w:rsidRDefault="001B7451" w:rsidP="001B7451">
            <w:pPr>
              <w:rPr>
                <w:sz w:val="24"/>
                <w:szCs w:val="24"/>
              </w:rPr>
            </w:pPr>
            <w:r w:rsidRPr="001B7451">
              <w:rPr>
                <w:sz w:val="24"/>
                <w:szCs w:val="24"/>
              </w:rPr>
              <w:t xml:space="preserve">Inclisiran - Green (with pathway/guideline) </w:t>
            </w:r>
          </w:p>
          <w:p w14:paraId="09B36A14" w14:textId="0EEAD75B" w:rsidR="001B7451" w:rsidRPr="001B7451" w:rsidRDefault="001B7451" w:rsidP="001B7451">
            <w:pPr>
              <w:rPr>
                <w:sz w:val="24"/>
                <w:szCs w:val="24"/>
              </w:rPr>
            </w:pPr>
            <w:r w:rsidRPr="001B7451">
              <w:rPr>
                <w:sz w:val="24"/>
                <w:szCs w:val="24"/>
              </w:rPr>
              <w:t xml:space="preserve">Alirocumab injection - Red </w:t>
            </w:r>
          </w:p>
          <w:p w14:paraId="6816D8CA" w14:textId="5E93336F" w:rsidR="001B7451" w:rsidRPr="00D37628" w:rsidRDefault="001B7451" w:rsidP="00AB66B9">
            <w:pPr>
              <w:rPr>
                <w:sz w:val="24"/>
                <w:szCs w:val="24"/>
              </w:rPr>
            </w:pPr>
            <w:proofErr w:type="spellStart"/>
            <w:r w:rsidRPr="001B7451">
              <w:rPr>
                <w:sz w:val="24"/>
                <w:szCs w:val="24"/>
              </w:rPr>
              <w:t>Evolucumab</w:t>
            </w:r>
            <w:proofErr w:type="spellEnd"/>
            <w:r w:rsidRPr="001B7451">
              <w:rPr>
                <w:sz w:val="24"/>
                <w:szCs w:val="24"/>
              </w:rPr>
              <w:t xml:space="preserve"> injection - Red </w:t>
            </w:r>
          </w:p>
        </w:tc>
        <w:tc>
          <w:tcPr>
            <w:tcW w:w="4395" w:type="dxa"/>
            <w:shd w:val="clear" w:color="auto" w:fill="auto"/>
          </w:tcPr>
          <w:p w14:paraId="53AD927E" w14:textId="77777777" w:rsidR="00AB66B9" w:rsidRDefault="001B7451" w:rsidP="00AB66B9">
            <w:pPr>
              <w:tabs>
                <w:tab w:val="clear" w:pos="975"/>
              </w:tabs>
              <w:rPr>
                <w:iCs/>
                <w:sz w:val="24"/>
                <w:szCs w:val="24"/>
              </w:rPr>
            </w:pPr>
            <w:r>
              <w:rPr>
                <w:iCs/>
                <w:sz w:val="24"/>
                <w:szCs w:val="24"/>
              </w:rPr>
              <w:t xml:space="preserve">The pathway is aligned with national guidance, other than placing oral options ahead of injectable options in secondary prevention, and allowing atorvastatin 20mg as a starting dose. </w:t>
            </w:r>
          </w:p>
          <w:p w14:paraId="208AEF28" w14:textId="77777777" w:rsidR="001B7451" w:rsidRDefault="001B7451" w:rsidP="00AB66B9">
            <w:pPr>
              <w:tabs>
                <w:tab w:val="clear" w:pos="975"/>
              </w:tabs>
              <w:rPr>
                <w:iCs/>
                <w:sz w:val="24"/>
                <w:szCs w:val="24"/>
              </w:rPr>
            </w:pPr>
            <w:r>
              <w:rPr>
                <w:iCs/>
                <w:sz w:val="24"/>
                <w:szCs w:val="24"/>
              </w:rPr>
              <w:t xml:space="preserve">The Health Innovation Network have designed an e-lipid interactive pathway to support this piece, which will be supported by an educational package. </w:t>
            </w:r>
          </w:p>
          <w:p w14:paraId="4F87BDE2" w14:textId="5CB35EBF" w:rsidR="001B7451" w:rsidRPr="00D37628" w:rsidRDefault="001B7451" w:rsidP="00AB66B9">
            <w:pPr>
              <w:tabs>
                <w:tab w:val="clear" w:pos="975"/>
              </w:tabs>
              <w:rPr>
                <w:iCs/>
                <w:sz w:val="24"/>
                <w:szCs w:val="24"/>
              </w:rPr>
            </w:pPr>
            <w:r>
              <w:rPr>
                <w:iCs/>
                <w:sz w:val="24"/>
                <w:szCs w:val="24"/>
              </w:rPr>
              <w:t xml:space="preserve">The pathway is aligned with national work done on inclisiran, including NICE technology appraisal guidance, NHSE publications, and the updated GP contract. </w:t>
            </w:r>
          </w:p>
        </w:tc>
        <w:tc>
          <w:tcPr>
            <w:tcW w:w="3969" w:type="dxa"/>
          </w:tcPr>
          <w:p w14:paraId="7C25B9E6" w14:textId="77777777" w:rsidR="001B7451" w:rsidRDefault="001B7451" w:rsidP="00AB66B9">
            <w:pPr>
              <w:rPr>
                <w:sz w:val="24"/>
                <w:szCs w:val="24"/>
              </w:rPr>
            </w:pPr>
            <w:r>
              <w:rPr>
                <w:sz w:val="24"/>
                <w:szCs w:val="24"/>
              </w:rPr>
              <w:t xml:space="preserve">Inclisiran is centrally funded by NHSE, as set out in </w:t>
            </w:r>
            <w:hyperlink r:id="rId19" w:anchor=":~:text=It%20is%20stated%20that%20inclisiran,the%20local%20ICB%20drugs%20budget" w:history="1">
              <w:r w:rsidRPr="001B7451">
                <w:rPr>
                  <w:rStyle w:val="Hyperlink"/>
                  <w:rFonts w:cs="Arial"/>
                  <w:sz w:val="24"/>
                  <w:szCs w:val="24"/>
                </w:rPr>
                <w:t>Funding and Supply of inclisiran (March 2025)</w:t>
              </w:r>
            </w:hyperlink>
            <w:r>
              <w:rPr>
                <w:sz w:val="24"/>
                <w:szCs w:val="24"/>
              </w:rPr>
              <w:t xml:space="preserve">. </w:t>
            </w:r>
          </w:p>
          <w:p w14:paraId="05D7258B" w14:textId="274251DF" w:rsidR="00AB66B9" w:rsidRDefault="001B7451" w:rsidP="00AB66B9">
            <w:pPr>
              <w:rPr>
                <w:sz w:val="24"/>
                <w:szCs w:val="24"/>
              </w:rPr>
            </w:pPr>
            <w:r>
              <w:rPr>
                <w:sz w:val="24"/>
                <w:szCs w:val="24"/>
              </w:rPr>
              <w:t>There is a</w:t>
            </w:r>
            <w:r w:rsidR="00AB66B9">
              <w:rPr>
                <w:sz w:val="24"/>
                <w:szCs w:val="24"/>
              </w:rPr>
              <w:t xml:space="preserve"> </w:t>
            </w:r>
            <w:r>
              <w:rPr>
                <w:sz w:val="24"/>
                <w:szCs w:val="24"/>
              </w:rPr>
              <w:t>reimbursement to GP practices</w:t>
            </w:r>
            <w:r w:rsidR="00C02D41">
              <w:rPr>
                <w:sz w:val="24"/>
                <w:szCs w:val="24"/>
              </w:rPr>
              <w:t xml:space="preserve"> of £60</w:t>
            </w:r>
            <w:r>
              <w:rPr>
                <w:sz w:val="24"/>
                <w:szCs w:val="24"/>
              </w:rPr>
              <w:t xml:space="preserve"> </w:t>
            </w:r>
            <w:r w:rsidR="00FA5593">
              <w:rPr>
                <w:sz w:val="24"/>
                <w:szCs w:val="24"/>
              </w:rPr>
              <w:t xml:space="preserve">(previously £50) </w:t>
            </w:r>
            <w:r>
              <w:rPr>
                <w:sz w:val="24"/>
                <w:szCs w:val="24"/>
              </w:rPr>
              <w:t xml:space="preserve">which is charged to the local ICB </w:t>
            </w:r>
            <w:r w:rsidR="00AB66B9">
              <w:rPr>
                <w:sz w:val="24"/>
                <w:szCs w:val="24"/>
              </w:rPr>
              <w:t>prescribing budget</w:t>
            </w:r>
            <w:r w:rsidR="00C02D41">
              <w:rPr>
                <w:sz w:val="24"/>
                <w:szCs w:val="24"/>
              </w:rPr>
              <w:t>, but this is lower than the acquisition cost of inclisiran (£1987 per syringe)</w:t>
            </w:r>
            <w:r>
              <w:rPr>
                <w:sz w:val="24"/>
                <w:szCs w:val="24"/>
              </w:rPr>
              <w:t xml:space="preserve"> </w:t>
            </w:r>
          </w:p>
          <w:p w14:paraId="258C74A6" w14:textId="36CC0FAE" w:rsidR="00AB66B9" w:rsidRPr="00D37628" w:rsidRDefault="00FA5593" w:rsidP="00AB66B9">
            <w:pPr>
              <w:rPr>
                <w:sz w:val="24"/>
                <w:szCs w:val="24"/>
              </w:rPr>
            </w:pPr>
            <w:r>
              <w:rPr>
                <w:sz w:val="24"/>
                <w:szCs w:val="24"/>
              </w:rPr>
              <w:t>There were 1,462 items prescribed in the last 12 months, so the total additional budget impact may be around £14,620 assuming prescribing rates remain similar. This had already been approved via the LES review, although inclisiran has now been removed from the LES.</w:t>
            </w:r>
            <w:bookmarkStart w:id="0" w:name="_GoBack"/>
            <w:bookmarkEnd w:id="0"/>
          </w:p>
        </w:tc>
        <w:tc>
          <w:tcPr>
            <w:tcW w:w="1852" w:type="dxa"/>
            <w:shd w:val="clear" w:color="auto" w:fill="FFFFFF"/>
          </w:tcPr>
          <w:p w14:paraId="61ECF3F2" w14:textId="25A47C9B" w:rsidR="00AB66B9" w:rsidRPr="00B74ECB" w:rsidRDefault="00AB66B9" w:rsidP="00AB66B9">
            <w:pPr>
              <w:rPr>
                <w:iCs/>
                <w:sz w:val="24"/>
                <w:szCs w:val="24"/>
                <w:lang w:val="en-US"/>
              </w:rPr>
            </w:pPr>
            <w:r w:rsidRPr="00B74ECB">
              <w:rPr>
                <w:iCs/>
                <w:sz w:val="24"/>
                <w:szCs w:val="24"/>
                <w:lang w:val="en-US"/>
              </w:rPr>
              <w:t xml:space="preserve">Approve </w:t>
            </w:r>
            <w:r>
              <w:rPr>
                <w:iCs/>
                <w:sz w:val="24"/>
                <w:szCs w:val="24"/>
                <w:lang w:val="en-US"/>
              </w:rPr>
              <w:t>publication of the pathway</w:t>
            </w:r>
          </w:p>
          <w:p w14:paraId="1863CD36" w14:textId="77777777" w:rsidR="00AB66B9" w:rsidRPr="00D37628" w:rsidRDefault="00AB66B9" w:rsidP="00AB66B9">
            <w:pPr>
              <w:rPr>
                <w:iCs/>
                <w:sz w:val="24"/>
                <w:szCs w:val="24"/>
                <w:lang w:val="en-US"/>
              </w:rPr>
            </w:pPr>
          </w:p>
        </w:tc>
      </w:tr>
    </w:tbl>
    <w:p w14:paraId="53A9D2E7" w14:textId="77777777" w:rsidR="00172933" w:rsidRDefault="00172933">
      <w:pPr>
        <w:tabs>
          <w:tab w:val="clear" w:pos="975"/>
        </w:tabs>
        <w:spacing w:before="0" w:after="0"/>
        <w:rPr>
          <w:sz w:val="20"/>
          <w:lang w:val="en-US" w:eastAsia="ja-JP"/>
        </w:rPr>
      </w:pPr>
      <w:r>
        <w:rPr>
          <w:sz w:val="20"/>
          <w:lang w:val="en-US" w:eastAsia="ja-JP"/>
        </w:rPr>
        <w:br w:type="page"/>
      </w:r>
    </w:p>
    <w:p w14:paraId="5BBCEA6B" w14:textId="77777777" w:rsidR="005C0229" w:rsidRPr="00383A54" w:rsidRDefault="005C0229" w:rsidP="00383A54">
      <w:pPr>
        <w:spacing w:before="0" w:after="0"/>
        <w:rPr>
          <w:sz w:val="20"/>
          <w:lang w:val="en-US" w:eastAsia="ja-JP"/>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383A54" w:rsidRPr="00383A54" w14:paraId="473BE708" w14:textId="77777777" w:rsidTr="00063CFB">
        <w:trPr>
          <w:cantSplit/>
        </w:trPr>
        <w:tc>
          <w:tcPr>
            <w:tcW w:w="5000" w:type="pct"/>
            <w:shd w:val="clear" w:color="auto" w:fill="auto"/>
          </w:tcPr>
          <w:p w14:paraId="6DC8B104" w14:textId="78D45245" w:rsidR="00383A54"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DECISIONS WITH</w:t>
            </w:r>
            <w:r w:rsidR="00C97823">
              <w:rPr>
                <w:rFonts w:eastAsia="Calibri"/>
                <w:b/>
                <w:color w:val="1F497D"/>
                <w:sz w:val="24"/>
                <w:szCs w:val="24"/>
              </w:rPr>
              <w:t>OUT</w:t>
            </w:r>
            <w:r w:rsidRPr="00383A54">
              <w:rPr>
                <w:rFonts w:eastAsia="Calibri"/>
                <w:b/>
                <w:color w:val="1F497D"/>
                <w:sz w:val="24"/>
                <w:szCs w:val="24"/>
              </w:rPr>
              <w:t xml:space="preserve">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601AEC0E" w14:textId="77777777" w:rsidR="00383A54" w:rsidRPr="00383A54" w:rsidRDefault="00383A54" w:rsidP="00383A54">
      <w:pPr>
        <w:spacing w:before="0" w:after="0"/>
        <w:rPr>
          <w:sz w:val="20"/>
          <w:lang w:val="en-US" w:eastAsia="ja-JP"/>
        </w:rPr>
      </w:pPr>
    </w:p>
    <w:p w14:paraId="03DEC03D" w14:textId="77777777" w:rsidR="00383A54" w:rsidRPr="00383A54" w:rsidRDefault="00383A54" w:rsidP="00383A54">
      <w:pPr>
        <w:spacing w:before="0" w:after="0"/>
        <w:rPr>
          <w:sz w:val="10"/>
          <w:szCs w:val="10"/>
          <w:lang w:val="en-US" w:eastAsia="ja-JP"/>
        </w:rPr>
        <w:sectPr w:rsidR="00383A54" w:rsidRPr="00383A54" w:rsidSect="00040A7D">
          <w:headerReference w:type="even" r:id="rId20"/>
          <w:headerReference w:type="default" r:id="rId21"/>
          <w:footerReference w:type="even" r:id="rId22"/>
          <w:headerReference w:type="first" r:id="rId23"/>
          <w:type w:val="continuous"/>
          <w:pgSz w:w="16840" w:h="11910" w:orient="landscape"/>
          <w:pgMar w:top="508" w:right="520" w:bottom="993" w:left="426" w:header="301" w:footer="17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685"/>
        <w:gridCol w:w="3402"/>
        <w:gridCol w:w="3945"/>
        <w:gridCol w:w="2160"/>
      </w:tblGrid>
      <w:tr w:rsidR="00D37628" w:rsidRPr="00172933" w14:paraId="0360D02E" w14:textId="77777777" w:rsidTr="00D37628">
        <w:trPr>
          <w:cantSplit/>
          <w:trHeight w:val="548"/>
          <w:tblHeader/>
        </w:trPr>
        <w:tc>
          <w:tcPr>
            <w:tcW w:w="2689" w:type="dxa"/>
            <w:tcBorders>
              <w:bottom w:val="single" w:sz="4" w:space="0" w:color="auto"/>
            </w:tcBorders>
            <w:shd w:val="clear" w:color="auto" w:fill="B6DDE8"/>
          </w:tcPr>
          <w:p w14:paraId="4FE4577D" w14:textId="77777777" w:rsidR="00D37628" w:rsidRPr="00172933" w:rsidRDefault="00D37628" w:rsidP="00D37628">
            <w:pPr>
              <w:tabs>
                <w:tab w:val="clear" w:pos="975"/>
              </w:tabs>
              <w:rPr>
                <w:rFonts w:eastAsia="Calibri"/>
                <w:b/>
                <w:sz w:val="24"/>
                <w:szCs w:val="24"/>
              </w:rPr>
            </w:pPr>
            <w:r w:rsidRPr="00172933">
              <w:rPr>
                <w:rFonts w:eastAsia="Calibri"/>
                <w:b/>
                <w:sz w:val="24"/>
                <w:szCs w:val="24"/>
              </w:rPr>
              <w:t xml:space="preserve">Drug and indication </w:t>
            </w:r>
          </w:p>
        </w:tc>
        <w:tc>
          <w:tcPr>
            <w:tcW w:w="3685" w:type="dxa"/>
            <w:tcBorders>
              <w:bottom w:val="single" w:sz="4" w:space="0" w:color="auto"/>
            </w:tcBorders>
            <w:shd w:val="clear" w:color="auto" w:fill="B6DDE8"/>
          </w:tcPr>
          <w:p w14:paraId="05FD2BD5" w14:textId="77777777" w:rsidR="00D37628" w:rsidRPr="00172933" w:rsidRDefault="00D37628" w:rsidP="00D37628">
            <w:pPr>
              <w:tabs>
                <w:tab w:val="clear" w:pos="975"/>
              </w:tabs>
              <w:rPr>
                <w:rFonts w:eastAsia="Calibri"/>
                <w:b/>
                <w:sz w:val="24"/>
                <w:szCs w:val="24"/>
              </w:rPr>
            </w:pPr>
            <w:r w:rsidRPr="00172933">
              <w:rPr>
                <w:rFonts w:eastAsia="Calibri"/>
                <w:b/>
                <w:sz w:val="24"/>
                <w:szCs w:val="24"/>
              </w:rPr>
              <w:t>Status and formulary position assigned</w:t>
            </w:r>
          </w:p>
        </w:tc>
        <w:tc>
          <w:tcPr>
            <w:tcW w:w="3402" w:type="dxa"/>
            <w:tcBorders>
              <w:bottom w:val="single" w:sz="4" w:space="0" w:color="auto"/>
            </w:tcBorders>
            <w:shd w:val="clear" w:color="auto" w:fill="B6DDE8"/>
          </w:tcPr>
          <w:p w14:paraId="5C87408D" w14:textId="77777777" w:rsidR="00D37628" w:rsidRPr="00172933" w:rsidRDefault="00D37628" w:rsidP="00D37628">
            <w:pPr>
              <w:tabs>
                <w:tab w:val="clear" w:pos="975"/>
              </w:tabs>
              <w:rPr>
                <w:rFonts w:eastAsia="Calibri"/>
                <w:b/>
                <w:sz w:val="24"/>
                <w:szCs w:val="24"/>
              </w:rPr>
            </w:pPr>
            <w:r w:rsidRPr="00172933">
              <w:rPr>
                <w:rFonts w:eastAsia="Calibri"/>
                <w:b/>
                <w:sz w:val="24"/>
                <w:szCs w:val="24"/>
              </w:rPr>
              <w:t>Notes on decision</w:t>
            </w:r>
          </w:p>
        </w:tc>
        <w:tc>
          <w:tcPr>
            <w:tcW w:w="3945" w:type="dxa"/>
            <w:tcBorders>
              <w:bottom w:val="single" w:sz="4" w:space="0" w:color="auto"/>
            </w:tcBorders>
            <w:shd w:val="clear" w:color="auto" w:fill="B6DDE8"/>
          </w:tcPr>
          <w:p w14:paraId="4BC44793" w14:textId="77777777" w:rsidR="00D37628" w:rsidRPr="00172933" w:rsidRDefault="00D37628" w:rsidP="00D37628">
            <w:pPr>
              <w:tabs>
                <w:tab w:val="clear" w:pos="975"/>
              </w:tabs>
              <w:rPr>
                <w:rFonts w:eastAsia="Calibri"/>
                <w:b/>
                <w:sz w:val="24"/>
                <w:szCs w:val="24"/>
              </w:rPr>
            </w:pPr>
            <w:r w:rsidRPr="00172933">
              <w:rPr>
                <w:rFonts w:eastAsia="Calibri"/>
                <w:b/>
                <w:sz w:val="24"/>
                <w:szCs w:val="24"/>
              </w:rPr>
              <w:t>Cost impact and commissioning / service implications</w:t>
            </w:r>
          </w:p>
        </w:tc>
        <w:tc>
          <w:tcPr>
            <w:tcW w:w="2160" w:type="dxa"/>
            <w:tcBorders>
              <w:bottom w:val="single" w:sz="4" w:space="0" w:color="auto"/>
            </w:tcBorders>
            <w:shd w:val="clear" w:color="auto" w:fill="B6DDE8"/>
          </w:tcPr>
          <w:p w14:paraId="43FAB0E3" w14:textId="107AD7DC" w:rsidR="00D37628" w:rsidRPr="00172933" w:rsidRDefault="00D37628" w:rsidP="00D37628">
            <w:pPr>
              <w:tabs>
                <w:tab w:val="clear" w:pos="975"/>
              </w:tabs>
              <w:rPr>
                <w:rFonts w:eastAsia="Calibri"/>
                <w:b/>
                <w:sz w:val="24"/>
                <w:szCs w:val="24"/>
              </w:rPr>
            </w:pPr>
            <w:r w:rsidRPr="00B74ECB">
              <w:rPr>
                <w:rFonts w:eastAsia="Calibri"/>
                <w:b/>
                <w:sz w:val="24"/>
                <w:szCs w:val="24"/>
              </w:rPr>
              <w:t>APC decision</w:t>
            </w:r>
          </w:p>
        </w:tc>
      </w:tr>
      <w:tr w:rsidR="00D37628" w:rsidRPr="00B74ECB" w14:paraId="47963108" w14:textId="77777777" w:rsidTr="00D37628">
        <w:trPr>
          <w:cantSplit/>
          <w:trHeight w:val="548"/>
        </w:trPr>
        <w:tc>
          <w:tcPr>
            <w:tcW w:w="2689" w:type="dxa"/>
            <w:shd w:val="clear" w:color="auto" w:fill="FFFFFF" w:themeFill="background1"/>
          </w:tcPr>
          <w:p w14:paraId="5EBE2E85" w14:textId="5F866866" w:rsidR="00D37628" w:rsidRPr="00B74ECB" w:rsidRDefault="00D37628" w:rsidP="00D37628">
            <w:pPr>
              <w:tabs>
                <w:tab w:val="clear" w:pos="975"/>
              </w:tabs>
              <w:rPr>
                <w:b/>
                <w:bCs/>
                <w:sz w:val="24"/>
                <w:szCs w:val="24"/>
              </w:rPr>
            </w:pPr>
            <w:r w:rsidRPr="00B74ECB">
              <w:rPr>
                <w:b/>
                <w:bCs/>
                <w:color w:val="000000"/>
                <w:sz w:val="24"/>
                <w:szCs w:val="24"/>
              </w:rPr>
              <w:t>Cytisinicline</w:t>
            </w:r>
            <w:r>
              <w:rPr>
                <w:b/>
                <w:bCs/>
                <w:color w:val="000000"/>
                <w:sz w:val="24"/>
                <w:szCs w:val="24"/>
              </w:rPr>
              <w:t xml:space="preserve"> </w:t>
            </w:r>
            <w:r w:rsidRPr="00B74ECB">
              <w:rPr>
                <w:b/>
                <w:bCs/>
                <w:color w:val="000000"/>
                <w:sz w:val="24"/>
                <w:szCs w:val="24"/>
              </w:rPr>
              <w:t>(</w:t>
            </w:r>
            <w:r>
              <w:rPr>
                <w:b/>
                <w:bCs/>
                <w:color w:val="000000"/>
                <w:sz w:val="24"/>
                <w:szCs w:val="24"/>
              </w:rPr>
              <w:t>c</w:t>
            </w:r>
            <w:r w:rsidRPr="00B74ECB">
              <w:rPr>
                <w:b/>
                <w:bCs/>
                <w:color w:val="000000"/>
                <w:sz w:val="24"/>
                <w:szCs w:val="24"/>
              </w:rPr>
              <w:t>ytisine) tablets</w:t>
            </w:r>
            <w:r>
              <w:rPr>
                <w:b/>
                <w:bCs/>
                <w:color w:val="000000"/>
                <w:sz w:val="24"/>
                <w:szCs w:val="24"/>
              </w:rPr>
              <w:t xml:space="preserve"> </w:t>
            </w:r>
            <w:r>
              <w:rPr>
                <w:color w:val="000000"/>
                <w:sz w:val="24"/>
                <w:szCs w:val="24"/>
              </w:rPr>
              <w:t>for s</w:t>
            </w:r>
            <w:r w:rsidRPr="00B74ECB">
              <w:rPr>
                <w:color w:val="000000"/>
                <w:sz w:val="24"/>
                <w:szCs w:val="24"/>
              </w:rPr>
              <w:t>moking cessation and reduction of nicotine craving in those who are willing to stop smoking</w:t>
            </w:r>
          </w:p>
        </w:tc>
        <w:tc>
          <w:tcPr>
            <w:tcW w:w="3685" w:type="dxa"/>
            <w:shd w:val="clear" w:color="auto" w:fill="FFFFFF" w:themeFill="background1"/>
          </w:tcPr>
          <w:p w14:paraId="06D2FF4B" w14:textId="7B36B7BA" w:rsidR="00D37628" w:rsidRPr="00B74ECB" w:rsidRDefault="00D37628" w:rsidP="00D37628">
            <w:pPr>
              <w:shd w:val="clear" w:color="auto" w:fill="FF0000"/>
              <w:rPr>
                <w:sz w:val="24"/>
                <w:szCs w:val="24"/>
              </w:rPr>
            </w:pPr>
            <w:r w:rsidRPr="00B74ECB">
              <w:rPr>
                <w:sz w:val="24"/>
                <w:szCs w:val="24"/>
              </w:rPr>
              <w:t>RED</w:t>
            </w:r>
          </w:p>
          <w:p w14:paraId="29228968" w14:textId="77777777" w:rsidR="00D37628" w:rsidRDefault="00D37628" w:rsidP="00D37628">
            <w:pPr>
              <w:rPr>
                <w:sz w:val="24"/>
                <w:szCs w:val="24"/>
              </w:rPr>
            </w:pPr>
            <w:r w:rsidRPr="00B74ECB">
              <w:rPr>
                <w:sz w:val="24"/>
                <w:szCs w:val="24"/>
              </w:rPr>
              <w:t>To be used as part of a smoking cessation service.</w:t>
            </w:r>
          </w:p>
          <w:p w14:paraId="410B808E" w14:textId="25E6C8BB" w:rsidR="001B3D7C" w:rsidRPr="00B74ECB" w:rsidRDefault="001B3D7C" w:rsidP="00D37628">
            <w:pPr>
              <w:rPr>
                <w:sz w:val="24"/>
                <w:szCs w:val="24"/>
              </w:rPr>
            </w:pPr>
            <w:r>
              <w:rPr>
                <w:sz w:val="24"/>
                <w:szCs w:val="24"/>
              </w:rPr>
              <w:t>May be initiated in secondary care, providing patients are also referred to a smoking cessation service for wraparound care</w:t>
            </w:r>
          </w:p>
        </w:tc>
        <w:tc>
          <w:tcPr>
            <w:tcW w:w="3402" w:type="dxa"/>
            <w:shd w:val="clear" w:color="auto" w:fill="auto"/>
          </w:tcPr>
          <w:p w14:paraId="714F9210" w14:textId="14A6C9B1" w:rsidR="00D37628" w:rsidRPr="00B74ECB" w:rsidRDefault="00D37628" w:rsidP="00D37628">
            <w:pPr>
              <w:tabs>
                <w:tab w:val="clear" w:pos="975"/>
              </w:tabs>
              <w:ind w:left="20"/>
              <w:rPr>
                <w:rStyle w:val="normaltextrun"/>
                <w:sz w:val="24"/>
                <w:szCs w:val="24"/>
              </w:rPr>
            </w:pPr>
            <w:r w:rsidRPr="00B74ECB">
              <w:rPr>
                <w:iCs/>
                <w:sz w:val="24"/>
                <w:szCs w:val="24"/>
              </w:rPr>
              <w:t>NICE Guideline NG209: Tobacco: preventing uptake, promoting quitting and treating dependence section 1.12.2 states: "Ensure the following are accessible to adults who smoke…cytisinicline"</w:t>
            </w:r>
          </w:p>
        </w:tc>
        <w:tc>
          <w:tcPr>
            <w:tcW w:w="3945" w:type="dxa"/>
          </w:tcPr>
          <w:p w14:paraId="14A35EC9" w14:textId="433763F1" w:rsidR="00D37628" w:rsidRPr="00B74ECB" w:rsidRDefault="00D37628" w:rsidP="00D37628">
            <w:pPr>
              <w:rPr>
                <w:rStyle w:val="normaltextrun"/>
                <w:sz w:val="24"/>
                <w:szCs w:val="24"/>
              </w:rPr>
            </w:pPr>
            <w:r w:rsidRPr="00B74ECB">
              <w:rPr>
                <w:iCs/>
                <w:sz w:val="24"/>
                <w:szCs w:val="24"/>
              </w:rPr>
              <w:t>Commissioned as part of Smoking Cessation services by local authorities.</w:t>
            </w:r>
          </w:p>
        </w:tc>
        <w:tc>
          <w:tcPr>
            <w:tcW w:w="2160" w:type="dxa"/>
            <w:shd w:val="clear" w:color="auto" w:fill="FFFFFF"/>
          </w:tcPr>
          <w:p w14:paraId="47852B1D" w14:textId="77777777" w:rsidR="00D37628" w:rsidRPr="00B74ECB" w:rsidRDefault="00D37628" w:rsidP="00D37628">
            <w:pPr>
              <w:rPr>
                <w:iCs/>
                <w:sz w:val="24"/>
                <w:szCs w:val="24"/>
                <w:lang w:val="en-US"/>
              </w:rPr>
            </w:pPr>
            <w:r w:rsidRPr="00B74ECB">
              <w:rPr>
                <w:iCs/>
                <w:sz w:val="24"/>
                <w:szCs w:val="24"/>
                <w:lang w:val="en-US"/>
              </w:rPr>
              <w:t>Approve addition to formulary</w:t>
            </w:r>
          </w:p>
          <w:p w14:paraId="5A77F8F2" w14:textId="3F01EA45" w:rsidR="00D37628" w:rsidRPr="00B74ECB" w:rsidRDefault="00D37628" w:rsidP="00D37628">
            <w:pPr>
              <w:rPr>
                <w:iCs/>
                <w:sz w:val="24"/>
                <w:szCs w:val="24"/>
                <w:lang w:val="en-US"/>
              </w:rPr>
            </w:pPr>
          </w:p>
        </w:tc>
      </w:tr>
      <w:tr w:rsidR="00D37628" w:rsidRPr="00B74ECB" w14:paraId="2BF8DE6D" w14:textId="77777777" w:rsidTr="00D37628">
        <w:trPr>
          <w:cantSplit/>
          <w:trHeight w:val="548"/>
        </w:trPr>
        <w:tc>
          <w:tcPr>
            <w:tcW w:w="2689" w:type="dxa"/>
            <w:shd w:val="clear" w:color="auto" w:fill="FFFFFF" w:themeFill="background1"/>
          </w:tcPr>
          <w:p w14:paraId="64A1AC21" w14:textId="083D24CE" w:rsidR="00D37628" w:rsidRPr="00D37628" w:rsidRDefault="00FA5593" w:rsidP="00D37628">
            <w:pPr>
              <w:tabs>
                <w:tab w:val="clear" w:pos="975"/>
              </w:tabs>
              <w:rPr>
                <w:b/>
                <w:bCs/>
                <w:sz w:val="24"/>
                <w:szCs w:val="24"/>
              </w:rPr>
            </w:pPr>
            <w:hyperlink r:id="rId24" w:history="1">
              <w:r w:rsidR="00D37628" w:rsidRPr="00D37628">
                <w:rPr>
                  <w:b/>
                  <w:bCs/>
                  <w:color w:val="0000FF"/>
                  <w:sz w:val="24"/>
                  <w:szCs w:val="24"/>
                  <w:u w:val="single"/>
                </w:rPr>
                <w:t>NICE TA878: Nirmatrelvir plus ritonavir, sotrovimab and tocilizumab for treating COVID-19</w:t>
              </w:r>
            </w:hyperlink>
            <w:r w:rsidR="00D37628" w:rsidRPr="00D37628">
              <w:rPr>
                <w:b/>
                <w:bCs/>
                <w:sz w:val="24"/>
                <w:szCs w:val="24"/>
              </w:rPr>
              <w:t xml:space="preserve"> </w:t>
            </w:r>
            <w:r w:rsidR="00D37628">
              <w:rPr>
                <w:b/>
                <w:bCs/>
                <w:sz w:val="24"/>
                <w:szCs w:val="24"/>
              </w:rPr>
              <w:t>(updated)</w:t>
            </w:r>
          </w:p>
          <w:p w14:paraId="675FBF40" w14:textId="6315E14C" w:rsidR="00D37628" w:rsidRDefault="00D37628" w:rsidP="00D37628">
            <w:pPr>
              <w:tabs>
                <w:tab w:val="clear" w:pos="975"/>
              </w:tabs>
              <w:rPr>
                <w:color w:val="000000"/>
                <w:sz w:val="24"/>
                <w:szCs w:val="24"/>
              </w:rPr>
            </w:pPr>
            <w:r>
              <w:rPr>
                <w:color w:val="000000"/>
                <w:sz w:val="24"/>
                <w:szCs w:val="24"/>
              </w:rPr>
              <w:t>1</w:t>
            </w:r>
            <w:r w:rsidRPr="00D37628">
              <w:rPr>
                <w:color w:val="000000"/>
                <w:sz w:val="24"/>
                <w:szCs w:val="24"/>
                <w:vertAlign w:val="superscript"/>
              </w:rPr>
              <w:t>st</w:t>
            </w:r>
            <w:r>
              <w:rPr>
                <w:color w:val="000000"/>
                <w:sz w:val="24"/>
                <w:szCs w:val="24"/>
              </w:rPr>
              <w:t xml:space="preserve"> May 2025</w:t>
            </w:r>
          </w:p>
          <w:p w14:paraId="1F962B9D" w14:textId="4FCC3024" w:rsidR="00D37628" w:rsidRPr="00D37628" w:rsidRDefault="00D37628" w:rsidP="00D37628">
            <w:pPr>
              <w:tabs>
                <w:tab w:val="clear" w:pos="975"/>
              </w:tabs>
              <w:rPr>
                <w:color w:val="000000"/>
                <w:sz w:val="24"/>
                <w:szCs w:val="24"/>
              </w:rPr>
            </w:pPr>
            <w:r>
              <w:rPr>
                <w:color w:val="000000"/>
                <w:sz w:val="24"/>
                <w:szCs w:val="24"/>
              </w:rPr>
              <w:t>Commissioning: ICB</w:t>
            </w:r>
          </w:p>
        </w:tc>
        <w:tc>
          <w:tcPr>
            <w:tcW w:w="3685" w:type="dxa"/>
            <w:shd w:val="clear" w:color="auto" w:fill="FFFFFF" w:themeFill="background1"/>
          </w:tcPr>
          <w:p w14:paraId="69DB732F" w14:textId="77777777" w:rsidR="00D37628" w:rsidRDefault="00D37628" w:rsidP="00D37628">
            <w:pPr>
              <w:shd w:val="clear" w:color="auto" w:fill="FF0000"/>
              <w:rPr>
                <w:sz w:val="24"/>
                <w:szCs w:val="24"/>
              </w:rPr>
            </w:pPr>
            <w:r>
              <w:rPr>
                <w:sz w:val="24"/>
                <w:szCs w:val="24"/>
              </w:rPr>
              <w:t>RED</w:t>
            </w:r>
          </w:p>
          <w:p w14:paraId="419A3BE8" w14:textId="77777777" w:rsidR="00D37628" w:rsidRDefault="00D37628" w:rsidP="00D37628">
            <w:pPr>
              <w:rPr>
                <w:sz w:val="24"/>
                <w:szCs w:val="24"/>
                <w:shd w:val="clear" w:color="auto" w:fill="FFFFFF" w:themeFill="background1"/>
              </w:rPr>
            </w:pPr>
          </w:p>
          <w:p w14:paraId="03960745" w14:textId="720D636F" w:rsidR="00D37628" w:rsidRPr="00D37628" w:rsidRDefault="00D37628" w:rsidP="00D37628">
            <w:pPr>
              <w:tabs>
                <w:tab w:val="clear" w:pos="975"/>
              </w:tabs>
              <w:ind w:left="20"/>
              <w:rPr>
                <w:iCs/>
                <w:sz w:val="24"/>
                <w:szCs w:val="24"/>
              </w:rPr>
            </w:pPr>
            <w:r w:rsidRPr="00D37628">
              <w:rPr>
                <w:sz w:val="24"/>
                <w:szCs w:val="24"/>
                <w:shd w:val="clear" w:color="auto" w:fill="FFFFFF" w:themeFill="background1"/>
              </w:rPr>
              <w:t>Formulary to be updated to align with the updated NICE TA</w:t>
            </w:r>
            <w:r>
              <w:rPr>
                <w:sz w:val="24"/>
                <w:szCs w:val="24"/>
              </w:rPr>
              <w:t xml:space="preserve">: </w:t>
            </w:r>
            <w:r w:rsidRPr="00D37628">
              <w:rPr>
                <w:iCs/>
                <w:sz w:val="24"/>
                <w:szCs w:val="24"/>
              </w:rPr>
              <w:t>as an option for treating COVID</w:t>
            </w:r>
            <w:r w:rsidRPr="00D37628">
              <w:rPr>
                <w:rFonts w:ascii="Cambria Math" w:hAnsi="Cambria Math" w:cs="Cambria Math"/>
                <w:iCs/>
                <w:sz w:val="24"/>
                <w:szCs w:val="24"/>
              </w:rPr>
              <w:t>‑</w:t>
            </w:r>
            <w:r w:rsidRPr="00D37628">
              <w:rPr>
                <w:iCs/>
                <w:sz w:val="24"/>
                <w:szCs w:val="24"/>
              </w:rPr>
              <w:t>19 in adults, only if they:</w:t>
            </w:r>
          </w:p>
          <w:p w14:paraId="2FA8C0AE" w14:textId="77777777" w:rsidR="00D37628" w:rsidRDefault="00D37628" w:rsidP="00D37628">
            <w:pPr>
              <w:pStyle w:val="ListParagraph"/>
              <w:numPr>
                <w:ilvl w:val="0"/>
                <w:numId w:val="16"/>
              </w:numPr>
              <w:tabs>
                <w:tab w:val="clear" w:pos="975"/>
              </w:tabs>
              <w:rPr>
                <w:iCs/>
                <w:sz w:val="24"/>
                <w:szCs w:val="24"/>
              </w:rPr>
            </w:pPr>
            <w:r w:rsidRPr="00D37628">
              <w:rPr>
                <w:iCs/>
                <w:sz w:val="24"/>
                <w:szCs w:val="24"/>
              </w:rPr>
              <w:t>do not need supplemental oxygen for COVID</w:t>
            </w:r>
            <w:r w:rsidRPr="00D37628">
              <w:rPr>
                <w:rFonts w:ascii="Cambria Math" w:hAnsi="Cambria Math" w:cs="Cambria Math"/>
                <w:iCs/>
                <w:sz w:val="24"/>
                <w:szCs w:val="24"/>
              </w:rPr>
              <w:t>‑</w:t>
            </w:r>
            <w:r w:rsidRPr="00D37628">
              <w:rPr>
                <w:iCs/>
                <w:sz w:val="24"/>
                <w:szCs w:val="24"/>
              </w:rPr>
              <w:t>19 and</w:t>
            </w:r>
          </w:p>
          <w:p w14:paraId="5F13F9F4" w14:textId="729094C8" w:rsidR="00D37628" w:rsidRPr="00D37628" w:rsidRDefault="00D37628" w:rsidP="00D37628">
            <w:pPr>
              <w:pStyle w:val="ListParagraph"/>
              <w:numPr>
                <w:ilvl w:val="0"/>
                <w:numId w:val="16"/>
              </w:numPr>
              <w:tabs>
                <w:tab w:val="clear" w:pos="975"/>
              </w:tabs>
              <w:rPr>
                <w:iCs/>
                <w:sz w:val="24"/>
                <w:szCs w:val="24"/>
              </w:rPr>
            </w:pPr>
            <w:r w:rsidRPr="00D37628">
              <w:rPr>
                <w:iCs/>
                <w:sz w:val="24"/>
                <w:szCs w:val="24"/>
              </w:rPr>
              <w:t>have an increased risk for progression to severe COVID</w:t>
            </w:r>
            <w:r w:rsidRPr="00D37628">
              <w:rPr>
                <w:rFonts w:ascii="Cambria Math" w:hAnsi="Cambria Math" w:cs="Cambria Math"/>
                <w:iCs/>
                <w:sz w:val="24"/>
                <w:szCs w:val="24"/>
              </w:rPr>
              <w:t>‑</w:t>
            </w:r>
            <w:r w:rsidRPr="00D37628">
              <w:rPr>
                <w:iCs/>
                <w:sz w:val="24"/>
                <w:szCs w:val="24"/>
              </w:rPr>
              <w:t xml:space="preserve">19, as defined in </w:t>
            </w:r>
            <w:hyperlink r:id="rId25" w:history="1">
              <w:r w:rsidRPr="00D37628">
                <w:rPr>
                  <w:rStyle w:val="Hyperlink"/>
                  <w:rFonts w:cs="Arial"/>
                  <w:iCs/>
                  <w:sz w:val="24"/>
                  <w:szCs w:val="24"/>
                </w:rPr>
                <w:t>section 5</w:t>
              </w:r>
            </w:hyperlink>
            <w:r w:rsidRPr="00D37628">
              <w:rPr>
                <w:iCs/>
                <w:sz w:val="24"/>
                <w:szCs w:val="24"/>
              </w:rPr>
              <w:t>.</w:t>
            </w:r>
          </w:p>
        </w:tc>
        <w:tc>
          <w:tcPr>
            <w:tcW w:w="3402" w:type="dxa"/>
            <w:shd w:val="clear" w:color="auto" w:fill="auto"/>
          </w:tcPr>
          <w:p w14:paraId="1C68F044" w14:textId="0CA45E78" w:rsidR="00D37628" w:rsidRPr="00D37628" w:rsidRDefault="00D37628" w:rsidP="00D37628">
            <w:pPr>
              <w:tabs>
                <w:tab w:val="clear" w:pos="975"/>
              </w:tabs>
              <w:ind w:left="20"/>
              <w:rPr>
                <w:iCs/>
                <w:sz w:val="24"/>
                <w:szCs w:val="24"/>
              </w:rPr>
            </w:pPr>
            <w:r>
              <w:rPr>
                <w:iCs/>
                <w:sz w:val="24"/>
                <w:szCs w:val="24"/>
              </w:rPr>
              <w:t xml:space="preserve">Following a change in the acquisition cost of Paxlovid, NICE updated TA878 because Paxlovid is no longer cost-effective in all of the indications previously included. </w:t>
            </w:r>
          </w:p>
        </w:tc>
        <w:tc>
          <w:tcPr>
            <w:tcW w:w="3945" w:type="dxa"/>
          </w:tcPr>
          <w:p w14:paraId="7C3EA2CC" w14:textId="3BD15F8B" w:rsidR="00D37628" w:rsidRDefault="00D37628" w:rsidP="00D37628">
            <w:pPr>
              <w:rPr>
                <w:iCs/>
                <w:sz w:val="24"/>
                <w:szCs w:val="24"/>
              </w:rPr>
            </w:pPr>
            <w:r>
              <w:rPr>
                <w:iCs/>
                <w:sz w:val="24"/>
                <w:szCs w:val="24"/>
              </w:rPr>
              <w:t>None expected</w:t>
            </w:r>
            <w:r w:rsidR="00FA5593">
              <w:rPr>
                <w:iCs/>
                <w:sz w:val="24"/>
                <w:szCs w:val="24"/>
              </w:rPr>
              <w:t xml:space="preserve"> from this change</w:t>
            </w:r>
            <w:r>
              <w:rPr>
                <w:iCs/>
                <w:sz w:val="24"/>
                <w:szCs w:val="24"/>
              </w:rPr>
              <w:t xml:space="preserve">. May prevent additional costs due to inappropriate prescribing. </w:t>
            </w:r>
          </w:p>
          <w:p w14:paraId="6A4B292A" w14:textId="77777777" w:rsidR="00FA5593" w:rsidRDefault="00FA5593" w:rsidP="00D37628">
            <w:pPr>
              <w:rPr>
                <w:iCs/>
                <w:sz w:val="24"/>
                <w:szCs w:val="24"/>
              </w:rPr>
            </w:pPr>
          </w:p>
          <w:p w14:paraId="00D62664" w14:textId="16CB8EF9" w:rsidR="00FA5593" w:rsidRPr="00B74ECB" w:rsidRDefault="00FA5593" w:rsidP="00FA5593">
            <w:pPr>
              <w:rPr>
                <w:iCs/>
                <w:sz w:val="24"/>
                <w:szCs w:val="24"/>
              </w:rPr>
            </w:pPr>
            <w:r>
              <w:rPr>
                <w:iCs/>
                <w:sz w:val="24"/>
                <w:szCs w:val="24"/>
              </w:rPr>
              <w:t xml:space="preserve">Note that there will be a cost impact due to the end of the commercial arrangement which had previously reduced the cost of </w:t>
            </w:r>
            <w:proofErr w:type="spellStart"/>
            <w:r>
              <w:rPr>
                <w:iCs/>
                <w:sz w:val="24"/>
                <w:szCs w:val="24"/>
              </w:rPr>
              <w:t>Paxlovid</w:t>
            </w:r>
            <w:proofErr w:type="spellEnd"/>
            <w:r>
              <w:rPr>
                <w:iCs/>
                <w:sz w:val="24"/>
                <w:szCs w:val="24"/>
              </w:rPr>
              <w:t>. The NHS price will now be £829 per course vs. £2.50 previously. There were 408 prescriptions in the last 12 months, so the net impact may be around £337,000 for the ICB if prescribing remains flat. The impact of the change in eligibility on number of prescriptions is not known</w:t>
            </w:r>
          </w:p>
        </w:tc>
        <w:tc>
          <w:tcPr>
            <w:tcW w:w="2160" w:type="dxa"/>
            <w:shd w:val="clear" w:color="auto" w:fill="FFFFFF"/>
          </w:tcPr>
          <w:p w14:paraId="462E694C" w14:textId="562914EB" w:rsidR="00D37628" w:rsidRPr="00B74ECB" w:rsidRDefault="00D37628" w:rsidP="00D37628">
            <w:pPr>
              <w:rPr>
                <w:iCs/>
                <w:sz w:val="24"/>
                <w:szCs w:val="24"/>
                <w:lang w:val="en-US"/>
              </w:rPr>
            </w:pPr>
            <w:r w:rsidRPr="00B74ECB">
              <w:rPr>
                <w:iCs/>
                <w:sz w:val="24"/>
                <w:szCs w:val="24"/>
                <w:lang w:val="en-US"/>
              </w:rPr>
              <w:t xml:space="preserve">Approve </w:t>
            </w:r>
            <w:r>
              <w:rPr>
                <w:iCs/>
                <w:sz w:val="24"/>
                <w:szCs w:val="24"/>
                <w:lang w:val="en-US"/>
              </w:rPr>
              <w:t>amendment</w:t>
            </w:r>
            <w:r w:rsidRPr="00B74ECB">
              <w:rPr>
                <w:iCs/>
                <w:sz w:val="24"/>
                <w:szCs w:val="24"/>
                <w:lang w:val="en-US"/>
              </w:rPr>
              <w:t xml:space="preserve"> to formulary</w:t>
            </w:r>
          </w:p>
          <w:p w14:paraId="328B7AF5" w14:textId="77777777" w:rsidR="00D37628" w:rsidRPr="00B74ECB" w:rsidRDefault="00D37628" w:rsidP="00D37628">
            <w:pPr>
              <w:rPr>
                <w:iCs/>
                <w:sz w:val="24"/>
                <w:szCs w:val="24"/>
                <w:lang w:val="en-US"/>
              </w:rPr>
            </w:pPr>
          </w:p>
        </w:tc>
      </w:tr>
    </w:tbl>
    <w:p w14:paraId="4BE899CD" w14:textId="77777777" w:rsidR="001C7976" w:rsidRDefault="001C7976" w:rsidP="00E73516">
      <w:pPr>
        <w:pStyle w:val="BodyText"/>
        <w:tabs>
          <w:tab w:val="clear" w:pos="975"/>
        </w:tabs>
        <w:spacing w:before="68" w:after="0"/>
        <w:rPr>
          <w:rFonts w:ascii="Helvetica" w:hAnsi="Helvetica" w:cs="Helvetica"/>
          <w:color w:val="4C4D4F"/>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8606FE" w:rsidRPr="00383A54" w14:paraId="36DCCF9F" w14:textId="77777777" w:rsidTr="00D05BAD">
        <w:trPr>
          <w:cantSplit/>
        </w:trPr>
        <w:tc>
          <w:tcPr>
            <w:tcW w:w="5000" w:type="pct"/>
            <w:shd w:val="clear" w:color="auto" w:fill="auto"/>
          </w:tcPr>
          <w:p w14:paraId="2384C095" w14:textId="4BFC6E8E" w:rsidR="008606FE" w:rsidRPr="00383A54" w:rsidRDefault="008606FE" w:rsidP="00D05BAD">
            <w:pPr>
              <w:tabs>
                <w:tab w:val="clear" w:pos="975"/>
              </w:tabs>
              <w:spacing w:before="120" w:after="120"/>
              <w:jc w:val="center"/>
              <w:rPr>
                <w:sz w:val="24"/>
                <w:szCs w:val="24"/>
              </w:rPr>
            </w:pPr>
            <w:r w:rsidRPr="00383A54">
              <w:rPr>
                <w:rFonts w:eastAsia="Calibri"/>
                <w:b/>
                <w:color w:val="1F497D"/>
                <w:sz w:val="24"/>
                <w:szCs w:val="24"/>
              </w:rPr>
              <w:t xml:space="preserve">DECISIONS </w:t>
            </w:r>
            <w:r>
              <w:rPr>
                <w:rFonts w:eastAsia="Calibri"/>
                <w:b/>
                <w:color w:val="1F497D"/>
                <w:sz w:val="24"/>
                <w:szCs w:val="24"/>
              </w:rPr>
              <w:t>FOR INFORMATION ONLY</w:t>
            </w:r>
          </w:p>
        </w:tc>
      </w:tr>
    </w:tbl>
    <w:p w14:paraId="4C5B1B60" w14:textId="6698272F" w:rsidR="008606FE" w:rsidRDefault="008606FE" w:rsidP="00432265">
      <w:pPr>
        <w:pStyle w:val="BodyText"/>
        <w:tabs>
          <w:tab w:val="clear" w:pos="975"/>
        </w:tabs>
        <w:spacing w:before="68" w:after="0"/>
        <w:ind w:left="1"/>
        <w:jc w:val="center"/>
        <w:rPr>
          <w:rFonts w:ascii="Helvetica" w:hAnsi="Helvetica" w:cs="Helvetica"/>
          <w:color w:val="4C4D4F"/>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119"/>
        <w:gridCol w:w="2976"/>
        <w:gridCol w:w="3969"/>
        <w:gridCol w:w="3402"/>
      </w:tblGrid>
      <w:tr w:rsidR="00436283" w:rsidRPr="00172933" w14:paraId="0DE7E7FD" w14:textId="77777777" w:rsidTr="00D37628">
        <w:trPr>
          <w:cantSplit/>
          <w:trHeight w:val="548"/>
          <w:tblHeader/>
        </w:trPr>
        <w:tc>
          <w:tcPr>
            <w:tcW w:w="2405" w:type="dxa"/>
            <w:tcBorders>
              <w:bottom w:val="single" w:sz="4" w:space="0" w:color="auto"/>
            </w:tcBorders>
            <w:shd w:val="clear" w:color="auto" w:fill="B6DDE8"/>
          </w:tcPr>
          <w:p w14:paraId="6AC9A8D3" w14:textId="77777777" w:rsidR="00436283" w:rsidRPr="00172933" w:rsidRDefault="00436283" w:rsidP="00D05BAD">
            <w:pPr>
              <w:tabs>
                <w:tab w:val="clear" w:pos="975"/>
              </w:tabs>
              <w:rPr>
                <w:rFonts w:eastAsia="Calibri"/>
                <w:b/>
                <w:sz w:val="24"/>
                <w:szCs w:val="24"/>
              </w:rPr>
            </w:pPr>
            <w:r w:rsidRPr="00172933">
              <w:rPr>
                <w:rFonts w:eastAsia="Calibri"/>
                <w:b/>
                <w:sz w:val="24"/>
                <w:szCs w:val="24"/>
              </w:rPr>
              <w:t xml:space="preserve">Drug and indication </w:t>
            </w:r>
          </w:p>
        </w:tc>
        <w:tc>
          <w:tcPr>
            <w:tcW w:w="3119" w:type="dxa"/>
            <w:tcBorders>
              <w:bottom w:val="single" w:sz="4" w:space="0" w:color="auto"/>
            </w:tcBorders>
            <w:shd w:val="clear" w:color="auto" w:fill="B6DDE8"/>
          </w:tcPr>
          <w:p w14:paraId="555E9971" w14:textId="77777777" w:rsidR="00436283" w:rsidRPr="00172933" w:rsidRDefault="00436283" w:rsidP="00D05BAD">
            <w:pPr>
              <w:tabs>
                <w:tab w:val="clear" w:pos="975"/>
              </w:tabs>
              <w:rPr>
                <w:rFonts w:eastAsia="Calibri"/>
                <w:b/>
                <w:sz w:val="24"/>
                <w:szCs w:val="24"/>
              </w:rPr>
            </w:pPr>
            <w:r w:rsidRPr="00172933">
              <w:rPr>
                <w:rFonts w:eastAsia="Calibri"/>
                <w:b/>
                <w:sz w:val="24"/>
                <w:szCs w:val="24"/>
              </w:rPr>
              <w:t>Rationale / criteria</w:t>
            </w:r>
          </w:p>
        </w:tc>
        <w:tc>
          <w:tcPr>
            <w:tcW w:w="2976" w:type="dxa"/>
            <w:tcBorders>
              <w:bottom w:val="single" w:sz="4" w:space="0" w:color="auto"/>
            </w:tcBorders>
            <w:shd w:val="clear" w:color="auto" w:fill="B6DDE8"/>
          </w:tcPr>
          <w:p w14:paraId="29316862" w14:textId="77777777" w:rsidR="00436283" w:rsidRPr="00172933" w:rsidRDefault="00436283" w:rsidP="00D05BAD">
            <w:pPr>
              <w:tabs>
                <w:tab w:val="clear" w:pos="975"/>
              </w:tabs>
              <w:rPr>
                <w:rFonts w:eastAsia="Calibri"/>
                <w:b/>
                <w:sz w:val="24"/>
                <w:szCs w:val="24"/>
              </w:rPr>
            </w:pPr>
            <w:r w:rsidRPr="00172933">
              <w:rPr>
                <w:rFonts w:eastAsia="Calibri"/>
                <w:b/>
                <w:sz w:val="24"/>
                <w:szCs w:val="24"/>
              </w:rPr>
              <w:t>Status and formulary position assigned</w:t>
            </w:r>
          </w:p>
        </w:tc>
        <w:tc>
          <w:tcPr>
            <w:tcW w:w="3969" w:type="dxa"/>
            <w:tcBorders>
              <w:bottom w:val="single" w:sz="4" w:space="0" w:color="auto"/>
            </w:tcBorders>
            <w:shd w:val="clear" w:color="auto" w:fill="B6DDE8"/>
          </w:tcPr>
          <w:p w14:paraId="677E3364" w14:textId="77777777" w:rsidR="00436283" w:rsidRPr="00172933" w:rsidRDefault="00436283" w:rsidP="00D05BAD">
            <w:pPr>
              <w:tabs>
                <w:tab w:val="clear" w:pos="975"/>
              </w:tabs>
              <w:rPr>
                <w:rFonts w:eastAsia="Calibri"/>
                <w:b/>
                <w:sz w:val="24"/>
                <w:szCs w:val="24"/>
              </w:rPr>
            </w:pPr>
            <w:r w:rsidRPr="00172933">
              <w:rPr>
                <w:rFonts w:eastAsia="Calibri"/>
                <w:b/>
                <w:sz w:val="24"/>
                <w:szCs w:val="24"/>
              </w:rPr>
              <w:t>Notes on decision</w:t>
            </w:r>
          </w:p>
        </w:tc>
        <w:tc>
          <w:tcPr>
            <w:tcW w:w="3402" w:type="dxa"/>
            <w:tcBorders>
              <w:bottom w:val="single" w:sz="4" w:space="0" w:color="auto"/>
            </w:tcBorders>
            <w:shd w:val="clear" w:color="auto" w:fill="B6DDE8"/>
          </w:tcPr>
          <w:p w14:paraId="6F868194" w14:textId="77777777" w:rsidR="00436283" w:rsidRPr="00172933" w:rsidRDefault="00436283" w:rsidP="00D05BAD">
            <w:pPr>
              <w:tabs>
                <w:tab w:val="clear" w:pos="975"/>
              </w:tabs>
              <w:rPr>
                <w:rFonts w:eastAsia="Calibri"/>
                <w:b/>
                <w:sz w:val="24"/>
                <w:szCs w:val="24"/>
              </w:rPr>
            </w:pPr>
            <w:r w:rsidRPr="00172933">
              <w:rPr>
                <w:rFonts w:eastAsia="Calibri"/>
                <w:b/>
                <w:sz w:val="24"/>
                <w:szCs w:val="24"/>
              </w:rPr>
              <w:t>Cost impact</w:t>
            </w:r>
          </w:p>
        </w:tc>
      </w:tr>
      <w:tr w:rsidR="009C1AA0" w:rsidRPr="00172933" w14:paraId="78777BDC" w14:textId="77777777" w:rsidTr="00D37628">
        <w:trPr>
          <w:cantSplit/>
          <w:trHeight w:val="548"/>
        </w:trPr>
        <w:tc>
          <w:tcPr>
            <w:tcW w:w="2405" w:type="dxa"/>
            <w:shd w:val="clear" w:color="auto" w:fill="auto"/>
          </w:tcPr>
          <w:p w14:paraId="5689ED38" w14:textId="77777777" w:rsidR="009C1AA0" w:rsidRDefault="009C1AA0" w:rsidP="009C1AA0">
            <w:pPr>
              <w:rPr>
                <w:bCs/>
                <w:color w:val="000000"/>
                <w:sz w:val="24"/>
                <w:szCs w:val="24"/>
              </w:rPr>
            </w:pPr>
            <w:r w:rsidRPr="00172933">
              <w:rPr>
                <w:bCs/>
                <w:color w:val="000000"/>
                <w:sz w:val="24"/>
                <w:szCs w:val="24"/>
              </w:rPr>
              <w:t xml:space="preserve">HNY APC minutes – </w:t>
            </w:r>
            <w:r w:rsidR="00B74ECB">
              <w:rPr>
                <w:bCs/>
                <w:color w:val="000000"/>
                <w:sz w:val="24"/>
                <w:szCs w:val="24"/>
              </w:rPr>
              <w:t>April</w:t>
            </w:r>
            <w:r w:rsidRPr="00172933">
              <w:rPr>
                <w:bCs/>
                <w:color w:val="000000"/>
                <w:sz w:val="24"/>
                <w:szCs w:val="24"/>
              </w:rPr>
              <w:t xml:space="preserve"> 202</w:t>
            </w:r>
            <w:r w:rsidR="00E73516" w:rsidRPr="00172933">
              <w:rPr>
                <w:bCs/>
                <w:color w:val="000000"/>
                <w:sz w:val="24"/>
                <w:szCs w:val="24"/>
              </w:rPr>
              <w:t>5</w:t>
            </w:r>
          </w:p>
          <w:p w14:paraId="0898B4A9" w14:textId="3EA78FA0" w:rsidR="00B801EC" w:rsidRPr="00172933" w:rsidRDefault="00B801EC" w:rsidP="009C1AA0">
            <w:pPr>
              <w:rPr>
                <w:bCs/>
                <w:color w:val="000000"/>
                <w:sz w:val="24"/>
                <w:szCs w:val="24"/>
              </w:rPr>
            </w:pPr>
          </w:p>
        </w:tc>
        <w:tc>
          <w:tcPr>
            <w:tcW w:w="3119" w:type="dxa"/>
          </w:tcPr>
          <w:p w14:paraId="65575D15" w14:textId="77777777" w:rsidR="009C1AA0" w:rsidRPr="00172933" w:rsidRDefault="009C1AA0" w:rsidP="009C1AA0">
            <w:pPr>
              <w:rPr>
                <w:sz w:val="24"/>
                <w:szCs w:val="24"/>
              </w:rPr>
            </w:pPr>
          </w:p>
        </w:tc>
        <w:tc>
          <w:tcPr>
            <w:tcW w:w="2976" w:type="dxa"/>
            <w:shd w:val="clear" w:color="auto" w:fill="auto"/>
          </w:tcPr>
          <w:p w14:paraId="639AD67A" w14:textId="77777777" w:rsidR="009C1AA0" w:rsidRPr="00172933" w:rsidRDefault="009C1AA0" w:rsidP="009C1AA0">
            <w:pPr>
              <w:rPr>
                <w:iCs/>
                <w:sz w:val="24"/>
                <w:szCs w:val="24"/>
              </w:rPr>
            </w:pPr>
          </w:p>
        </w:tc>
        <w:tc>
          <w:tcPr>
            <w:tcW w:w="3969" w:type="dxa"/>
            <w:shd w:val="clear" w:color="auto" w:fill="auto"/>
          </w:tcPr>
          <w:p w14:paraId="4622FD15" w14:textId="02C0CF99" w:rsidR="009C1AA0" w:rsidRPr="00172933" w:rsidRDefault="009C1AA0" w:rsidP="009C1AA0">
            <w:pPr>
              <w:rPr>
                <w:sz w:val="24"/>
                <w:szCs w:val="24"/>
              </w:rPr>
            </w:pPr>
            <w:r w:rsidRPr="00172933">
              <w:rPr>
                <w:sz w:val="24"/>
                <w:szCs w:val="24"/>
              </w:rPr>
              <w:t>Approved</w:t>
            </w:r>
          </w:p>
        </w:tc>
        <w:tc>
          <w:tcPr>
            <w:tcW w:w="3402" w:type="dxa"/>
          </w:tcPr>
          <w:p w14:paraId="21C1C9A6" w14:textId="77777777" w:rsidR="009C1AA0" w:rsidRDefault="009C1AA0" w:rsidP="009C1AA0">
            <w:pPr>
              <w:rPr>
                <w:sz w:val="24"/>
                <w:szCs w:val="24"/>
              </w:rPr>
            </w:pPr>
          </w:p>
          <w:p w14:paraId="1A1FC96D" w14:textId="77777777" w:rsidR="001B3D7C" w:rsidRPr="001B3D7C" w:rsidRDefault="001B3D7C" w:rsidP="001B3D7C">
            <w:pPr>
              <w:rPr>
                <w:sz w:val="24"/>
                <w:szCs w:val="24"/>
              </w:rPr>
            </w:pPr>
          </w:p>
          <w:p w14:paraId="397350B9" w14:textId="77777777" w:rsidR="001B3D7C" w:rsidRPr="001B3D7C" w:rsidRDefault="001B3D7C" w:rsidP="001B3D7C">
            <w:pPr>
              <w:rPr>
                <w:sz w:val="24"/>
                <w:szCs w:val="24"/>
              </w:rPr>
            </w:pPr>
          </w:p>
          <w:p w14:paraId="4753E4A5" w14:textId="77777777" w:rsidR="001B3D7C" w:rsidRPr="001B3D7C" w:rsidRDefault="001B3D7C" w:rsidP="001B3D7C">
            <w:pPr>
              <w:rPr>
                <w:sz w:val="24"/>
                <w:szCs w:val="24"/>
              </w:rPr>
            </w:pPr>
          </w:p>
        </w:tc>
      </w:tr>
      <w:tr w:rsidR="00B40050" w:rsidRPr="00172933" w14:paraId="58C8F1C8" w14:textId="77777777" w:rsidTr="000A1F10">
        <w:trPr>
          <w:cantSplit/>
          <w:trHeight w:val="548"/>
        </w:trPr>
        <w:tc>
          <w:tcPr>
            <w:tcW w:w="15871" w:type="dxa"/>
            <w:gridSpan w:val="5"/>
            <w:shd w:val="clear" w:color="auto" w:fill="auto"/>
          </w:tcPr>
          <w:p w14:paraId="33653B56" w14:textId="77777777" w:rsidR="00B40050" w:rsidRPr="00172933" w:rsidRDefault="00B40050" w:rsidP="00B40050">
            <w:pPr>
              <w:tabs>
                <w:tab w:val="clear" w:pos="975"/>
              </w:tabs>
              <w:rPr>
                <w:rFonts w:eastAsia="Calibri"/>
                <w:bCs/>
                <w:sz w:val="24"/>
                <w:szCs w:val="24"/>
              </w:rPr>
            </w:pPr>
            <w:r w:rsidRPr="00172933">
              <w:rPr>
                <w:rFonts w:eastAsia="Calibri"/>
                <w:bCs/>
                <w:sz w:val="24"/>
                <w:szCs w:val="24"/>
                <w:lang w:val="en-US"/>
              </w:rPr>
              <w:t>The following NHSE-commissioned medicines received positive NICE appraisals. They will be assessed by provider trusts once all necessary information is available, and if added to the HNY formulary they will have a status of RED </w:t>
            </w:r>
            <w:r w:rsidRPr="00172933">
              <w:rPr>
                <w:rFonts w:eastAsia="Calibri"/>
                <w:bCs/>
                <w:sz w:val="24"/>
                <w:szCs w:val="24"/>
              </w:rPr>
              <w:t> </w:t>
            </w:r>
          </w:p>
          <w:p w14:paraId="5612C555" w14:textId="77777777" w:rsidR="00D37628" w:rsidRPr="00D37628" w:rsidRDefault="00D37628" w:rsidP="00D37628">
            <w:pPr>
              <w:numPr>
                <w:ilvl w:val="0"/>
                <w:numId w:val="9"/>
              </w:numPr>
              <w:tabs>
                <w:tab w:val="clear" w:pos="975"/>
              </w:tabs>
              <w:rPr>
                <w:sz w:val="24"/>
                <w:szCs w:val="24"/>
              </w:rPr>
            </w:pPr>
            <w:r w:rsidRPr="00D37628">
              <w:rPr>
                <w:sz w:val="24"/>
                <w:szCs w:val="24"/>
              </w:rPr>
              <w:t xml:space="preserve">TA1027: Tebentafusp for treating advanced uveal melanoma </w:t>
            </w:r>
          </w:p>
          <w:p w14:paraId="2929276C" w14:textId="77777777" w:rsidR="00D37628" w:rsidRPr="00D37628" w:rsidRDefault="00D37628" w:rsidP="00D37628">
            <w:pPr>
              <w:numPr>
                <w:ilvl w:val="0"/>
                <w:numId w:val="9"/>
              </w:numPr>
              <w:tabs>
                <w:tab w:val="clear" w:pos="975"/>
              </w:tabs>
              <w:rPr>
                <w:sz w:val="24"/>
                <w:szCs w:val="24"/>
              </w:rPr>
            </w:pPr>
            <w:r w:rsidRPr="00D37628">
              <w:rPr>
                <w:sz w:val="24"/>
                <w:szCs w:val="24"/>
              </w:rPr>
              <w:t xml:space="preserve">TA1030: Durvalumab with chemotherapy before surgery (neoadjuvant) then alone after surgery (adjuvant) for treating resectable non-small-cell lung cancer </w:t>
            </w:r>
          </w:p>
          <w:p w14:paraId="2ADA1009" w14:textId="77777777" w:rsidR="00D37628" w:rsidRPr="00D37628" w:rsidRDefault="00D37628" w:rsidP="00D37628">
            <w:pPr>
              <w:numPr>
                <w:ilvl w:val="0"/>
                <w:numId w:val="9"/>
              </w:numPr>
              <w:tabs>
                <w:tab w:val="clear" w:pos="975"/>
              </w:tabs>
              <w:rPr>
                <w:sz w:val="24"/>
                <w:szCs w:val="24"/>
              </w:rPr>
            </w:pPr>
            <w:r w:rsidRPr="00D37628">
              <w:rPr>
                <w:sz w:val="24"/>
                <w:szCs w:val="24"/>
              </w:rPr>
              <w:t xml:space="preserve">TA1031: </w:t>
            </w:r>
            <w:proofErr w:type="spellStart"/>
            <w:r w:rsidRPr="00D37628">
              <w:rPr>
                <w:sz w:val="24"/>
                <w:szCs w:val="24"/>
              </w:rPr>
              <w:t>Vamorolone</w:t>
            </w:r>
            <w:proofErr w:type="spellEnd"/>
            <w:r w:rsidRPr="00D37628">
              <w:rPr>
                <w:sz w:val="24"/>
                <w:szCs w:val="24"/>
              </w:rPr>
              <w:t xml:space="preserve"> for treating </w:t>
            </w:r>
            <w:proofErr w:type="spellStart"/>
            <w:r w:rsidRPr="00D37628">
              <w:rPr>
                <w:sz w:val="24"/>
                <w:szCs w:val="24"/>
              </w:rPr>
              <w:t>Duchenne</w:t>
            </w:r>
            <w:proofErr w:type="spellEnd"/>
            <w:r w:rsidRPr="00D37628">
              <w:rPr>
                <w:sz w:val="24"/>
                <w:szCs w:val="24"/>
              </w:rPr>
              <w:t xml:space="preserve"> muscular dystrophy in people 4 years and over </w:t>
            </w:r>
          </w:p>
          <w:p w14:paraId="0AA5ECC9" w14:textId="77777777" w:rsidR="00D37628" w:rsidRPr="00D37628" w:rsidRDefault="00D37628" w:rsidP="00D37628">
            <w:pPr>
              <w:numPr>
                <w:ilvl w:val="0"/>
                <w:numId w:val="9"/>
              </w:numPr>
              <w:tabs>
                <w:tab w:val="clear" w:pos="975"/>
              </w:tabs>
              <w:rPr>
                <w:sz w:val="24"/>
                <w:szCs w:val="24"/>
              </w:rPr>
            </w:pPr>
            <w:r w:rsidRPr="00D37628">
              <w:rPr>
                <w:sz w:val="24"/>
                <w:szCs w:val="24"/>
              </w:rPr>
              <w:t xml:space="preserve">TA1034: Anhydrous sodium thiosulfate for preventing hearing loss caused by cisplatin chemotherapy in people 1 month to 17 years with localised solid tumours </w:t>
            </w:r>
          </w:p>
          <w:p w14:paraId="5A2F0468" w14:textId="1A798163" w:rsidR="00B40050" w:rsidRPr="00172933" w:rsidRDefault="00D37628" w:rsidP="00D37628">
            <w:pPr>
              <w:numPr>
                <w:ilvl w:val="0"/>
                <w:numId w:val="9"/>
              </w:numPr>
              <w:tabs>
                <w:tab w:val="clear" w:pos="975"/>
              </w:tabs>
              <w:rPr>
                <w:sz w:val="24"/>
                <w:szCs w:val="24"/>
              </w:rPr>
            </w:pPr>
            <w:r w:rsidRPr="00D37628">
              <w:rPr>
                <w:sz w:val="24"/>
                <w:szCs w:val="24"/>
              </w:rPr>
              <w:t>TA1035: Vadadustat for treating symptomatic anaemia in adults having dialysis for chronic kidney disease</w:t>
            </w:r>
          </w:p>
        </w:tc>
      </w:tr>
      <w:tr w:rsidR="00B40050" w:rsidRPr="00172933" w14:paraId="6520CA2D" w14:textId="77777777" w:rsidTr="00376D53">
        <w:trPr>
          <w:cantSplit/>
        </w:trPr>
        <w:tc>
          <w:tcPr>
            <w:tcW w:w="15871" w:type="dxa"/>
            <w:gridSpan w:val="5"/>
            <w:shd w:val="clear" w:color="auto" w:fill="auto"/>
          </w:tcPr>
          <w:p w14:paraId="0487B469" w14:textId="77777777" w:rsidR="00B40050" w:rsidRPr="00172933" w:rsidRDefault="00B40050" w:rsidP="00B40050">
            <w:pPr>
              <w:jc w:val="center"/>
              <w:rPr>
                <w:iCs/>
                <w:sz w:val="24"/>
                <w:szCs w:val="24"/>
              </w:rPr>
            </w:pPr>
            <w:r w:rsidRPr="00172933">
              <w:rPr>
                <w:rFonts w:eastAsia="Calibri"/>
                <w:sz w:val="24"/>
                <w:szCs w:val="24"/>
              </w:rPr>
              <w:t>All links to MHRA drug safety updates added to formulary as published. Significant alerts where further action is required are highlighted.</w:t>
            </w:r>
          </w:p>
        </w:tc>
      </w:tr>
    </w:tbl>
    <w:p w14:paraId="762420D8" w14:textId="77777777" w:rsidR="008606FE" w:rsidRDefault="008606FE" w:rsidP="00432265">
      <w:pPr>
        <w:pStyle w:val="BodyText"/>
        <w:tabs>
          <w:tab w:val="clear" w:pos="975"/>
        </w:tabs>
        <w:spacing w:before="68" w:after="0"/>
        <w:ind w:left="1"/>
        <w:jc w:val="center"/>
        <w:rPr>
          <w:rFonts w:ascii="Helvetica" w:hAnsi="Helvetica" w:cs="Helvetica"/>
          <w:color w:val="4C4D4F"/>
        </w:rPr>
      </w:pPr>
    </w:p>
    <w:p w14:paraId="71EC0B50" w14:textId="77777777" w:rsidR="00493A22" w:rsidRDefault="00493A22" w:rsidP="001C7976">
      <w:pPr>
        <w:pStyle w:val="BodyText"/>
        <w:spacing w:before="68"/>
        <w:ind w:left="1"/>
        <w:jc w:val="center"/>
        <w:rPr>
          <w:color w:val="4C4D4F"/>
        </w:rPr>
      </w:pPr>
    </w:p>
    <w:p w14:paraId="6BF63F97" w14:textId="383204B9" w:rsidR="001C7976" w:rsidRDefault="001C7976" w:rsidP="001C7976">
      <w:pPr>
        <w:pStyle w:val="BodyText"/>
        <w:spacing w:before="68"/>
        <w:ind w:left="1"/>
        <w:jc w:val="center"/>
        <w:rPr>
          <w:color w:val="4C4D4F"/>
        </w:rPr>
      </w:pPr>
      <w:r>
        <w:rPr>
          <w:color w:val="4C4D4F"/>
        </w:rPr>
        <w:t>HNY APC Professional Secretariat Provided by:</w:t>
      </w:r>
    </w:p>
    <w:p w14:paraId="60F27020" w14:textId="77777777" w:rsidR="001C7976" w:rsidRDefault="001C7976" w:rsidP="001C7976">
      <w:pPr>
        <w:pStyle w:val="BodyText"/>
        <w:spacing w:before="68"/>
        <w:ind w:left="1"/>
        <w:jc w:val="center"/>
      </w:pPr>
      <w:r>
        <w:rPr>
          <w:color w:val="4C4D4F"/>
        </w:rPr>
        <w:t>Regional Drug and Therapeutics Centre</w:t>
      </w:r>
    </w:p>
    <w:p w14:paraId="4FC46799" w14:textId="77777777" w:rsidR="001C7976" w:rsidRDefault="001C7976" w:rsidP="001C7976">
      <w:pPr>
        <w:pStyle w:val="BodyText"/>
        <w:spacing w:before="4"/>
        <w:ind w:left="1"/>
        <w:jc w:val="center"/>
      </w:pPr>
      <w:r>
        <w:rPr>
          <w:color w:val="4C4D4F"/>
        </w:rPr>
        <w:t>16/17 Framlington Place, Newcastle upon Tyne, NE2 4AB</w:t>
      </w:r>
    </w:p>
    <w:p w14:paraId="3CC7289B" w14:textId="456F80FD" w:rsidR="001C7976" w:rsidRDefault="001C7976" w:rsidP="001C7976">
      <w:pPr>
        <w:tabs>
          <w:tab w:val="left" w:pos="1770"/>
          <w:tab w:val="left" w:pos="3611"/>
          <w:tab w:val="left" w:pos="6712"/>
        </w:tabs>
        <w:spacing w:before="3"/>
        <w:jc w:val="center"/>
        <w:rPr>
          <w:sz w:val="15"/>
        </w:rPr>
      </w:pPr>
      <w:bookmarkStart w:id="1" w:name="_Hlk183004187"/>
      <w:r>
        <w:rPr>
          <w:color w:val="4C4D4F"/>
          <w:spacing w:val="-5"/>
        </w:rPr>
        <w:t xml:space="preserve">Tel: </w:t>
      </w:r>
      <w:r>
        <w:rPr>
          <w:b/>
          <w:color w:val="4C4D4F"/>
        </w:rPr>
        <w:t>0191</w:t>
      </w:r>
      <w:r>
        <w:rPr>
          <w:b/>
          <w:color w:val="4C4D4F"/>
          <w:spacing w:val="15"/>
        </w:rPr>
        <w:t xml:space="preserve"> </w:t>
      </w:r>
      <w:r>
        <w:rPr>
          <w:b/>
          <w:color w:val="4C4D4F"/>
        </w:rPr>
        <w:t>213</w:t>
      </w:r>
      <w:r>
        <w:rPr>
          <w:b/>
          <w:color w:val="4C4D4F"/>
          <w:spacing w:val="5"/>
        </w:rPr>
        <w:t xml:space="preserve"> </w:t>
      </w:r>
      <w:r>
        <w:rPr>
          <w:b/>
          <w:color w:val="4C4D4F"/>
        </w:rPr>
        <w:t>7855</w:t>
      </w:r>
      <w:r>
        <w:rPr>
          <w:b/>
          <w:color w:val="4C4D4F"/>
        </w:rPr>
        <w:tab/>
      </w:r>
      <w:r>
        <w:rPr>
          <w:color w:val="4C4D4F"/>
        </w:rPr>
        <w:t>email</w:t>
      </w:r>
      <w:r w:rsidRPr="006E26D1">
        <w:rPr>
          <w:color w:val="4C4D4F"/>
        </w:rPr>
        <w:t xml:space="preserve">:  </w:t>
      </w:r>
      <w:hyperlink r:id="rId26" w:history="1">
        <w:r w:rsidR="007D5B59" w:rsidRPr="008F730E">
          <w:rPr>
            <w:rStyle w:val="Hyperlink"/>
            <w:rFonts w:cs="Arial"/>
          </w:rPr>
          <w:t>nuth.hnyapc@nhs.net</w:t>
        </w:r>
      </w:hyperlink>
      <w:r w:rsidR="007D5B59">
        <w:rPr>
          <w:color w:val="4C4D4F"/>
        </w:rPr>
        <w:t xml:space="preserve">  </w:t>
      </w:r>
      <w:r>
        <w:rPr>
          <w:color w:val="4C4D4F"/>
          <w:spacing w:val="19"/>
        </w:rPr>
        <w:t xml:space="preserve">  </w:t>
      </w:r>
      <w:r>
        <w:rPr>
          <w:color w:val="4C4D4F"/>
        </w:rPr>
        <w:t>visit:</w:t>
      </w:r>
      <w:r>
        <w:rPr>
          <w:color w:val="4C4D4F"/>
          <w:spacing w:val="4"/>
        </w:rPr>
        <w:t xml:space="preserve"> </w:t>
      </w:r>
      <w:hyperlink r:id="rId27" w:history="1">
        <w:r w:rsidRPr="00EF6157">
          <w:rPr>
            <w:rStyle w:val="Hyperlink"/>
            <w:rFonts w:cs="Arial"/>
          </w:rPr>
          <w:t>https://humberandnorthyorkshire.org.uk/area-prescribing-committee-apc/</w:t>
        </w:r>
      </w:hyperlink>
      <w:r>
        <w:t xml:space="preserve"> </w:t>
      </w:r>
    </w:p>
    <w:bookmarkEnd w:id="1"/>
    <w:p w14:paraId="3F6D9BD9" w14:textId="77777777" w:rsidR="001C7976" w:rsidRDefault="001C7976" w:rsidP="001C7976">
      <w:pPr>
        <w:ind w:left="12"/>
        <w:jc w:val="center"/>
      </w:pPr>
      <w:r>
        <w:rPr>
          <w:noProof/>
          <w:position w:val="-15"/>
          <w:lang w:eastAsia="en-GB"/>
        </w:rPr>
        <w:drawing>
          <wp:inline distT="0" distB="0" distL="0" distR="0" wp14:anchorId="146C8D26" wp14:editId="236FB79C">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8" cstate="print"/>
                    <a:stretch>
                      <a:fillRect/>
                    </a:stretch>
                  </pic:blipFill>
                  <pic:spPr>
                    <a:xfrm>
                      <a:off x="0" y="0"/>
                      <a:ext cx="295147" cy="295147"/>
                    </a:xfrm>
                    <a:prstGeom prst="rect">
                      <a:avLst/>
                    </a:prstGeom>
                  </pic:spPr>
                </pic:pic>
              </a:graphicData>
            </a:graphic>
          </wp:inline>
        </w:drawing>
      </w:r>
      <w:r>
        <w:rPr>
          <w:rFonts w:ascii="Times New Roman"/>
          <w:sz w:val="20"/>
        </w:rPr>
        <w:t xml:space="preserve">  </w:t>
      </w:r>
      <w:r>
        <w:rPr>
          <w:rFonts w:ascii="Times New Roman"/>
          <w:spacing w:val="-10"/>
          <w:sz w:val="20"/>
        </w:rPr>
        <w:t xml:space="preserve"> </w:t>
      </w:r>
      <w:hyperlink r:id="rId29">
        <w:r>
          <w:rPr>
            <w:color w:val="456DA9"/>
          </w:rPr>
          <w:t>@RDTC_Rx</w:t>
        </w:r>
      </w:hyperlink>
    </w:p>
    <w:p w14:paraId="0C19F98F" w14:textId="7835C9A3" w:rsidR="00560ADF" w:rsidRPr="00E73516" w:rsidRDefault="001C7976" w:rsidP="00E73516">
      <w:pPr>
        <w:spacing w:before="56" w:line="266" w:lineRule="auto"/>
        <w:ind w:left="613" w:right="610"/>
        <w:jc w:val="center"/>
        <w:rPr>
          <w:sz w:val="13"/>
        </w:rPr>
      </w:pPr>
      <w:r>
        <w:rPr>
          <w:color w:val="4C4D4F"/>
          <w:sz w:val="13"/>
        </w:rPr>
        <w:t>THIS DOCUMENT IS INTENDED FOR USE BY NHS HEALTHCARE PROFESSIONALS AND CANNOT BE USED FOR COMMERCIAL OR MARKETING PURPOSES. PATIENT INFORMATION ON MANY TOPICS CAN BE ACCESSED VIA NHS CHOICES</w:t>
      </w:r>
    </w:p>
    <w:sectPr w:rsidR="00560ADF" w:rsidRPr="00E73516" w:rsidSect="00BB4FF3">
      <w:type w:val="continuous"/>
      <w:pgSz w:w="16840" w:h="11910" w:orient="landscape"/>
      <w:pgMar w:top="567" w:right="520" w:bottom="993" w:left="426" w:header="720" w:footer="1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65566" w14:textId="77777777" w:rsidR="00286647" w:rsidRDefault="00286647" w:rsidP="007909C3">
      <w:r>
        <w:separator/>
      </w:r>
    </w:p>
  </w:endnote>
  <w:endnote w:type="continuationSeparator" w:id="0">
    <w:p w14:paraId="66954E71" w14:textId="77777777" w:rsidR="00286647" w:rsidRDefault="00286647"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0E42F" w14:textId="68DDE0B8" w:rsidR="00B47BFE" w:rsidRDefault="00B47BFE" w:rsidP="007909C3">
    <w:pPr>
      <w:pStyle w:val="Footer"/>
    </w:pPr>
    <w:r>
      <w:rPr>
        <w:noProof/>
        <w:sz w:val="13"/>
        <w:lang w:eastAsia="en-GB"/>
      </w:rPr>
      <w:drawing>
        <wp:inline distT="0" distB="0" distL="0" distR="0" wp14:anchorId="3CDC6C78" wp14:editId="6F3A1421">
          <wp:extent cx="539497" cy="222504"/>
          <wp:effectExtent l="0" t="0" r="0" b="6350"/>
          <wp:docPr id="442185357" name="Picture 44218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rsidR="003A0939">
      <w:tab/>
    </w:r>
    <w:proofErr w:type="gramStart"/>
    <w:r w:rsidR="003A0939">
      <w:tab/>
    </w:r>
    <w:r w:rsidRPr="00B47BFE">
      <w:t xml:space="preserve">  </w:t>
    </w:r>
    <w:r w:rsidR="00CC2256">
      <w:t>December</w:t>
    </w:r>
    <w:proofErr w:type="gramEnd"/>
    <w:r w:rsidRPr="00B47BFE">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0FD0" w14:textId="3908A40E" w:rsidR="00B47BFE" w:rsidRDefault="00B47BFE" w:rsidP="007909C3">
    <w:pPr>
      <w:pStyle w:val="Footer"/>
    </w:pPr>
    <w:r>
      <w:rPr>
        <w:noProof/>
        <w:sz w:val="13"/>
        <w:lang w:eastAsia="en-GB"/>
      </w:rPr>
      <w:drawing>
        <wp:inline distT="0" distB="0" distL="0" distR="0" wp14:anchorId="4067C498" wp14:editId="67EDCD6A">
          <wp:extent cx="539497" cy="222504"/>
          <wp:effectExtent l="0" t="0" r="0" b="6350"/>
          <wp:docPr id="1715799634" name="Picture 171579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Produced by the Regional Drug and Therapeutics Centre</w:t>
    </w:r>
    <w:r w:rsidR="009A721C">
      <w:tab/>
    </w:r>
    <w:r w:rsidR="009A721C">
      <w:tab/>
    </w:r>
    <w:r w:rsidR="009A721C">
      <w:tab/>
    </w:r>
    <w:r w:rsidR="009A721C">
      <w:tab/>
    </w:r>
    <w:r w:rsidR="009A721C">
      <w:tab/>
    </w:r>
    <w:r w:rsidR="009A721C">
      <w:tab/>
    </w:r>
    <w:r w:rsidR="009A721C">
      <w:tab/>
    </w:r>
    <w:r w:rsidR="009A721C">
      <w:tab/>
    </w:r>
    <w:r w:rsidR="009A721C">
      <w:tab/>
    </w:r>
    <w:r w:rsidR="001B3D7C">
      <w:t>May</w:t>
    </w:r>
    <w:r w:rsidR="00040A7D">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C280" w14:textId="2533325C" w:rsidR="00C97823" w:rsidRDefault="00FC005D" w:rsidP="007909C3">
    <w:pPr>
      <w:pStyle w:val="Footer"/>
    </w:pPr>
    <w:r>
      <w:rPr>
        <w:noProof/>
        <w:sz w:val="13"/>
        <w:lang w:eastAsia="en-GB"/>
      </w:rPr>
      <w:drawing>
        <wp:inline distT="0" distB="0" distL="0" distR="0" wp14:anchorId="65C7F0BF" wp14:editId="426BAA20">
          <wp:extent cx="539497" cy="222504"/>
          <wp:effectExtent l="0" t="0" r="0" b="6350"/>
          <wp:docPr id="1796720444" name="Picture 179672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t xml:space="preserve">               </w:t>
    </w:r>
    <w:r w:rsidRPr="00B47BFE">
      <w:t xml:space="preserve">Produced by the Regional Drug and Therapeutics Centre                                                                                             </w:t>
    </w:r>
    <w:r>
      <w:t xml:space="preserve">                                            </w:t>
    </w:r>
    <w:r w:rsidRPr="00B47BFE">
      <w:t xml:space="preserve">  </w:t>
    </w:r>
    <w:r w:rsidR="003A0939">
      <w:tab/>
    </w:r>
    <w:r w:rsidR="003A0939">
      <w:tab/>
    </w:r>
    <w:r w:rsidR="00493A22">
      <w:t>April</w:t>
    </w:r>
    <w:r w:rsidR="00040A7D">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8DE6" w14:textId="2EE8E88A"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1216140623" name="Picture 121614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tab/>
    </w:r>
    <w:r>
      <w:tab/>
    </w:r>
    <w:r w:rsidR="001849DB">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5F20F" w14:textId="77777777" w:rsidR="00286647" w:rsidRDefault="00286647" w:rsidP="007909C3">
      <w:r>
        <w:separator/>
      </w:r>
    </w:p>
  </w:footnote>
  <w:footnote w:type="continuationSeparator" w:id="0">
    <w:p w14:paraId="37B291DE" w14:textId="77777777" w:rsidR="00286647" w:rsidRDefault="00286647" w:rsidP="007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448E" w14:textId="2BB2C131" w:rsidR="009440BC" w:rsidRDefault="0094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065C" w14:textId="03AA2F19" w:rsidR="009440BC" w:rsidRDefault="00944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28FF" w14:textId="507B77E1" w:rsidR="009440BC" w:rsidRDefault="0094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761"/>
    <w:multiLevelType w:val="hybridMultilevel"/>
    <w:tmpl w:val="5162AF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54194"/>
    <w:multiLevelType w:val="hybridMultilevel"/>
    <w:tmpl w:val="08FE6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C135D"/>
    <w:multiLevelType w:val="hybridMultilevel"/>
    <w:tmpl w:val="12E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A797D"/>
    <w:multiLevelType w:val="multilevel"/>
    <w:tmpl w:val="04C6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A939A9"/>
    <w:multiLevelType w:val="multilevel"/>
    <w:tmpl w:val="2F9006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E6941"/>
    <w:multiLevelType w:val="hybridMultilevel"/>
    <w:tmpl w:val="5BA6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622612"/>
    <w:multiLevelType w:val="hybridMultilevel"/>
    <w:tmpl w:val="6494ED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45BDC"/>
    <w:multiLevelType w:val="multilevel"/>
    <w:tmpl w:val="B3CC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445BE9"/>
    <w:multiLevelType w:val="hybridMultilevel"/>
    <w:tmpl w:val="8B52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E40BAB"/>
    <w:multiLevelType w:val="hybridMultilevel"/>
    <w:tmpl w:val="C480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E2E50"/>
    <w:multiLevelType w:val="multilevel"/>
    <w:tmpl w:val="D8B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282B5B"/>
    <w:multiLevelType w:val="hybridMultilevel"/>
    <w:tmpl w:val="12D2829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3" w15:restartNumberingAfterBreak="0">
    <w:nsid w:val="5C673365"/>
    <w:multiLevelType w:val="multilevel"/>
    <w:tmpl w:val="DC0C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AD0E4C"/>
    <w:multiLevelType w:val="multilevel"/>
    <w:tmpl w:val="4A36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D85395"/>
    <w:multiLevelType w:val="multilevel"/>
    <w:tmpl w:val="95BE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11"/>
  </w:num>
  <w:num w:numId="5">
    <w:abstractNumId w:val="8"/>
  </w:num>
  <w:num w:numId="6">
    <w:abstractNumId w:val="15"/>
  </w:num>
  <w:num w:numId="7">
    <w:abstractNumId w:val="13"/>
  </w:num>
  <w:num w:numId="8">
    <w:abstractNumId w:val="14"/>
  </w:num>
  <w:num w:numId="9">
    <w:abstractNumId w:val="3"/>
  </w:num>
  <w:num w:numId="10">
    <w:abstractNumId w:val="10"/>
  </w:num>
  <w:num w:numId="11">
    <w:abstractNumId w:val="6"/>
  </w:num>
  <w:num w:numId="12">
    <w:abstractNumId w:val="7"/>
  </w:num>
  <w:num w:numId="13">
    <w:abstractNumId w:val="2"/>
  </w:num>
  <w:num w:numId="14">
    <w:abstractNumId w:val="1"/>
  </w:num>
  <w:num w:numId="15">
    <w:abstractNumId w:val="0"/>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DF"/>
    <w:rsid w:val="0003501F"/>
    <w:rsid w:val="00040A7D"/>
    <w:rsid w:val="000445EA"/>
    <w:rsid w:val="00051DB8"/>
    <w:rsid w:val="00052D53"/>
    <w:rsid w:val="00053A7D"/>
    <w:rsid w:val="000676AA"/>
    <w:rsid w:val="0007607C"/>
    <w:rsid w:val="00087638"/>
    <w:rsid w:val="000919D1"/>
    <w:rsid w:val="000A1DB8"/>
    <w:rsid w:val="000A1EB8"/>
    <w:rsid w:val="000A4068"/>
    <w:rsid w:val="000C4518"/>
    <w:rsid w:val="000C6200"/>
    <w:rsid w:val="00151934"/>
    <w:rsid w:val="001573FC"/>
    <w:rsid w:val="00163CC8"/>
    <w:rsid w:val="00164BE9"/>
    <w:rsid w:val="00172933"/>
    <w:rsid w:val="001849DB"/>
    <w:rsid w:val="001B3D7C"/>
    <w:rsid w:val="001B7451"/>
    <w:rsid w:val="001C291E"/>
    <w:rsid w:val="001C7976"/>
    <w:rsid w:val="001D1284"/>
    <w:rsid w:val="001F0421"/>
    <w:rsid w:val="001F28EB"/>
    <w:rsid w:val="00212556"/>
    <w:rsid w:val="002243E0"/>
    <w:rsid w:val="00231E30"/>
    <w:rsid w:val="00245872"/>
    <w:rsid w:val="00270030"/>
    <w:rsid w:val="0028057F"/>
    <w:rsid w:val="0028306A"/>
    <w:rsid w:val="00284386"/>
    <w:rsid w:val="00286647"/>
    <w:rsid w:val="00287462"/>
    <w:rsid w:val="00291455"/>
    <w:rsid w:val="00293208"/>
    <w:rsid w:val="00297D20"/>
    <w:rsid w:val="002B7031"/>
    <w:rsid w:val="002C038B"/>
    <w:rsid w:val="002D44AD"/>
    <w:rsid w:val="002D5A93"/>
    <w:rsid w:val="002D6A78"/>
    <w:rsid w:val="002D6B55"/>
    <w:rsid w:val="00310A03"/>
    <w:rsid w:val="00311322"/>
    <w:rsid w:val="00317A38"/>
    <w:rsid w:val="00341777"/>
    <w:rsid w:val="00364888"/>
    <w:rsid w:val="003662FE"/>
    <w:rsid w:val="003675E8"/>
    <w:rsid w:val="003679C5"/>
    <w:rsid w:val="003721C9"/>
    <w:rsid w:val="00376D53"/>
    <w:rsid w:val="00383A54"/>
    <w:rsid w:val="00384BD6"/>
    <w:rsid w:val="003A0834"/>
    <w:rsid w:val="003A0939"/>
    <w:rsid w:val="003A0AA7"/>
    <w:rsid w:val="003A3E0B"/>
    <w:rsid w:val="003B1091"/>
    <w:rsid w:val="003B42C3"/>
    <w:rsid w:val="003F10F1"/>
    <w:rsid w:val="003F1A3A"/>
    <w:rsid w:val="00432265"/>
    <w:rsid w:val="00433C32"/>
    <w:rsid w:val="00436283"/>
    <w:rsid w:val="00447DF4"/>
    <w:rsid w:val="00472798"/>
    <w:rsid w:val="00493A22"/>
    <w:rsid w:val="004A08AE"/>
    <w:rsid w:val="004B3656"/>
    <w:rsid w:val="004C6BED"/>
    <w:rsid w:val="004D2801"/>
    <w:rsid w:val="004E452C"/>
    <w:rsid w:val="004E5F2D"/>
    <w:rsid w:val="004F4F2C"/>
    <w:rsid w:val="00521D47"/>
    <w:rsid w:val="00560ADF"/>
    <w:rsid w:val="005617A9"/>
    <w:rsid w:val="00562B5A"/>
    <w:rsid w:val="00566C50"/>
    <w:rsid w:val="005B1A2C"/>
    <w:rsid w:val="005B6E51"/>
    <w:rsid w:val="005C0229"/>
    <w:rsid w:val="005C3CE2"/>
    <w:rsid w:val="005F23BE"/>
    <w:rsid w:val="005F5C08"/>
    <w:rsid w:val="00623832"/>
    <w:rsid w:val="00630CB4"/>
    <w:rsid w:val="00646CBD"/>
    <w:rsid w:val="0067124F"/>
    <w:rsid w:val="00674875"/>
    <w:rsid w:val="0068542C"/>
    <w:rsid w:val="00686FE4"/>
    <w:rsid w:val="006B4F2B"/>
    <w:rsid w:val="006C1D50"/>
    <w:rsid w:val="006D4B89"/>
    <w:rsid w:val="006E3D7B"/>
    <w:rsid w:val="006E665B"/>
    <w:rsid w:val="006F093A"/>
    <w:rsid w:val="00712AD4"/>
    <w:rsid w:val="00726EEF"/>
    <w:rsid w:val="00732CE6"/>
    <w:rsid w:val="00734652"/>
    <w:rsid w:val="0079078F"/>
    <w:rsid w:val="007909C3"/>
    <w:rsid w:val="007A31AE"/>
    <w:rsid w:val="007A6E02"/>
    <w:rsid w:val="007D5B59"/>
    <w:rsid w:val="007F044F"/>
    <w:rsid w:val="007F1855"/>
    <w:rsid w:val="008072D2"/>
    <w:rsid w:val="00830A05"/>
    <w:rsid w:val="00842E14"/>
    <w:rsid w:val="008606FE"/>
    <w:rsid w:val="00862815"/>
    <w:rsid w:val="00885EE2"/>
    <w:rsid w:val="00894352"/>
    <w:rsid w:val="00897F5D"/>
    <w:rsid w:val="008C0B9E"/>
    <w:rsid w:val="008D6DE1"/>
    <w:rsid w:val="009108ED"/>
    <w:rsid w:val="00922D21"/>
    <w:rsid w:val="00931096"/>
    <w:rsid w:val="009440BC"/>
    <w:rsid w:val="0095030D"/>
    <w:rsid w:val="00967047"/>
    <w:rsid w:val="00983E23"/>
    <w:rsid w:val="009846C4"/>
    <w:rsid w:val="00985184"/>
    <w:rsid w:val="009A721C"/>
    <w:rsid w:val="009C1AA0"/>
    <w:rsid w:val="009C318B"/>
    <w:rsid w:val="009E5F4F"/>
    <w:rsid w:val="009F1555"/>
    <w:rsid w:val="00A01100"/>
    <w:rsid w:val="00A12F07"/>
    <w:rsid w:val="00A17C46"/>
    <w:rsid w:val="00A3020A"/>
    <w:rsid w:val="00A550E2"/>
    <w:rsid w:val="00A55F26"/>
    <w:rsid w:val="00A90878"/>
    <w:rsid w:val="00A9155E"/>
    <w:rsid w:val="00AA2250"/>
    <w:rsid w:val="00AA7BB9"/>
    <w:rsid w:val="00AB66B9"/>
    <w:rsid w:val="00AC6922"/>
    <w:rsid w:val="00AF1D87"/>
    <w:rsid w:val="00AF7C38"/>
    <w:rsid w:val="00AF7FFC"/>
    <w:rsid w:val="00B16D53"/>
    <w:rsid w:val="00B221D6"/>
    <w:rsid w:val="00B3576A"/>
    <w:rsid w:val="00B40050"/>
    <w:rsid w:val="00B4247C"/>
    <w:rsid w:val="00B43BEE"/>
    <w:rsid w:val="00B47BFE"/>
    <w:rsid w:val="00B53501"/>
    <w:rsid w:val="00B6100A"/>
    <w:rsid w:val="00B624BB"/>
    <w:rsid w:val="00B65BEA"/>
    <w:rsid w:val="00B73289"/>
    <w:rsid w:val="00B74ECB"/>
    <w:rsid w:val="00B801EC"/>
    <w:rsid w:val="00B83148"/>
    <w:rsid w:val="00B900B4"/>
    <w:rsid w:val="00BB4FF3"/>
    <w:rsid w:val="00BC02E9"/>
    <w:rsid w:val="00BC5B4D"/>
    <w:rsid w:val="00BC7C04"/>
    <w:rsid w:val="00BF1D6B"/>
    <w:rsid w:val="00C00E0A"/>
    <w:rsid w:val="00C02D41"/>
    <w:rsid w:val="00C05997"/>
    <w:rsid w:val="00C13E92"/>
    <w:rsid w:val="00C20E88"/>
    <w:rsid w:val="00C4153E"/>
    <w:rsid w:val="00C43079"/>
    <w:rsid w:val="00C84BB0"/>
    <w:rsid w:val="00C8733F"/>
    <w:rsid w:val="00C87597"/>
    <w:rsid w:val="00C966D9"/>
    <w:rsid w:val="00C97823"/>
    <w:rsid w:val="00CA13FA"/>
    <w:rsid w:val="00CA6426"/>
    <w:rsid w:val="00CC2256"/>
    <w:rsid w:val="00CC4392"/>
    <w:rsid w:val="00CD18E2"/>
    <w:rsid w:val="00CE2F6D"/>
    <w:rsid w:val="00D23196"/>
    <w:rsid w:val="00D37628"/>
    <w:rsid w:val="00D41C86"/>
    <w:rsid w:val="00D56C5C"/>
    <w:rsid w:val="00D771F7"/>
    <w:rsid w:val="00D77342"/>
    <w:rsid w:val="00DE1560"/>
    <w:rsid w:val="00DF6DD1"/>
    <w:rsid w:val="00E11EB4"/>
    <w:rsid w:val="00E13745"/>
    <w:rsid w:val="00E348EA"/>
    <w:rsid w:val="00E364E4"/>
    <w:rsid w:val="00E36C52"/>
    <w:rsid w:val="00E55444"/>
    <w:rsid w:val="00E7173A"/>
    <w:rsid w:val="00E73516"/>
    <w:rsid w:val="00E80933"/>
    <w:rsid w:val="00E83736"/>
    <w:rsid w:val="00E94048"/>
    <w:rsid w:val="00EA5257"/>
    <w:rsid w:val="00EB2F2B"/>
    <w:rsid w:val="00EB7C56"/>
    <w:rsid w:val="00EC091D"/>
    <w:rsid w:val="00EC48E4"/>
    <w:rsid w:val="00ED412F"/>
    <w:rsid w:val="00ED4F43"/>
    <w:rsid w:val="00ED7717"/>
    <w:rsid w:val="00EF6D1B"/>
    <w:rsid w:val="00EF74D1"/>
    <w:rsid w:val="00F07C92"/>
    <w:rsid w:val="00F1389B"/>
    <w:rsid w:val="00F13B08"/>
    <w:rsid w:val="00F52BBA"/>
    <w:rsid w:val="00F53774"/>
    <w:rsid w:val="00F54CB1"/>
    <w:rsid w:val="00F81187"/>
    <w:rsid w:val="00FA5593"/>
    <w:rsid w:val="00FB2049"/>
    <w:rsid w:val="00FC005D"/>
    <w:rsid w:val="00FD45B9"/>
    <w:rsid w:val="00FE2842"/>
    <w:rsid w:val="00FE3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76"/>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3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 w:type="character" w:customStyle="1" w:styleId="UnresolvedMention1">
    <w:name w:val="Unresolved Mention1"/>
    <w:basedOn w:val="DefaultParagraphFont"/>
    <w:uiPriority w:val="99"/>
    <w:semiHidden/>
    <w:unhideWhenUsed/>
    <w:rsid w:val="007D5B59"/>
    <w:rPr>
      <w:color w:val="605E5C"/>
      <w:shd w:val="clear" w:color="auto" w:fill="E1DFDD"/>
    </w:rPr>
  </w:style>
  <w:style w:type="character" w:customStyle="1" w:styleId="normaltextrun">
    <w:name w:val="normaltextrun"/>
    <w:basedOn w:val="DefaultParagraphFont"/>
    <w:rsid w:val="00493A22"/>
  </w:style>
  <w:style w:type="character" w:customStyle="1" w:styleId="eop">
    <w:name w:val="eop"/>
    <w:basedOn w:val="DefaultParagraphFont"/>
    <w:rsid w:val="00493A22"/>
  </w:style>
  <w:style w:type="paragraph" w:customStyle="1" w:styleId="paragraph">
    <w:name w:val="paragraph"/>
    <w:basedOn w:val="Normal"/>
    <w:rsid w:val="00493A22"/>
    <w:pPr>
      <w:widowControl/>
      <w:tabs>
        <w:tab w:val="clear" w:pos="975"/>
      </w:tabs>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D3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5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hyperlink" Target="mailto:nuth.hnyapc@nhs.ne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yperlink" Target="https://www.nice.org.uk/guidance/ta878/chapter/5-Supporting-information-on-risk-factors-for-progression-to-severe-COVID19" TargetMode="External"/><Relationship Id="rId2" Type="http://schemas.openxmlformats.org/officeDocument/2006/relationships/numbering" Target="numbering.xml"/><Relationship Id="rId16" Type="http://schemas.openxmlformats.org/officeDocument/2006/relationships/hyperlink" Target="https://urlsand.esvalabs.com/?u=https%3A%2F%2Fwww.southernhealth.nhs.uk%2Fdownload_file%2Fview%2F3186%2F917&amp;e=9f250c40&amp;h=377ba38c&amp;f=y&amp;p=n" TargetMode="External"/><Relationship Id="rId20" Type="http://schemas.openxmlformats.org/officeDocument/2006/relationships/header" Target="header1.xml"/><Relationship Id="rId29" Type="http://schemas.openxmlformats.org/officeDocument/2006/relationships/hyperlink" Target="https://twitter.com/RDTC_R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ice.org.uk/guidance/ta878/" TargetMode="External"/><Relationship Id="rId5" Type="http://schemas.openxmlformats.org/officeDocument/2006/relationships/webSettings" Target="webSettings.xml"/><Relationship Id="rId15" Type="http://schemas.openxmlformats.org/officeDocument/2006/relationships/hyperlink" Target="https://www.nice.org.uk/guidance/ng248" TargetMode="External"/><Relationship Id="rId23" Type="http://schemas.openxmlformats.org/officeDocument/2006/relationships/header" Target="header3.xml"/><Relationship Id="rId28" Type="http://schemas.openxmlformats.org/officeDocument/2006/relationships/image" Target="media/image5.png"/><Relationship Id="rId10" Type="http://schemas.openxmlformats.org/officeDocument/2006/relationships/hyperlink" Target="https://humberandnorthyorkshire.org.uk/area-prescribing-committee-apc-minutes-from-meetings/" TargetMode="External"/><Relationship Id="rId19" Type="http://schemas.openxmlformats.org/officeDocument/2006/relationships/hyperlink" Target="https://www.england.nhs.uk/long-read/funding-supply-inclisiran-leqvi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bgyn.onlinelibrary.wiley.com/doi/full/10.1111/1471-0528.17739" TargetMode="External"/><Relationship Id="rId22" Type="http://schemas.openxmlformats.org/officeDocument/2006/relationships/footer" Target="footer4.xml"/><Relationship Id="rId27" Type="http://schemas.openxmlformats.org/officeDocument/2006/relationships/hyperlink" Target="https://humberandnorthyorkshire.org.uk/area-prescribing-committee-apc/"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95E2-61C9-4689-BF08-F67673A1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cp:lastModifiedBy>
  <cp:revision>39</cp:revision>
  <dcterms:created xsi:type="dcterms:W3CDTF">2024-12-16T11:58:00Z</dcterms:created>
  <dcterms:modified xsi:type="dcterms:W3CDTF">2025-05-20T16:09:00Z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