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8EA1C" w14:textId="5F168A91" w:rsidR="003C21D1" w:rsidRDefault="003C21D1">
      <w:bookmarkStart w:id="0" w:name="_GoBack"/>
      <w:bookmarkEnd w:id="0"/>
    </w:p>
    <w:p w14:paraId="1A9789A2" w14:textId="77709E6E" w:rsidR="005228A2" w:rsidRPr="005228A2" w:rsidRDefault="00D5504F" w:rsidP="005228A2">
      <w:pPr>
        <w:pStyle w:val="Heading2"/>
        <w:numPr>
          <w:ilvl w:val="0"/>
          <w:numId w:val="0"/>
        </w:numPr>
        <w:ind w:left="357" w:hanging="357"/>
        <w:jc w:val="center"/>
        <w:rPr>
          <w:sz w:val="28"/>
          <w:szCs w:val="32"/>
        </w:rPr>
      </w:pPr>
      <w:r>
        <w:rPr>
          <w:sz w:val="28"/>
          <w:szCs w:val="32"/>
        </w:rPr>
        <w:t>Lithium</w:t>
      </w:r>
      <w:r w:rsidR="005228A2" w:rsidRPr="005228A2">
        <w:rPr>
          <w:sz w:val="28"/>
          <w:szCs w:val="32"/>
        </w:rPr>
        <w:t xml:space="preserve"> for patients within adult services</w:t>
      </w:r>
    </w:p>
    <w:tbl>
      <w:tblPr>
        <w:tblStyle w:val="TableGrid"/>
        <w:tblW w:w="0" w:type="auto"/>
        <w:tblLook w:val="04A0" w:firstRow="1" w:lastRow="0" w:firstColumn="1" w:lastColumn="0" w:noHBand="0" w:noVBand="1"/>
      </w:tblPr>
      <w:tblGrid>
        <w:gridCol w:w="3256"/>
        <w:gridCol w:w="2305"/>
        <w:gridCol w:w="2447"/>
        <w:gridCol w:w="2448"/>
      </w:tblGrid>
      <w:tr w:rsidR="00812579" w14:paraId="117D375B" w14:textId="77777777" w:rsidTr="00812579">
        <w:tc>
          <w:tcPr>
            <w:tcW w:w="3256" w:type="dxa"/>
          </w:tcPr>
          <w:p w14:paraId="1FC4E973" w14:textId="4E19234A" w:rsidR="00812579" w:rsidRDefault="00812579" w:rsidP="00BF1406">
            <w:pPr>
              <w:rPr>
                <w:rFonts w:cs="Arial"/>
              </w:rPr>
            </w:pPr>
            <w:r>
              <w:rPr>
                <w:rFonts w:cs="Arial"/>
              </w:rPr>
              <w:t>Version:</w:t>
            </w:r>
          </w:p>
        </w:tc>
        <w:tc>
          <w:tcPr>
            <w:tcW w:w="2305" w:type="dxa"/>
          </w:tcPr>
          <w:p w14:paraId="1B35B75E" w14:textId="1DA6992D" w:rsidR="00812579" w:rsidRDefault="00946787" w:rsidP="00BF1406">
            <w:pPr>
              <w:rPr>
                <w:rFonts w:cs="Arial"/>
              </w:rPr>
            </w:pPr>
            <w:r>
              <w:rPr>
                <w:rFonts w:cs="Arial"/>
              </w:rPr>
              <w:t xml:space="preserve">RDTC draft </w:t>
            </w:r>
            <w:r w:rsidR="00B515FA">
              <w:rPr>
                <w:rFonts w:cs="Arial"/>
              </w:rPr>
              <w:t>3</w:t>
            </w:r>
          </w:p>
        </w:tc>
        <w:tc>
          <w:tcPr>
            <w:tcW w:w="2447" w:type="dxa"/>
          </w:tcPr>
          <w:p w14:paraId="76C84DC3" w14:textId="7BC745AD" w:rsidR="00812579" w:rsidRDefault="00812579" w:rsidP="00BF1406">
            <w:pPr>
              <w:rPr>
                <w:rFonts w:cs="Arial"/>
              </w:rPr>
            </w:pPr>
            <w:r>
              <w:rPr>
                <w:rFonts w:cs="Arial"/>
              </w:rPr>
              <w:t>Replaces version:</w:t>
            </w:r>
          </w:p>
        </w:tc>
        <w:tc>
          <w:tcPr>
            <w:tcW w:w="2448" w:type="dxa"/>
          </w:tcPr>
          <w:p w14:paraId="603CA470" w14:textId="697024DF" w:rsidR="00812579" w:rsidRDefault="00D5504F" w:rsidP="00BF1406">
            <w:pPr>
              <w:rPr>
                <w:rFonts w:cs="Arial"/>
              </w:rPr>
            </w:pPr>
            <w:r>
              <w:rPr>
                <w:rFonts w:cs="Arial"/>
              </w:rPr>
              <w:t>NHSE v1.0</w:t>
            </w:r>
          </w:p>
        </w:tc>
      </w:tr>
      <w:tr w:rsidR="00812579" w14:paraId="69C53677" w14:textId="77777777" w:rsidTr="00812579">
        <w:tc>
          <w:tcPr>
            <w:tcW w:w="3256" w:type="dxa"/>
          </w:tcPr>
          <w:p w14:paraId="0BC1494C" w14:textId="356B9B36" w:rsidR="00812579" w:rsidRDefault="00812579" w:rsidP="00BF1406">
            <w:pPr>
              <w:rPr>
                <w:rFonts w:cs="Arial"/>
              </w:rPr>
            </w:pPr>
            <w:r>
              <w:rPr>
                <w:rFonts w:cs="Arial"/>
              </w:rPr>
              <w:t>Clinical content last reviewed:</w:t>
            </w:r>
          </w:p>
        </w:tc>
        <w:tc>
          <w:tcPr>
            <w:tcW w:w="2305" w:type="dxa"/>
          </w:tcPr>
          <w:p w14:paraId="456B394F" w14:textId="2850B25D" w:rsidR="00812579" w:rsidRDefault="00744FE5" w:rsidP="00BF1406">
            <w:pPr>
              <w:rPr>
                <w:rFonts w:cs="Arial"/>
              </w:rPr>
            </w:pPr>
            <w:r>
              <w:rPr>
                <w:rFonts w:cs="Arial"/>
              </w:rPr>
              <w:t>December 2023</w:t>
            </w:r>
          </w:p>
        </w:tc>
        <w:tc>
          <w:tcPr>
            <w:tcW w:w="2447" w:type="dxa"/>
          </w:tcPr>
          <w:p w14:paraId="3D826204" w14:textId="3AD76850" w:rsidR="00812579" w:rsidRDefault="00812579" w:rsidP="00BF1406">
            <w:pPr>
              <w:rPr>
                <w:rFonts w:cs="Arial"/>
              </w:rPr>
            </w:pPr>
            <w:r>
              <w:rPr>
                <w:rFonts w:cs="Arial"/>
              </w:rPr>
              <w:t>Next review date:</w:t>
            </w:r>
          </w:p>
        </w:tc>
        <w:tc>
          <w:tcPr>
            <w:tcW w:w="2448" w:type="dxa"/>
          </w:tcPr>
          <w:p w14:paraId="112594AC" w14:textId="2B9AEDDD" w:rsidR="00812579" w:rsidRDefault="00744FE5" w:rsidP="00BF1406">
            <w:pPr>
              <w:rPr>
                <w:rFonts w:cs="Arial"/>
              </w:rPr>
            </w:pPr>
            <w:r>
              <w:rPr>
                <w:rFonts w:cs="Arial"/>
              </w:rPr>
              <w:t>December 2025</w:t>
            </w:r>
          </w:p>
        </w:tc>
      </w:tr>
    </w:tbl>
    <w:p w14:paraId="530E612C" w14:textId="77777777" w:rsidR="00BF1406" w:rsidRDefault="00BF1406">
      <w:pPr>
        <w:rPr>
          <w:rFonts w:cs="Arial"/>
        </w:rPr>
      </w:pPr>
    </w:p>
    <w:tbl>
      <w:tblPr>
        <w:tblStyle w:val="TableGrid"/>
        <w:tblW w:w="0" w:type="auto"/>
        <w:tblLook w:val="04A0" w:firstRow="1" w:lastRow="0" w:firstColumn="1" w:lastColumn="0" w:noHBand="0" w:noVBand="1"/>
      </w:tblPr>
      <w:tblGrid>
        <w:gridCol w:w="1413"/>
        <w:gridCol w:w="1843"/>
        <w:gridCol w:w="7200"/>
      </w:tblGrid>
      <w:tr w:rsidR="00812579" w:rsidRPr="00812579" w14:paraId="34CF4584" w14:textId="77777777" w:rsidTr="005A7119">
        <w:tc>
          <w:tcPr>
            <w:tcW w:w="1413" w:type="dxa"/>
          </w:tcPr>
          <w:p w14:paraId="61CA52AD" w14:textId="62A0E277" w:rsidR="00812579" w:rsidRPr="00812579" w:rsidRDefault="00812579" w:rsidP="00812579">
            <w:pPr>
              <w:rPr>
                <w:rFonts w:cs="Arial"/>
                <w:b/>
                <w:bCs/>
              </w:rPr>
            </w:pPr>
            <w:r w:rsidRPr="00812579">
              <w:rPr>
                <w:rFonts w:cs="Arial"/>
                <w:b/>
                <w:bCs/>
              </w:rPr>
              <w:t>Version</w:t>
            </w:r>
          </w:p>
        </w:tc>
        <w:tc>
          <w:tcPr>
            <w:tcW w:w="1843" w:type="dxa"/>
          </w:tcPr>
          <w:p w14:paraId="29D2AD29" w14:textId="1CDE1ADD" w:rsidR="00812579" w:rsidRPr="00812579" w:rsidRDefault="00812579" w:rsidP="00812579">
            <w:pPr>
              <w:rPr>
                <w:rFonts w:cs="Arial"/>
                <w:b/>
                <w:bCs/>
              </w:rPr>
            </w:pPr>
            <w:r w:rsidRPr="00812579">
              <w:rPr>
                <w:rFonts w:cs="Arial"/>
                <w:b/>
                <w:bCs/>
              </w:rPr>
              <w:t>Date published</w:t>
            </w:r>
          </w:p>
        </w:tc>
        <w:tc>
          <w:tcPr>
            <w:tcW w:w="7200" w:type="dxa"/>
          </w:tcPr>
          <w:p w14:paraId="1249D078" w14:textId="0D4735C0" w:rsidR="00812579" w:rsidRPr="00812579" w:rsidRDefault="00812579" w:rsidP="00812579">
            <w:pPr>
              <w:rPr>
                <w:rFonts w:cs="Arial"/>
                <w:b/>
                <w:bCs/>
              </w:rPr>
            </w:pPr>
            <w:r w:rsidRPr="00812579">
              <w:rPr>
                <w:rFonts w:cs="Arial"/>
                <w:b/>
                <w:bCs/>
              </w:rPr>
              <w:t>Changes</w:t>
            </w:r>
            <w:r>
              <w:rPr>
                <w:rFonts w:cs="Arial"/>
                <w:b/>
                <w:bCs/>
              </w:rPr>
              <w:t xml:space="preserve"> since previous version</w:t>
            </w:r>
          </w:p>
        </w:tc>
      </w:tr>
      <w:tr w:rsidR="00812579" w14:paraId="752F6420" w14:textId="77777777" w:rsidTr="005A7119">
        <w:tc>
          <w:tcPr>
            <w:tcW w:w="1413" w:type="dxa"/>
          </w:tcPr>
          <w:p w14:paraId="0EAA9C18" w14:textId="74562A36" w:rsidR="00812579" w:rsidRDefault="005A7119" w:rsidP="00812579">
            <w:pPr>
              <w:rPr>
                <w:rFonts w:cs="Arial"/>
              </w:rPr>
            </w:pPr>
            <w:r>
              <w:rPr>
                <w:rFonts w:cs="Arial"/>
              </w:rPr>
              <w:t>RDTC v</w:t>
            </w:r>
            <w:r w:rsidR="00812579">
              <w:rPr>
                <w:rFonts w:cs="Arial"/>
              </w:rPr>
              <w:t>1.0</w:t>
            </w:r>
          </w:p>
        </w:tc>
        <w:tc>
          <w:tcPr>
            <w:tcW w:w="1843" w:type="dxa"/>
          </w:tcPr>
          <w:p w14:paraId="4232EE9B" w14:textId="4D45AF95" w:rsidR="00812579" w:rsidRDefault="00505001" w:rsidP="00812579">
            <w:pPr>
              <w:rPr>
                <w:rFonts w:cs="Arial"/>
              </w:rPr>
            </w:pPr>
            <w:r>
              <w:rPr>
                <w:rFonts w:cs="Arial"/>
              </w:rPr>
              <w:t>2</w:t>
            </w:r>
            <w:r w:rsidR="00077A4C">
              <w:rPr>
                <w:rFonts w:cs="Arial"/>
              </w:rPr>
              <w:t>2</w:t>
            </w:r>
            <w:r>
              <w:rPr>
                <w:rFonts w:cs="Arial"/>
              </w:rPr>
              <w:t>/03/2024</w:t>
            </w:r>
          </w:p>
        </w:tc>
        <w:tc>
          <w:tcPr>
            <w:tcW w:w="7200" w:type="dxa"/>
          </w:tcPr>
          <w:p w14:paraId="480531FA" w14:textId="6FE00CB5" w:rsidR="00641F7D" w:rsidRDefault="00637CD5" w:rsidP="007A56FB">
            <w:pPr>
              <w:rPr>
                <w:rFonts w:cs="Arial"/>
              </w:rPr>
            </w:pPr>
            <w:r>
              <w:rPr>
                <w:rFonts w:cs="Arial"/>
              </w:rPr>
              <w:t xml:space="preserve">Hyperlinks and references updated to current versions. </w:t>
            </w:r>
          </w:p>
          <w:p w14:paraId="01547691" w14:textId="69204DB6" w:rsidR="00DA0CD2" w:rsidRDefault="00DA0CD2" w:rsidP="007A56FB">
            <w:pPr>
              <w:rPr>
                <w:rFonts w:cs="Arial"/>
              </w:rPr>
            </w:pPr>
            <w:r>
              <w:rPr>
                <w:rFonts w:cs="Arial"/>
              </w:rPr>
              <w:t>Updated information on frequency of monitoring to align with NICE NG222.</w:t>
            </w:r>
          </w:p>
          <w:p w14:paraId="640BF99D" w14:textId="710F2D17" w:rsidR="00DA0CD2" w:rsidRDefault="00DA0CD2" w:rsidP="007A56FB">
            <w:pPr>
              <w:rPr>
                <w:rFonts w:cs="Arial"/>
              </w:rPr>
            </w:pPr>
            <w:r>
              <w:rPr>
                <w:rFonts w:cs="Arial"/>
              </w:rPr>
              <w:t>Additional cautions added: drugs affecting electrolyte balance, diabetes insipidus, congenital long QT syndrome or risk factors for QT prolongation, bariatric surgery, and people who refuse monitoring or are at high risk of overdose.</w:t>
            </w:r>
          </w:p>
          <w:p w14:paraId="6E41B9A6" w14:textId="2F6CCD4F" w:rsidR="00DA0CD2" w:rsidRDefault="00DA0CD2" w:rsidP="007A56FB">
            <w:pPr>
              <w:rPr>
                <w:rFonts w:cs="Arial"/>
              </w:rPr>
            </w:pPr>
            <w:r>
              <w:rPr>
                <w:rFonts w:cs="Arial"/>
              </w:rPr>
              <w:t xml:space="preserve">Additional interactions added: effervescent analgesics, carbonic anhydrase inhibitors, dapagliflozin, empagliflozin, methyldopa. </w:t>
            </w:r>
          </w:p>
          <w:p w14:paraId="36F87864" w14:textId="67718826" w:rsidR="00637CD5" w:rsidRPr="007A56FB" w:rsidRDefault="00DA0CD2" w:rsidP="007A56FB">
            <w:pPr>
              <w:rPr>
                <w:rFonts w:cs="Arial"/>
              </w:rPr>
            </w:pPr>
            <w:r>
              <w:rPr>
                <w:rFonts w:cs="Arial"/>
              </w:rPr>
              <w:t>Additional wording throughout to reinforce safety precautions.</w:t>
            </w:r>
          </w:p>
        </w:tc>
      </w:tr>
      <w:tr w:rsidR="00812579" w14:paraId="120F2CF5" w14:textId="77777777" w:rsidTr="005A7119">
        <w:tc>
          <w:tcPr>
            <w:tcW w:w="1413" w:type="dxa"/>
          </w:tcPr>
          <w:p w14:paraId="36E8A0C3" w14:textId="5CFA3762" w:rsidR="00812579" w:rsidRDefault="00A27767" w:rsidP="00812579">
            <w:pPr>
              <w:rPr>
                <w:rFonts w:cs="Arial"/>
              </w:rPr>
            </w:pPr>
            <w:r>
              <w:rPr>
                <w:rFonts w:cs="Arial"/>
              </w:rPr>
              <w:t>HNY</w:t>
            </w:r>
          </w:p>
        </w:tc>
        <w:tc>
          <w:tcPr>
            <w:tcW w:w="1843" w:type="dxa"/>
          </w:tcPr>
          <w:p w14:paraId="156C2558" w14:textId="48F45735" w:rsidR="00812579" w:rsidRDefault="00A27767" w:rsidP="00812579">
            <w:pPr>
              <w:rPr>
                <w:rFonts w:cs="Arial"/>
              </w:rPr>
            </w:pPr>
            <w:r>
              <w:rPr>
                <w:rFonts w:cs="Arial"/>
              </w:rPr>
              <w:t>28/04/2025</w:t>
            </w:r>
          </w:p>
        </w:tc>
        <w:tc>
          <w:tcPr>
            <w:tcW w:w="7200" w:type="dxa"/>
          </w:tcPr>
          <w:p w14:paraId="6DAE3728" w14:textId="77777777" w:rsidR="00812579" w:rsidRDefault="00A27767" w:rsidP="00812579">
            <w:pPr>
              <w:rPr>
                <w:rFonts w:cs="Arial"/>
              </w:rPr>
            </w:pPr>
            <w:r>
              <w:rPr>
                <w:rFonts w:cs="Arial"/>
              </w:rPr>
              <w:t>Section 4: Transfer to primary care should happen after at least 12 weeks when dose has been optimised and test results are stable for at least 12 weeks.</w:t>
            </w:r>
          </w:p>
          <w:p w14:paraId="70E165E6" w14:textId="05E36542" w:rsidR="00A27767" w:rsidRDefault="00A27767" w:rsidP="00812579">
            <w:pPr>
              <w:rPr>
                <w:rFonts w:cs="Arial"/>
              </w:rPr>
            </w:pPr>
            <w:r>
              <w:rPr>
                <w:rFonts w:cs="Arial"/>
              </w:rPr>
              <w:t xml:space="preserve">Section 13; </w:t>
            </w:r>
            <w:r w:rsidRPr="00A27767">
              <w:rPr>
                <w:rFonts w:cs="Arial"/>
              </w:rPr>
              <w:t>Details for contacting specialist must be included on the clinic letter.</w:t>
            </w:r>
          </w:p>
        </w:tc>
      </w:tr>
    </w:tbl>
    <w:p w14:paraId="3EC6F559" w14:textId="77777777" w:rsidR="00812579" w:rsidRDefault="00812579">
      <w:pPr>
        <w:rPr>
          <w:rFonts w:cs="Arial"/>
        </w:rPr>
      </w:pPr>
    </w:p>
    <w:p w14:paraId="461A042C" w14:textId="77777777" w:rsidR="005432DD" w:rsidRPr="007815A0" w:rsidRDefault="005432DD" w:rsidP="005432DD">
      <w:pPr>
        <w:rPr>
          <w:rFonts w:cs="Arial"/>
          <w:b/>
          <w:bCs/>
        </w:rPr>
      </w:pPr>
      <w:r w:rsidRPr="007815A0">
        <w:rPr>
          <w:rFonts w:cs="Arial"/>
          <w:b/>
          <w:bCs/>
        </w:rPr>
        <w:t>Local review and adoption</w:t>
      </w:r>
    </w:p>
    <w:tbl>
      <w:tblPr>
        <w:tblStyle w:val="TableGrid"/>
        <w:tblW w:w="0" w:type="auto"/>
        <w:tblLook w:val="04A0" w:firstRow="1" w:lastRow="0" w:firstColumn="1" w:lastColumn="0" w:noHBand="0" w:noVBand="1"/>
      </w:tblPr>
      <w:tblGrid>
        <w:gridCol w:w="4248"/>
        <w:gridCol w:w="4365"/>
      </w:tblGrid>
      <w:tr w:rsidR="005432DD" w:rsidRPr="00812579" w14:paraId="6220F19C" w14:textId="77777777" w:rsidTr="00C22CC5">
        <w:tc>
          <w:tcPr>
            <w:tcW w:w="4248" w:type="dxa"/>
          </w:tcPr>
          <w:p w14:paraId="6F1EF854" w14:textId="77777777" w:rsidR="005432DD" w:rsidRPr="00812579" w:rsidRDefault="005432DD" w:rsidP="00C22CC5">
            <w:pPr>
              <w:rPr>
                <w:rFonts w:cs="Arial"/>
                <w:b/>
                <w:bCs/>
              </w:rPr>
            </w:pPr>
            <w:r>
              <w:rPr>
                <w:rFonts w:cs="Arial"/>
                <w:b/>
                <w:bCs/>
              </w:rPr>
              <w:t>Local approval</w:t>
            </w:r>
          </w:p>
        </w:tc>
        <w:tc>
          <w:tcPr>
            <w:tcW w:w="4365" w:type="dxa"/>
          </w:tcPr>
          <w:p w14:paraId="1229A162" w14:textId="77777777" w:rsidR="005432DD" w:rsidRPr="00812579" w:rsidRDefault="005432DD" w:rsidP="00C22CC5">
            <w:pPr>
              <w:rPr>
                <w:rFonts w:cs="Arial"/>
                <w:b/>
                <w:bCs/>
              </w:rPr>
            </w:pPr>
            <w:r>
              <w:rPr>
                <w:rFonts w:cs="Arial"/>
                <w:b/>
                <w:bCs/>
              </w:rPr>
              <w:t>Date</w:t>
            </w:r>
          </w:p>
        </w:tc>
      </w:tr>
      <w:tr w:rsidR="005A7119" w14:paraId="141E8B71" w14:textId="77777777" w:rsidTr="00C22CC5">
        <w:tc>
          <w:tcPr>
            <w:tcW w:w="4248" w:type="dxa"/>
          </w:tcPr>
          <w:p w14:paraId="24E1D2AD" w14:textId="782ABC1D" w:rsidR="005A7119" w:rsidRDefault="005A7119" w:rsidP="005A7119">
            <w:pPr>
              <w:rPr>
                <w:rFonts w:cs="Arial"/>
              </w:rPr>
            </w:pPr>
            <w:r>
              <w:rPr>
                <w:rFonts w:cs="Arial"/>
              </w:rPr>
              <w:t>Local content added</w:t>
            </w:r>
          </w:p>
        </w:tc>
        <w:tc>
          <w:tcPr>
            <w:tcW w:w="4365" w:type="dxa"/>
          </w:tcPr>
          <w:p w14:paraId="065C0AFF" w14:textId="77777777" w:rsidR="005A7119" w:rsidRDefault="005A7119" w:rsidP="005A7119">
            <w:pPr>
              <w:rPr>
                <w:rFonts w:cs="Arial"/>
              </w:rPr>
            </w:pPr>
          </w:p>
        </w:tc>
      </w:tr>
      <w:tr w:rsidR="005A7119" w14:paraId="5274CE57" w14:textId="77777777" w:rsidTr="00C22CC5">
        <w:tc>
          <w:tcPr>
            <w:tcW w:w="4248" w:type="dxa"/>
          </w:tcPr>
          <w:p w14:paraId="72D8275E" w14:textId="61314905" w:rsidR="005A7119" w:rsidRDefault="005A7119" w:rsidP="005A7119">
            <w:pPr>
              <w:rPr>
                <w:rFonts w:cs="Arial"/>
              </w:rPr>
            </w:pPr>
            <w:r>
              <w:rPr>
                <w:rFonts w:cs="Arial"/>
              </w:rPr>
              <w:t xml:space="preserve">Approved for use by </w:t>
            </w:r>
            <w:r w:rsidR="005C4899">
              <w:rPr>
                <w:rFonts w:cs="Arial"/>
              </w:rPr>
              <w:t>HNY</w:t>
            </w:r>
            <w:r>
              <w:rPr>
                <w:rFonts w:cs="Arial"/>
              </w:rPr>
              <w:t xml:space="preserve"> ICB </w:t>
            </w:r>
          </w:p>
        </w:tc>
        <w:tc>
          <w:tcPr>
            <w:tcW w:w="4365" w:type="dxa"/>
          </w:tcPr>
          <w:p w14:paraId="696B3FA0" w14:textId="77777777" w:rsidR="005A7119" w:rsidRDefault="005A7119" w:rsidP="005A7119">
            <w:pPr>
              <w:rPr>
                <w:rFonts w:cs="Arial"/>
              </w:rPr>
            </w:pPr>
          </w:p>
        </w:tc>
      </w:tr>
      <w:tr w:rsidR="005432DD" w14:paraId="07FC85B1" w14:textId="77777777" w:rsidTr="00C22CC5">
        <w:tc>
          <w:tcPr>
            <w:tcW w:w="4248" w:type="dxa"/>
          </w:tcPr>
          <w:p w14:paraId="661CCB0D" w14:textId="77777777" w:rsidR="005432DD" w:rsidRDefault="005432DD" w:rsidP="00C22CC5">
            <w:pPr>
              <w:rPr>
                <w:rFonts w:cs="Arial"/>
              </w:rPr>
            </w:pPr>
          </w:p>
        </w:tc>
        <w:tc>
          <w:tcPr>
            <w:tcW w:w="4365" w:type="dxa"/>
          </w:tcPr>
          <w:p w14:paraId="79A69DB1" w14:textId="77777777" w:rsidR="005432DD" w:rsidRDefault="005432DD" w:rsidP="00C22CC5">
            <w:pPr>
              <w:rPr>
                <w:rFonts w:cs="Arial"/>
              </w:rPr>
            </w:pPr>
          </w:p>
        </w:tc>
      </w:tr>
    </w:tbl>
    <w:p w14:paraId="4E87CD01" w14:textId="77777777" w:rsidR="00812579" w:rsidRDefault="00812579">
      <w:pPr>
        <w:rPr>
          <w:rFonts w:cs="Arial"/>
        </w:rPr>
      </w:pPr>
    </w:p>
    <w:p w14:paraId="2EA3AED0" w14:textId="7A26C37B" w:rsidR="005A7119" w:rsidRDefault="005A7119" w:rsidP="005A7119">
      <w:pPr>
        <w:rPr>
          <w:rFonts w:cs="Arial"/>
          <w:sz w:val="24"/>
          <w:szCs w:val="24"/>
        </w:rPr>
      </w:pPr>
      <w:r w:rsidRPr="005A633C">
        <w:rPr>
          <w:rFonts w:cs="Arial"/>
          <w:sz w:val="24"/>
          <w:szCs w:val="24"/>
        </w:rPr>
        <w:t>Clinical content has been reviewed and updated by the RDTC on the date indicated above.</w:t>
      </w:r>
      <w:r>
        <w:rPr>
          <w:rFonts w:cs="Arial"/>
          <w:sz w:val="24"/>
          <w:szCs w:val="24"/>
        </w:rPr>
        <w:t xml:space="preserve"> Every effort is made to keep the content up to date</w:t>
      </w:r>
      <w:r w:rsidRPr="005A633C">
        <w:rPr>
          <w:rFonts w:cs="Arial"/>
          <w:sz w:val="24"/>
          <w:szCs w:val="24"/>
        </w:rPr>
        <w:t xml:space="preserve">. </w:t>
      </w:r>
      <w:r>
        <w:rPr>
          <w:rFonts w:cs="Arial"/>
          <w:sz w:val="24"/>
          <w:szCs w:val="24"/>
        </w:rPr>
        <w:t xml:space="preserve">These templates are provided to the North West and North East and Yorkshire ICBs for localisation and approval through standard ICB processes. The most recent version is available on the RDTC website at </w:t>
      </w:r>
      <w:hyperlink r:id="rId11" w:history="1">
        <w:r w:rsidR="00505001" w:rsidRPr="00A35DF4">
          <w:rPr>
            <w:rStyle w:val="Hyperlink"/>
            <w:rFonts w:cs="Arial"/>
            <w:sz w:val="24"/>
            <w:szCs w:val="24"/>
          </w:rPr>
          <w:t>https://rdtc.nhs.uk/prescribing-support-document/shared-care-protocol-lithium-in-adults/</w:t>
        </w:r>
      </w:hyperlink>
      <w:r w:rsidR="00505001">
        <w:rPr>
          <w:rFonts w:cs="Arial"/>
          <w:sz w:val="24"/>
          <w:szCs w:val="24"/>
        </w:rPr>
        <w:t xml:space="preserve">. </w:t>
      </w:r>
    </w:p>
    <w:p w14:paraId="58762991" w14:textId="77777777" w:rsidR="005A7119" w:rsidRDefault="005A7119" w:rsidP="005A7119">
      <w:pPr>
        <w:rPr>
          <w:rFonts w:cs="Arial"/>
          <w:sz w:val="24"/>
          <w:szCs w:val="24"/>
        </w:rPr>
      </w:pPr>
    </w:p>
    <w:p w14:paraId="48258EDF" w14:textId="77777777" w:rsidR="005A7119" w:rsidRDefault="005A7119" w:rsidP="005A7119">
      <w:pPr>
        <w:rPr>
          <w:rFonts w:cs="Arial"/>
          <w:sz w:val="24"/>
          <w:szCs w:val="24"/>
        </w:rPr>
      </w:pPr>
      <w:r w:rsidRPr="005A633C">
        <w:rPr>
          <w:rFonts w:cs="Arial"/>
          <w:sz w:val="24"/>
          <w:szCs w:val="24"/>
        </w:rPr>
        <w:t xml:space="preserve">Information requiring local completion is highlighted. </w:t>
      </w:r>
    </w:p>
    <w:p w14:paraId="1966D306" w14:textId="77777777" w:rsidR="005A633C" w:rsidRDefault="005A633C">
      <w:pPr>
        <w:rPr>
          <w:rFonts w:cs="Arial"/>
          <w:sz w:val="24"/>
          <w:szCs w:val="24"/>
        </w:rPr>
      </w:pPr>
    </w:p>
    <w:p w14:paraId="3C7A5CC4" w14:textId="57FF4980" w:rsidR="005A633C" w:rsidRDefault="005A633C">
      <w:pPr>
        <w:rPr>
          <w:rFonts w:cs="Arial"/>
          <w:sz w:val="24"/>
          <w:szCs w:val="24"/>
        </w:rPr>
      </w:pPr>
      <w:r w:rsidRPr="005A633C">
        <w:rPr>
          <w:rFonts w:cs="Arial"/>
          <w:sz w:val="24"/>
          <w:szCs w:val="24"/>
        </w:rPr>
        <w:t xml:space="preserve">This document is intended for use by </w:t>
      </w:r>
      <w:r>
        <w:rPr>
          <w:rFonts w:cs="Arial"/>
          <w:sz w:val="24"/>
          <w:szCs w:val="24"/>
        </w:rPr>
        <w:t>NHS</w:t>
      </w:r>
      <w:r w:rsidRPr="005A633C">
        <w:rPr>
          <w:rFonts w:cs="Arial"/>
          <w:sz w:val="24"/>
          <w:szCs w:val="24"/>
        </w:rPr>
        <w:t xml:space="preserve"> healthcare professionals and cannot be used for commercial or marketing purposes</w:t>
      </w:r>
      <w:r>
        <w:rPr>
          <w:rFonts w:cs="Arial"/>
          <w:sz w:val="24"/>
          <w:szCs w:val="24"/>
        </w:rPr>
        <w:t>.</w:t>
      </w:r>
    </w:p>
    <w:p w14:paraId="56B90C64" w14:textId="59699438" w:rsidR="006179D7" w:rsidRDefault="006179D7">
      <w:pPr>
        <w:spacing w:before="0" w:after="160"/>
        <w:rPr>
          <w:rFonts w:cs="Arial"/>
          <w:sz w:val="24"/>
          <w:szCs w:val="24"/>
        </w:rPr>
      </w:pPr>
      <w:r>
        <w:rPr>
          <w:rFonts w:cs="Arial"/>
          <w:sz w:val="24"/>
          <w:szCs w:val="24"/>
        </w:rPr>
        <w:br w:type="page"/>
      </w:r>
    </w:p>
    <w:p w14:paraId="2EBD1324" w14:textId="007BFF97" w:rsidR="00F321FC" w:rsidRPr="00812579" w:rsidRDefault="00F321FC">
      <w:pPr>
        <w:rPr>
          <w:rFonts w:cs="Arial"/>
          <w:b/>
          <w:bCs/>
          <w:sz w:val="24"/>
          <w:szCs w:val="24"/>
        </w:rPr>
      </w:pPr>
      <w:r w:rsidRPr="00812579">
        <w:rPr>
          <w:rFonts w:cs="Arial"/>
          <w:b/>
          <w:bCs/>
          <w:sz w:val="24"/>
          <w:szCs w:val="24"/>
        </w:rPr>
        <w:lastRenderedPageBreak/>
        <w:t>Shared Care Protocol</w:t>
      </w:r>
    </w:p>
    <w:p w14:paraId="0E304D85" w14:textId="0BBE92B3" w:rsidR="00F321FC" w:rsidRPr="00ED7968" w:rsidRDefault="00D5504F" w:rsidP="005228A2">
      <w:pPr>
        <w:pStyle w:val="Heading2"/>
        <w:numPr>
          <w:ilvl w:val="0"/>
          <w:numId w:val="0"/>
        </w:numPr>
        <w:ind w:left="357" w:hanging="357"/>
        <w:rPr>
          <w:sz w:val="24"/>
          <w:szCs w:val="24"/>
        </w:rPr>
      </w:pPr>
      <w:r>
        <w:rPr>
          <w:sz w:val="24"/>
          <w:szCs w:val="24"/>
        </w:rPr>
        <w:t>Lithium</w:t>
      </w:r>
      <w:r w:rsidR="00F321FC" w:rsidRPr="00ED7968">
        <w:rPr>
          <w:sz w:val="24"/>
          <w:szCs w:val="24"/>
        </w:rPr>
        <w:t xml:space="preserve"> for patients within adult services</w:t>
      </w:r>
    </w:p>
    <w:tbl>
      <w:tblPr>
        <w:tblStyle w:val="TableGridLight1"/>
        <w:tblW w:w="0" w:type="auto"/>
        <w:tblInd w:w="-5" w:type="dxa"/>
        <w:tblCellMar>
          <w:top w:w="57" w:type="dxa"/>
          <w:bottom w:w="57" w:type="dxa"/>
        </w:tblCellMar>
        <w:tblLook w:val="0480" w:firstRow="0" w:lastRow="0" w:firstColumn="1" w:lastColumn="0" w:noHBand="0" w:noVBand="1"/>
      </w:tblPr>
      <w:tblGrid>
        <w:gridCol w:w="2199"/>
        <w:gridCol w:w="8262"/>
      </w:tblGrid>
      <w:tr w:rsidR="00C72861" w:rsidRPr="00F321FC" w14:paraId="3FF50130" w14:textId="77777777" w:rsidTr="0051526F">
        <w:tc>
          <w:tcPr>
            <w:tcW w:w="2199" w:type="dxa"/>
            <w:tcBorders>
              <w:top w:val="single" w:sz="4" w:space="0" w:color="BFBFBF" w:themeColor="background1" w:themeShade="BF"/>
            </w:tcBorders>
          </w:tcPr>
          <w:p w14:paraId="60850D61" w14:textId="74515AEE" w:rsidR="00C72861" w:rsidRPr="00F321FC" w:rsidRDefault="00721E7A" w:rsidP="00413F90">
            <w:pPr>
              <w:pStyle w:val="Heading2"/>
              <w:outlineLvl w:val="1"/>
              <w:rPr>
                <w:rFonts w:cs="Arial"/>
              </w:rPr>
            </w:pPr>
            <w:bookmarkStart w:id="1" w:name="one_background"/>
            <w:bookmarkStart w:id="2" w:name="_Toc149231785"/>
            <w:r w:rsidRPr="00F321FC">
              <w:rPr>
                <w:rFonts w:cs="Arial"/>
              </w:rPr>
              <w:t>Background</w:t>
            </w:r>
            <w:bookmarkEnd w:id="1"/>
            <w:bookmarkEnd w:id="2"/>
          </w:p>
        </w:tc>
        <w:tc>
          <w:tcPr>
            <w:tcW w:w="8262" w:type="dxa"/>
            <w:tcBorders>
              <w:top w:val="single" w:sz="4" w:space="0" w:color="BFBFBF" w:themeColor="background1" w:themeShade="BF"/>
            </w:tcBorders>
          </w:tcPr>
          <w:p w14:paraId="75DC2C50" w14:textId="5EDC4278" w:rsidR="00D5504F" w:rsidRDefault="00D5504F" w:rsidP="00D5504F">
            <w:r>
              <w:t xml:space="preserve">Lithium is licensed for the treatment and prevention of mania, bipolar </w:t>
            </w:r>
            <w:r w:rsidR="00D7536E">
              <w:t>disorder</w:t>
            </w:r>
            <w:r>
              <w:t>, recurrent depression (unipolar) and aggressive/self-mutilating behaviour.  Not all patients respond to lithium, so the benefits and risks should be regularly and individually assessed. Lithium treatment should not be stopped suddenly, as this can cause relapse.</w:t>
            </w:r>
          </w:p>
          <w:p w14:paraId="31804E9B" w14:textId="77777777" w:rsidR="00D5504F" w:rsidRDefault="00D5504F" w:rsidP="00D5504F"/>
          <w:p w14:paraId="1A9CE2CA" w14:textId="7787F414" w:rsidR="00D5504F" w:rsidRDefault="00D5504F" w:rsidP="00D5504F">
            <w:pPr>
              <w:rPr>
                <w:b/>
              </w:rPr>
            </w:pPr>
            <w:r>
              <w:t xml:space="preserve">Lithium has a narrow therapeutic window of between 0.4 and </w:t>
            </w:r>
            <w:r w:rsidR="00D7536E">
              <w:t>1.0</w:t>
            </w:r>
            <w:r>
              <w:t xml:space="preserve"> mmol/L for most indications, although a narrower range is usually specified </w:t>
            </w:r>
            <w:r w:rsidR="00D7536E">
              <w:t xml:space="preserve">for </w:t>
            </w:r>
            <w:r>
              <w:t xml:space="preserve">an individual patient. Higher target plasma levels (0.8–1 mmol/L) </w:t>
            </w:r>
            <w:r w:rsidR="00D7536E">
              <w:t>may be</w:t>
            </w:r>
            <w:r>
              <w:t xml:space="preserve"> recommended for acute episodes of mania, for patients who have previously relapsed or when subthreshold symptoms of illness are associated with functional impairment. </w:t>
            </w:r>
            <w:r>
              <w:rPr>
                <w:b/>
              </w:rPr>
              <w:t xml:space="preserve">The specialist service will determine the target range for each patient and advise the primary care prescriber accordingly. </w:t>
            </w:r>
          </w:p>
          <w:p w14:paraId="16E71A1D" w14:textId="77777777" w:rsidR="00D5504F" w:rsidRDefault="00D5504F" w:rsidP="00D5504F">
            <w:pPr>
              <w:rPr>
                <w:b/>
              </w:rPr>
            </w:pPr>
          </w:p>
          <w:p w14:paraId="0FB51E40" w14:textId="77777777" w:rsidR="00D5504F" w:rsidRDefault="00D5504F" w:rsidP="00D5504F">
            <w:r>
              <w:t xml:space="preserve">Lithium has numerous mild side effects but can be toxic if the dose is too high. Toxicity usually occurs with levels above 1.5 mmol/L but can emerge at lower levels in susceptible patients such as the elderly or those with renal impairment. Toxicity can also occur when levels are in the ‘therapeutic range’. Excluding excessive ingestion, toxicity most commonly arises due to a reduced elimination of lithium. Elimination of lithium is almost exclusively renal and is sensitive to the handling of sodium by the kidneys. Lithium toxicity can itself impair renal function, so rapid escalations in plasma lithium levels may occur. With long-term use, lithium can have adverse effects on the kidneys, the thyroid, and the parathyroid glands. </w:t>
            </w:r>
          </w:p>
          <w:p w14:paraId="7BBF7BD0" w14:textId="77777777" w:rsidR="00D5504F" w:rsidRDefault="00D5504F" w:rsidP="00D5504F"/>
          <w:p w14:paraId="6B5F3EB1" w14:textId="5CA0DA0C" w:rsidR="0065325B" w:rsidRPr="00D5504F" w:rsidRDefault="00D5504F" w:rsidP="00D5504F">
            <w:r>
              <w:rPr>
                <w:b/>
                <w:u w:val="single"/>
              </w:rPr>
              <w:t>Lithium should always be prescribed by brand and form</w:t>
            </w:r>
            <w:r>
              <w:t>; tablets and liquids are not interchangeable. Extra care must be taken when prescribing liquid forms, with clarity over the name and strength of the preparation. Patients should be involved in treatment decisions and understand the im</w:t>
            </w:r>
            <w:r w:rsidR="00B515FA">
              <w:t>portance of lithium monitoring.</w:t>
            </w:r>
          </w:p>
        </w:tc>
      </w:tr>
      <w:tr w:rsidR="00C72861" w:rsidRPr="00F321FC" w14:paraId="700AF380" w14:textId="77777777" w:rsidTr="0051526F">
        <w:tc>
          <w:tcPr>
            <w:tcW w:w="2199" w:type="dxa"/>
          </w:tcPr>
          <w:p w14:paraId="353B7610" w14:textId="421AD839" w:rsidR="00C72861" w:rsidRPr="00F321FC" w:rsidRDefault="00A93496" w:rsidP="00D31D08">
            <w:pPr>
              <w:pStyle w:val="Heading2"/>
              <w:outlineLvl w:val="1"/>
              <w:rPr>
                <w:rFonts w:cs="Arial"/>
              </w:rPr>
            </w:pPr>
            <w:bookmarkStart w:id="3" w:name="two_indications"/>
            <w:bookmarkStart w:id="4" w:name="_Toc149231786"/>
            <w:r w:rsidRPr="00F321FC">
              <w:rPr>
                <w:rFonts w:cs="Arial"/>
              </w:rPr>
              <w:t xml:space="preserve">Licensed </w:t>
            </w:r>
            <w:r w:rsidR="00035AE8">
              <w:rPr>
                <w:rFonts w:cs="Arial"/>
              </w:rPr>
              <w:t xml:space="preserve">and agreed off-label </w:t>
            </w:r>
            <w:r w:rsidRPr="00F321FC">
              <w:rPr>
                <w:rFonts w:cs="Arial"/>
              </w:rPr>
              <w:t>indications</w:t>
            </w:r>
            <w:bookmarkEnd w:id="3"/>
            <w:bookmarkEnd w:id="4"/>
          </w:p>
        </w:tc>
        <w:tc>
          <w:tcPr>
            <w:tcW w:w="8262" w:type="dxa"/>
          </w:tcPr>
          <w:p w14:paraId="4B147EF3" w14:textId="77777777" w:rsidR="00D5504F" w:rsidRPr="00D5504F" w:rsidRDefault="00D5504F" w:rsidP="00D5504F">
            <w:pPr>
              <w:rPr>
                <w:rFonts w:cs="Arial"/>
              </w:rPr>
            </w:pPr>
            <w:r w:rsidRPr="00D5504F">
              <w:rPr>
                <w:rFonts w:cs="Arial"/>
              </w:rPr>
              <w:t>Indications:</w:t>
            </w:r>
          </w:p>
          <w:p w14:paraId="6C5706D1" w14:textId="40C07F3C" w:rsidR="00D5504F" w:rsidRPr="00D5504F" w:rsidRDefault="00D5504F" w:rsidP="00093D5F">
            <w:pPr>
              <w:pStyle w:val="ListParagraph"/>
              <w:numPr>
                <w:ilvl w:val="0"/>
                <w:numId w:val="4"/>
              </w:numPr>
              <w:rPr>
                <w:rFonts w:cs="Arial"/>
              </w:rPr>
            </w:pPr>
            <w:r w:rsidRPr="00D5504F">
              <w:rPr>
                <w:rFonts w:cs="Arial"/>
              </w:rPr>
              <w:t>Treatment and prophylaxis of mania</w:t>
            </w:r>
          </w:p>
          <w:p w14:paraId="61AD7842" w14:textId="6715C32D" w:rsidR="00D5504F" w:rsidRPr="00D5504F" w:rsidRDefault="00D5504F" w:rsidP="00093D5F">
            <w:pPr>
              <w:pStyle w:val="ListParagraph"/>
              <w:numPr>
                <w:ilvl w:val="0"/>
                <w:numId w:val="4"/>
              </w:numPr>
              <w:rPr>
                <w:rFonts w:cs="Arial"/>
              </w:rPr>
            </w:pPr>
            <w:r w:rsidRPr="00D5504F">
              <w:rPr>
                <w:rFonts w:cs="Arial"/>
              </w:rPr>
              <w:t>Treatment and prophylaxis of bipolar disorder</w:t>
            </w:r>
          </w:p>
          <w:p w14:paraId="56EB7163" w14:textId="13B98F35" w:rsidR="00D5504F" w:rsidRPr="00D5504F" w:rsidRDefault="00D5504F" w:rsidP="00093D5F">
            <w:pPr>
              <w:pStyle w:val="ListParagraph"/>
              <w:numPr>
                <w:ilvl w:val="0"/>
                <w:numId w:val="4"/>
              </w:numPr>
              <w:rPr>
                <w:rFonts w:cs="Arial"/>
              </w:rPr>
            </w:pPr>
            <w:r w:rsidRPr="00D5504F">
              <w:rPr>
                <w:rFonts w:cs="Arial"/>
              </w:rPr>
              <w:t xml:space="preserve">Treatment and prophylaxis of recurrent depression. NB: </w:t>
            </w:r>
            <w:r w:rsidR="00864423">
              <w:rPr>
                <w:rFonts w:cs="Arial"/>
              </w:rPr>
              <w:t xml:space="preserve">national guidance does not </w:t>
            </w:r>
            <w:r w:rsidR="009304B9">
              <w:rPr>
                <w:rFonts w:cs="Arial"/>
              </w:rPr>
              <w:t xml:space="preserve">include </w:t>
            </w:r>
            <w:r w:rsidR="00864423">
              <w:rPr>
                <w:rFonts w:cs="Arial"/>
              </w:rPr>
              <w:t>recommend</w:t>
            </w:r>
            <w:r w:rsidR="009304B9">
              <w:rPr>
                <w:rFonts w:cs="Arial"/>
              </w:rPr>
              <w:t>ations on using</w:t>
            </w:r>
            <w:r w:rsidR="00864423">
              <w:rPr>
                <w:rFonts w:cs="Arial"/>
              </w:rPr>
              <w:t xml:space="preserve"> </w:t>
            </w:r>
            <w:r w:rsidRPr="00D5504F">
              <w:rPr>
                <w:rFonts w:cs="Arial"/>
              </w:rPr>
              <w:t xml:space="preserve">lithium as a sole agent to prevent recurrence, see </w:t>
            </w:r>
            <w:hyperlink r:id="rId12" w:history="1">
              <w:r w:rsidR="00864423">
                <w:rPr>
                  <w:rStyle w:val="Hyperlink"/>
                  <w:rFonts w:cs="Arial"/>
                </w:rPr>
                <w:t>NICE NG222: Depression in adults: recognition and management</w:t>
              </w:r>
            </w:hyperlink>
          </w:p>
          <w:p w14:paraId="2169D502" w14:textId="4E411381" w:rsidR="00D5504F" w:rsidRPr="00D5504F" w:rsidRDefault="00D5504F" w:rsidP="00093D5F">
            <w:pPr>
              <w:pStyle w:val="ListParagraph"/>
              <w:numPr>
                <w:ilvl w:val="0"/>
                <w:numId w:val="4"/>
              </w:numPr>
              <w:rPr>
                <w:rFonts w:cs="Arial"/>
              </w:rPr>
            </w:pPr>
            <w:r w:rsidRPr="00D5504F">
              <w:rPr>
                <w:rFonts w:cs="Arial"/>
              </w:rPr>
              <w:t>Treatment and prophylaxis of aggressive or self-harming behaviour</w:t>
            </w:r>
          </w:p>
          <w:p w14:paraId="741D72BC" w14:textId="50B79F26" w:rsidR="00D5504F" w:rsidRPr="009304B9" w:rsidRDefault="00D5504F" w:rsidP="009304B9">
            <w:pPr>
              <w:pStyle w:val="ListParagraph"/>
              <w:numPr>
                <w:ilvl w:val="0"/>
                <w:numId w:val="4"/>
              </w:numPr>
              <w:spacing w:line="259" w:lineRule="auto"/>
              <w:rPr>
                <w:rFonts w:cs="Arial"/>
              </w:rPr>
            </w:pPr>
            <w:r w:rsidRPr="00D5504F">
              <w:rPr>
                <w:rFonts w:cs="Arial"/>
              </w:rPr>
              <w:t xml:space="preserve">Augmentation of </w:t>
            </w:r>
            <w:proofErr w:type="spellStart"/>
            <w:r w:rsidRPr="00D5504F">
              <w:rPr>
                <w:rFonts w:cs="Arial"/>
              </w:rPr>
              <w:t>antidepressants</w:t>
            </w:r>
            <w:r w:rsidRPr="00D5504F">
              <w:rPr>
                <w:rFonts w:cs="Arial"/>
                <w:vertAlign w:val="superscript"/>
              </w:rPr>
              <w:t>ǂ</w:t>
            </w:r>
            <w:proofErr w:type="spellEnd"/>
            <w:r w:rsidRPr="00D5504F">
              <w:rPr>
                <w:rFonts w:cs="Arial"/>
              </w:rPr>
              <w:t xml:space="preserve"> </w:t>
            </w:r>
            <w:hyperlink r:id="rId13" w:history="1">
              <w:r w:rsidR="009304B9">
                <w:rPr>
                  <w:rFonts w:cs="Arial"/>
                  <w:color w:val="0563C1" w:themeColor="hyperlink"/>
                  <w:u w:val="single"/>
                </w:rPr>
                <w:t>See NICE NG222: Depression in adults: recognition and management</w:t>
              </w:r>
            </w:hyperlink>
          </w:p>
          <w:p w14:paraId="0BC99708" w14:textId="77777777" w:rsidR="00D5504F" w:rsidRDefault="00D5504F" w:rsidP="00D5504F">
            <w:pPr>
              <w:rPr>
                <w:rFonts w:cs="Arial"/>
              </w:rPr>
            </w:pPr>
            <w:r w:rsidRPr="00D5504F">
              <w:rPr>
                <w:rFonts w:cs="Arial"/>
              </w:rPr>
              <w:t xml:space="preserve">ǂ Off-label indications. (Please note licensed indications vary by manufacturer). </w:t>
            </w:r>
          </w:p>
          <w:p w14:paraId="452D25AB" w14:textId="1B50F4BC" w:rsidR="007A56FB" w:rsidRPr="007A56FB" w:rsidRDefault="007A56FB" w:rsidP="00D5504F">
            <w:pPr>
              <w:rPr>
                <w:rFonts w:cs="Arial"/>
              </w:rPr>
            </w:pPr>
            <w:r w:rsidRPr="00AF2590">
              <w:rPr>
                <w:rFonts w:cs="Arial"/>
              </w:rPr>
              <w:t>This shared care protocol applies to adults aged 18 and over.</w:t>
            </w:r>
          </w:p>
        </w:tc>
      </w:tr>
      <w:tr w:rsidR="00C72861" w:rsidRPr="00F321FC" w14:paraId="36B1B999" w14:textId="77777777" w:rsidTr="0051526F">
        <w:tc>
          <w:tcPr>
            <w:tcW w:w="2199" w:type="dxa"/>
          </w:tcPr>
          <w:p w14:paraId="6F2C624B" w14:textId="515A3B01" w:rsidR="00C72861" w:rsidRPr="00F321FC" w:rsidRDefault="00A93496" w:rsidP="00D31D08">
            <w:pPr>
              <w:pStyle w:val="Heading2"/>
              <w:outlineLvl w:val="1"/>
              <w:rPr>
                <w:rFonts w:cs="Arial"/>
              </w:rPr>
            </w:pPr>
            <w:bookmarkStart w:id="5" w:name="three_local_indications"/>
            <w:bookmarkStart w:id="6" w:name="_Toc149231787"/>
            <w:r w:rsidRPr="00F321FC">
              <w:rPr>
                <w:rFonts w:cs="Arial"/>
              </w:rPr>
              <w:t xml:space="preserve">Locally agreed </w:t>
            </w:r>
            <w:r w:rsidR="00EC0326">
              <w:rPr>
                <w:rFonts w:cs="Arial"/>
              </w:rPr>
              <w:t>indications</w:t>
            </w:r>
            <w:bookmarkEnd w:id="5"/>
            <w:bookmarkEnd w:id="6"/>
          </w:p>
        </w:tc>
        <w:tc>
          <w:tcPr>
            <w:tcW w:w="8262" w:type="dxa"/>
          </w:tcPr>
          <w:p w14:paraId="14C3CD90" w14:textId="378054E0" w:rsidR="00C72861" w:rsidRPr="002628FF" w:rsidRDefault="002628FF" w:rsidP="00FB404F">
            <w:pPr>
              <w:rPr>
                <w:rFonts w:cs="Arial"/>
              </w:rPr>
            </w:pPr>
            <w:r w:rsidRPr="002628FF">
              <w:rPr>
                <w:rFonts w:cs="Arial"/>
              </w:rPr>
              <w:t>None</w:t>
            </w:r>
            <w:r>
              <w:rPr>
                <w:rFonts w:cs="Arial"/>
              </w:rPr>
              <w:t xml:space="preserve"> in addition to the above.</w:t>
            </w:r>
          </w:p>
        </w:tc>
      </w:tr>
      <w:tr w:rsidR="00C72861" w:rsidRPr="00F321FC" w14:paraId="6823BC14" w14:textId="77777777" w:rsidTr="0051526F">
        <w:tc>
          <w:tcPr>
            <w:tcW w:w="2199" w:type="dxa"/>
          </w:tcPr>
          <w:p w14:paraId="5B29E378" w14:textId="09C1A858" w:rsidR="00C72861" w:rsidRPr="00F321FC" w:rsidRDefault="00F132AA" w:rsidP="00D31D08">
            <w:pPr>
              <w:pStyle w:val="Heading2"/>
              <w:outlineLvl w:val="1"/>
              <w:rPr>
                <w:rFonts w:cs="Arial"/>
              </w:rPr>
            </w:pPr>
            <w:bookmarkStart w:id="7" w:name="four_dosing"/>
            <w:bookmarkStart w:id="8" w:name="_Toc149231788"/>
            <w:r w:rsidRPr="00F321FC">
              <w:rPr>
                <w:rFonts w:cs="Arial"/>
              </w:rPr>
              <w:lastRenderedPageBreak/>
              <w:t>Initiation and ongoing dose regime</w:t>
            </w:r>
            <w:bookmarkEnd w:id="7"/>
            <w:bookmarkEnd w:id="8"/>
          </w:p>
        </w:tc>
        <w:tc>
          <w:tcPr>
            <w:tcW w:w="8262" w:type="dxa"/>
          </w:tcPr>
          <w:p w14:paraId="7AB5F9FB" w14:textId="63A59F40" w:rsidR="00FB404F" w:rsidRPr="00FB404F" w:rsidRDefault="00FB404F" w:rsidP="00FB404F">
            <w:pPr>
              <w:rPr>
                <w:rFonts w:cs="Arial"/>
              </w:rPr>
            </w:pPr>
            <w:r w:rsidRPr="00FB404F">
              <w:rPr>
                <w:rFonts w:cs="Arial"/>
              </w:rPr>
              <w:t>Transfe</w:t>
            </w:r>
            <w:r w:rsidRPr="002628FF">
              <w:rPr>
                <w:rFonts w:cs="Arial"/>
              </w:rPr>
              <w:t xml:space="preserve">r of monitoring and prescribing to primary care is normally after at least </w:t>
            </w:r>
            <w:r w:rsidR="002628FF" w:rsidRPr="002628FF">
              <w:rPr>
                <w:rFonts w:cs="Arial"/>
              </w:rPr>
              <w:t>12</w:t>
            </w:r>
            <w:r w:rsidR="002628FF">
              <w:rPr>
                <w:rFonts w:cs="Arial"/>
              </w:rPr>
              <w:t xml:space="preserve"> </w:t>
            </w:r>
            <w:r w:rsidRPr="002628FF">
              <w:rPr>
                <w:rFonts w:cs="Arial"/>
              </w:rPr>
              <w:t>weeks,</w:t>
            </w:r>
            <w:r w:rsidRPr="00FB404F">
              <w:rPr>
                <w:rFonts w:cs="Arial"/>
              </w:rPr>
              <w:t xml:space="preserve"> and when the patient’s dose has been optimised and with satisfactory investigation results for at least </w:t>
            </w:r>
            <w:r w:rsidR="002628FF">
              <w:rPr>
                <w:rFonts w:cs="Arial"/>
              </w:rPr>
              <w:t xml:space="preserve"> 12 </w:t>
            </w:r>
            <w:r w:rsidRPr="002628FF">
              <w:rPr>
                <w:rFonts w:cs="Arial"/>
              </w:rPr>
              <w:t>weeks.</w:t>
            </w:r>
          </w:p>
          <w:p w14:paraId="3243FEE8" w14:textId="4FE667AD" w:rsidR="00FB404F" w:rsidRPr="00FB404F" w:rsidRDefault="00FB404F" w:rsidP="00FB404F">
            <w:pPr>
              <w:rPr>
                <w:rFonts w:cs="Arial"/>
              </w:rPr>
            </w:pPr>
            <w:r w:rsidRPr="00FB404F">
              <w:rPr>
                <w:rFonts w:cs="Arial"/>
              </w:rPr>
              <w:t>The duration of treatment &amp; frequency of review will be determined by the specialist, based on clinical response and tolerability.</w:t>
            </w:r>
          </w:p>
          <w:p w14:paraId="7596D355" w14:textId="77EFBABC" w:rsidR="00FB404F" w:rsidRPr="00FB404F" w:rsidRDefault="00FB404F" w:rsidP="00FB404F">
            <w:pPr>
              <w:rPr>
                <w:rFonts w:cs="Arial"/>
              </w:rPr>
            </w:pPr>
            <w:r w:rsidRPr="00FB404F">
              <w:rPr>
                <w:rFonts w:cs="Arial"/>
              </w:rPr>
              <w:t>All dose or formulation adjustments will be the responsibility of the specialist unless directions have been discussed and agreed with the primary care clinician.</w:t>
            </w:r>
          </w:p>
          <w:p w14:paraId="78E31A93" w14:textId="0476360E" w:rsidR="00C72861" w:rsidRPr="00FB404F" w:rsidRDefault="00FB404F" w:rsidP="00FB404F">
            <w:pPr>
              <w:rPr>
                <w:rFonts w:cs="Arial"/>
              </w:rPr>
            </w:pPr>
            <w:r w:rsidRPr="00FB404F">
              <w:rPr>
                <w:rFonts w:cs="Arial"/>
              </w:rPr>
              <w:t>Termination of treatment will be the responsibility of the specialist.</w:t>
            </w:r>
          </w:p>
          <w:p w14:paraId="7FAC74DC" w14:textId="77777777" w:rsidR="00FB404F" w:rsidRPr="00FB404F" w:rsidRDefault="00FB404F" w:rsidP="00FB404F">
            <w:pPr>
              <w:rPr>
                <w:rFonts w:cs="Arial"/>
              </w:rPr>
            </w:pPr>
          </w:p>
          <w:p w14:paraId="610BB041" w14:textId="77777777" w:rsidR="00D5504F" w:rsidRPr="00D5504F" w:rsidRDefault="00D5504F" w:rsidP="00D5504F">
            <w:pPr>
              <w:rPr>
                <w:b/>
                <w:bCs/>
                <w:u w:val="single"/>
              </w:rPr>
            </w:pPr>
            <w:r w:rsidRPr="00D5504F">
              <w:rPr>
                <w:b/>
                <w:bCs/>
                <w:u w:val="single"/>
              </w:rPr>
              <w:t>Initial stabilisation:</w:t>
            </w:r>
          </w:p>
          <w:p w14:paraId="18759A90" w14:textId="77777777" w:rsidR="00D5504F" w:rsidRPr="00D5504F" w:rsidRDefault="00D5504F" w:rsidP="00D5504F">
            <w:pPr>
              <w:rPr>
                <w:u w:val="single"/>
              </w:rPr>
            </w:pPr>
            <w:r w:rsidRPr="00D5504F">
              <w:rPr>
                <w:u w:val="single"/>
              </w:rPr>
              <w:t>Lithium carbonate</w:t>
            </w:r>
          </w:p>
          <w:p w14:paraId="72B73DD5" w14:textId="2F6145CE" w:rsidR="00D5504F" w:rsidRPr="00D5504F" w:rsidRDefault="00D5504F" w:rsidP="00D5504F">
            <w:proofErr w:type="gramStart"/>
            <w:r w:rsidRPr="00D5504F">
              <w:t>Typically</w:t>
            </w:r>
            <w:proofErr w:type="gramEnd"/>
            <w:r w:rsidRPr="00D5504F">
              <w:t xml:space="preserve"> </w:t>
            </w:r>
            <w:r w:rsidR="00C22CC5">
              <w:t xml:space="preserve">from </w:t>
            </w:r>
            <w:r w:rsidRPr="00D5504F">
              <w:t>400 mg</w:t>
            </w:r>
            <w:r w:rsidR="00AC5C2E">
              <w:t xml:space="preserve"> – 1.5 g</w:t>
            </w:r>
            <w:r w:rsidRPr="00D5504F">
              <w:t xml:space="preserve"> daily</w:t>
            </w:r>
            <w:r w:rsidR="00C22CC5">
              <w:t xml:space="preserve"> (depending on </w:t>
            </w:r>
            <w:r w:rsidR="00AC5C2E">
              <w:t xml:space="preserve">indication and </w:t>
            </w:r>
            <w:r w:rsidR="00C22CC5">
              <w:t>brand)</w:t>
            </w:r>
            <w:r w:rsidRPr="00D5504F">
              <w:t xml:space="preserve">, then adjusted according to patient response and 12-hour plasma levels. </w:t>
            </w:r>
          </w:p>
          <w:p w14:paraId="7ACC0511" w14:textId="77777777" w:rsidR="00D5504F" w:rsidRPr="00D5504F" w:rsidRDefault="00D5504F" w:rsidP="00D5504F">
            <w:r w:rsidRPr="00D5504F">
              <w:t xml:space="preserve">In some scenarios, such as acute mania, a higher starting dose may be preferable. The BNF outlines the typical starting doses by indication and brand. </w:t>
            </w:r>
          </w:p>
          <w:p w14:paraId="047E1793" w14:textId="77777777" w:rsidR="00D5504F" w:rsidRDefault="00D5504F" w:rsidP="00D5504F">
            <w:pPr>
              <w:spacing w:line="259" w:lineRule="auto"/>
            </w:pPr>
            <w:r w:rsidRPr="00D5504F">
              <w:t>Lithium carbonate tablets should be prescribed unless there is a specific problem with swallowing difficulties.</w:t>
            </w:r>
          </w:p>
          <w:p w14:paraId="2D3DCB15" w14:textId="77777777" w:rsidR="00D5504F" w:rsidRPr="00D5504F" w:rsidRDefault="00D5504F" w:rsidP="00D5504F">
            <w:pPr>
              <w:spacing w:line="259" w:lineRule="auto"/>
              <w:rPr>
                <w:b/>
                <w:bCs/>
              </w:rPr>
            </w:pPr>
            <w:r w:rsidRPr="00D5504F">
              <w:rPr>
                <w:b/>
                <w:bCs/>
              </w:rPr>
              <w:t>The initial period must be prescribed by the initiating specialist.</w:t>
            </w:r>
          </w:p>
          <w:p w14:paraId="3E4F3558" w14:textId="77777777" w:rsidR="00D5504F" w:rsidRPr="00D5504F" w:rsidRDefault="00D5504F" w:rsidP="00D5504F"/>
          <w:p w14:paraId="745B107B" w14:textId="77777777" w:rsidR="00D5504F" w:rsidRPr="00D5504F" w:rsidRDefault="00D5504F" w:rsidP="00D5504F">
            <w:pPr>
              <w:rPr>
                <w:u w:val="single"/>
              </w:rPr>
            </w:pPr>
            <w:r w:rsidRPr="00D5504F">
              <w:rPr>
                <w:u w:val="single"/>
              </w:rPr>
              <w:t>Lithium citrate</w:t>
            </w:r>
          </w:p>
          <w:p w14:paraId="649433B8" w14:textId="77777777" w:rsidR="00D5504F" w:rsidRPr="00D5504F" w:rsidRDefault="00D5504F" w:rsidP="00D5504F">
            <w:proofErr w:type="gramStart"/>
            <w:r w:rsidRPr="00D5504F">
              <w:t>Typically</w:t>
            </w:r>
            <w:proofErr w:type="gramEnd"/>
            <w:r w:rsidRPr="00D5504F">
              <w:t xml:space="preserve"> 509 mg or 520 mg twice daily (depending on brand), in the morning and evening, then adjusted according to patient response and 12-hour plasma levels. </w:t>
            </w:r>
          </w:p>
          <w:p w14:paraId="24910F8F" w14:textId="77777777" w:rsidR="00D5504F" w:rsidRPr="00D5504F" w:rsidRDefault="00D5504F" w:rsidP="00D5504F">
            <w:r w:rsidRPr="00D5504F">
              <w:t xml:space="preserve">Liquid formulations contain lithium citrate and doses are not equivalent to lithium carbonate; bioavailability is significantly different. If a switch in formulation is considered, discuss with the specialist team. </w:t>
            </w:r>
          </w:p>
          <w:p w14:paraId="6C0EA222" w14:textId="77777777" w:rsidR="00D5504F" w:rsidRPr="00D5504F" w:rsidRDefault="00D5504F" w:rsidP="00D5504F">
            <w:r w:rsidRPr="00D5504F">
              <w:t xml:space="preserve">Extra care must be taken when prescribing lithium in liquid form, as some offer different strengths under the same brand names, and some brands are used for the liquid and tablet forms. </w:t>
            </w:r>
          </w:p>
          <w:p w14:paraId="086EF39B" w14:textId="77777777" w:rsidR="00D5504F" w:rsidRPr="00D5504F" w:rsidRDefault="00D5504F" w:rsidP="00D5504F">
            <w:pPr>
              <w:spacing w:line="259" w:lineRule="auto"/>
              <w:rPr>
                <w:b/>
                <w:bCs/>
              </w:rPr>
            </w:pPr>
            <w:r w:rsidRPr="00D5504F">
              <w:rPr>
                <w:b/>
                <w:bCs/>
              </w:rPr>
              <w:t>The initial period must be prescribed by the initiating specialist.</w:t>
            </w:r>
          </w:p>
          <w:p w14:paraId="40A22BE2" w14:textId="77777777" w:rsidR="00D5504F" w:rsidRPr="00D5504F" w:rsidRDefault="00D5504F" w:rsidP="00D5504F"/>
          <w:p w14:paraId="23844186" w14:textId="77777777" w:rsidR="00D5504F" w:rsidRPr="00D5504F" w:rsidRDefault="00D5504F" w:rsidP="00D5504F">
            <w:pPr>
              <w:rPr>
                <w:b/>
                <w:bCs/>
                <w:u w:val="single"/>
              </w:rPr>
            </w:pPr>
            <w:r w:rsidRPr="00D5504F">
              <w:rPr>
                <w:b/>
                <w:bCs/>
                <w:u w:val="single"/>
              </w:rPr>
              <w:t>Maintenance dose (following initial stabilisation):</w:t>
            </w:r>
          </w:p>
          <w:p w14:paraId="23DCC0C1" w14:textId="77777777" w:rsidR="00CF2DFC" w:rsidRPr="00D5504F" w:rsidRDefault="00D5504F" w:rsidP="00CF2DFC">
            <w:r w:rsidRPr="00D5504F">
              <w:t xml:space="preserve">Individualised, to achieve plasma lithium levels in the range specified for the patient. </w:t>
            </w:r>
            <w:r w:rsidR="00CF2DFC" w:rsidRPr="00D5504F">
              <w:t xml:space="preserve">Doses may initially be divided throughout the day but once-daily administration is preferred when plasma lithium concentration is stabilised in the target range (specified by specialist team). </w:t>
            </w:r>
          </w:p>
          <w:p w14:paraId="5D53B51A" w14:textId="77777777" w:rsidR="00D5504F" w:rsidRDefault="00D5504F" w:rsidP="00D5504F">
            <w:pPr>
              <w:spacing w:line="259" w:lineRule="auto"/>
              <w:rPr>
                <w:b/>
                <w:bCs/>
              </w:rPr>
            </w:pPr>
            <w:r w:rsidRPr="00D5504F">
              <w:rPr>
                <w:b/>
                <w:bCs/>
              </w:rPr>
              <w:t>The initial maintenance dose must be prescribed by the initiating specialist.</w:t>
            </w:r>
          </w:p>
          <w:p w14:paraId="215BA0C5" w14:textId="77777777" w:rsidR="00D5504F" w:rsidRPr="00D5504F" w:rsidRDefault="00D5504F" w:rsidP="00D5504F">
            <w:pPr>
              <w:rPr>
                <w:b/>
                <w:bCs/>
              </w:rPr>
            </w:pPr>
          </w:p>
          <w:p w14:paraId="6F578DFE" w14:textId="77777777" w:rsidR="00D5504F" w:rsidRPr="00D5504F" w:rsidRDefault="00D5504F" w:rsidP="00D5504F">
            <w:pPr>
              <w:rPr>
                <w:b/>
                <w:bCs/>
                <w:u w:val="single"/>
              </w:rPr>
            </w:pPr>
            <w:r w:rsidRPr="00D5504F">
              <w:rPr>
                <w:b/>
                <w:bCs/>
                <w:u w:val="single"/>
              </w:rPr>
              <w:t>Conditions requiring dose adjustment:</w:t>
            </w:r>
          </w:p>
          <w:p w14:paraId="0CEF4A87" w14:textId="11BDFEDE" w:rsidR="00D5504F" w:rsidRDefault="00D5504F" w:rsidP="00D5504F">
            <w:pPr>
              <w:spacing w:line="259" w:lineRule="auto"/>
            </w:pPr>
            <w:r w:rsidRPr="00D5504F">
              <w:t>Lower doses may be required in older or physically frail/low body weight patients, in mild to moderate renal impairment and electrolyte imbalance. Dose adjustments may also be required in patients prescribed interacting medicines</w:t>
            </w:r>
            <w:r w:rsidR="00CF2DFC">
              <w:t xml:space="preserve"> (see </w:t>
            </w:r>
            <w:hyperlink w:anchor="nine_interactions" w:history="1">
              <w:r w:rsidR="00CF2DFC" w:rsidRPr="00CF2DFC">
                <w:rPr>
                  <w:rStyle w:val="Hyperlink"/>
                </w:rPr>
                <w:t>section 9</w:t>
              </w:r>
            </w:hyperlink>
            <w:r w:rsidR="00CF2DFC">
              <w:t>)</w:t>
            </w:r>
            <w:r w:rsidR="00B5188F">
              <w:t xml:space="preserve"> and patients who have undergone bariatric surgery</w:t>
            </w:r>
            <w:r w:rsidRPr="00D5504F">
              <w:t>.</w:t>
            </w:r>
          </w:p>
          <w:p w14:paraId="75CEB6F0" w14:textId="77777777" w:rsidR="00D5504F" w:rsidRPr="00D5504F" w:rsidRDefault="00D5504F" w:rsidP="00D5504F"/>
          <w:p w14:paraId="530ADD41" w14:textId="77777777" w:rsidR="00D5504F" w:rsidRPr="00D5504F" w:rsidRDefault="00D5504F" w:rsidP="00D5504F">
            <w:pPr>
              <w:rPr>
                <w:b/>
                <w:bCs/>
                <w:u w:val="single"/>
              </w:rPr>
            </w:pPr>
            <w:r w:rsidRPr="00D5504F">
              <w:rPr>
                <w:b/>
                <w:bCs/>
                <w:u w:val="single"/>
              </w:rPr>
              <w:t>Stopping lithium treatment</w:t>
            </w:r>
          </w:p>
          <w:p w14:paraId="710857F8" w14:textId="62D6FA00" w:rsidR="000F4219" w:rsidRPr="00FB404F" w:rsidRDefault="00D5504F" w:rsidP="00D5504F">
            <w:pPr>
              <w:rPr>
                <w:rFonts w:cs="Arial"/>
              </w:rPr>
            </w:pPr>
            <w:r w:rsidRPr="00D5504F">
              <w:t xml:space="preserve">The decision to stop treatment will be the responsibility of the specialist. Clinicians, patients, and carers should be aware that abrupt discontinuation of lithium increases the risk of relapse. If lithium is to be stopped, the dose should gradually </w:t>
            </w:r>
            <w:r w:rsidRPr="00D5504F">
              <w:lastRenderedPageBreak/>
              <w:t>be reduced over a period of at least four weeks but preferably over a period of up to three months.</w:t>
            </w:r>
          </w:p>
        </w:tc>
      </w:tr>
      <w:tr w:rsidR="00C72861" w:rsidRPr="00F321FC" w14:paraId="68FCED24" w14:textId="77777777" w:rsidTr="0051526F">
        <w:tc>
          <w:tcPr>
            <w:tcW w:w="2199" w:type="dxa"/>
          </w:tcPr>
          <w:p w14:paraId="3DF33630" w14:textId="4E2865B1" w:rsidR="00C72861" w:rsidRPr="00F321FC" w:rsidRDefault="00AE0E89" w:rsidP="00AE0E89">
            <w:pPr>
              <w:pStyle w:val="Heading2"/>
              <w:outlineLvl w:val="1"/>
              <w:rPr>
                <w:rFonts w:cs="Arial"/>
              </w:rPr>
            </w:pPr>
            <w:bookmarkStart w:id="9" w:name="five_initial_monitoring"/>
            <w:bookmarkStart w:id="10" w:name="_Toc149231789"/>
            <w:r w:rsidRPr="00F321FC">
              <w:rPr>
                <w:rFonts w:cs="Arial"/>
              </w:rPr>
              <w:lastRenderedPageBreak/>
              <w:t xml:space="preserve">Baseline investigations, initial </w:t>
            </w:r>
            <w:r w:rsidR="00005FC7" w:rsidRPr="00F321FC">
              <w:rPr>
                <w:rFonts w:cs="Arial"/>
              </w:rPr>
              <w:t>monitoring,</w:t>
            </w:r>
            <w:r w:rsidRPr="00F321FC">
              <w:rPr>
                <w:rFonts w:cs="Arial"/>
              </w:rPr>
              <w:t xml:space="preserve"> and </w:t>
            </w:r>
            <w:r w:rsidR="00FB404F">
              <w:rPr>
                <w:rFonts w:cs="Arial"/>
              </w:rPr>
              <w:t xml:space="preserve">ongoing monitoring </w:t>
            </w:r>
            <w:r w:rsidRPr="00F321FC">
              <w:rPr>
                <w:rFonts w:cs="Arial"/>
              </w:rPr>
              <w:t>to be undertaken by specialist</w:t>
            </w:r>
            <w:bookmarkEnd w:id="9"/>
            <w:bookmarkEnd w:id="10"/>
          </w:p>
        </w:tc>
        <w:tc>
          <w:tcPr>
            <w:tcW w:w="8262" w:type="dxa"/>
          </w:tcPr>
          <w:p w14:paraId="0226882F" w14:textId="432B5CFF" w:rsidR="00FB404F" w:rsidRDefault="00FB404F" w:rsidP="00003E35">
            <w:pPr>
              <w:rPr>
                <w:lang w:eastAsia="en-GB"/>
              </w:rPr>
            </w:pPr>
            <w:r w:rsidRPr="00D5504F">
              <w:rPr>
                <w:b/>
                <w:bCs/>
                <w:lang w:eastAsia="en-GB"/>
              </w:rPr>
              <w:t>Monitoring at baseline and during initiation is the responsibility of the specialist</w:t>
            </w:r>
            <w:r w:rsidRPr="00FB404F">
              <w:rPr>
                <w:lang w:eastAsia="en-GB"/>
              </w:rPr>
              <w:t>; only once the patient is optimised on the chosen medication with no anticipated further changes expected in</w:t>
            </w:r>
            <w:r>
              <w:rPr>
                <w:lang w:eastAsia="en-GB"/>
              </w:rPr>
              <w:t xml:space="preserve"> the</w:t>
            </w:r>
            <w:r w:rsidRPr="00FB404F">
              <w:rPr>
                <w:lang w:eastAsia="en-GB"/>
              </w:rPr>
              <w:t xml:space="preserve"> immediate future will prescribing and monitoring be transferred to primary care.</w:t>
            </w:r>
          </w:p>
          <w:p w14:paraId="2DF5C01B" w14:textId="719A05F0" w:rsidR="00D5504F" w:rsidRPr="00D5504F" w:rsidRDefault="00D5504F" w:rsidP="00003E35">
            <w:pPr>
              <w:rPr>
                <w:bCs/>
                <w:lang w:eastAsia="en-GB"/>
              </w:rPr>
            </w:pPr>
            <w:r w:rsidRPr="00D5504F">
              <w:rPr>
                <w:bCs/>
                <w:lang w:eastAsia="en-GB"/>
              </w:rPr>
              <w:t>Recent and relevant investigation results must be documented in the corresponding letter from specialist</w:t>
            </w:r>
            <w:r>
              <w:rPr>
                <w:bCs/>
                <w:lang w:eastAsia="en-GB"/>
              </w:rPr>
              <w:t>.</w:t>
            </w:r>
          </w:p>
          <w:p w14:paraId="3E25A637" w14:textId="77777777" w:rsidR="00FB404F" w:rsidRPr="00FB404F" w:rsidRDefault="00FB404F" w:rsidP="00003E35">
            <w:pPr>
              <w:rPr>
                <w:lang w:eastAsia="en-GB"/>
              </w:rPr>
            </w:pPr>
          </w:p>
          <w:p w14:paraId="706B6366" w14:textId="471EF6A2" w:rsidR="0041687B" w:rsidRPr="0051526F" w:rsidRDefault="0041687B" w:rsidP="0051526F">
            <w:pPr>
              <w:rPr>
                <w:b/>
                <w:bCs/>
                <w:u w:val="single"/>
              </w:rPr>
            </w:pPr>
            <w:r w:rsidRPr="0051526F">
              <w:rPr>
                <w:b/>
                <w:bCs/>
                <w:u w:val="single"/>
              </w:rPr>
              <w:t>Baseline investigations</w:t>
            </w:r>
            <w:r w:rsidR="00D5504F">
              <w:rPr>
                <w:b/>
                <w:bCs/>
                <w:u w:val="single"/>
              </w:rPr>
              <w:t xml:space="preserve"> (all indications)</w:t>
            </w:r>
            <w:r w:rsidRPr="0051526F">
              <w:rPr>
                <w:b/>
                <w:bCs/>
                <w:u w:val="single"/>
              </w:rPr>
              <w:t>:</w:t>
            </w:r>
          </w:p>
          <w:p w14:paraId="6EF9C36D" w14:textId="380915B2" w:rsidR="00D5504F" w:rsidRDefault="00D5504F" w:rsidP="00093D5F">
            <w:pPr>
              <w:pStyle w:val="ListParagraph"/>
              <w:numPr>
                <w:ilvl w:val="0"/>
                <w:numId w:val="5"/>
              </w:numPr>
            </w:pPr>
            <w:r>
              <w:t>Urea and electrolytes (U&amp;Es), including estimated glomerular filtration rate (eGFR)</w:t>
            </w:r>
          </w:p>
          <w:p w14:paraId="7ECB0C6D" w14:textId="35A90A09" w:rsidR="00D5504F" w:rsidRDefault="00D5504F" w:rsidP="00093D5F">
            <w:pPr>
              <w:pStyle w:val="ListParagraph"/>
              <w:numPr>
                <w:ilvl w:val="0"/>
                <w:numId w:val="5"/>
              </w:numPr>
            </w:pPr>
            <w:r>
              <w:t>Calcium</w:t>
            </w:r>
          </w:p>
          <w:p w14:paraId="4EA8BE16" w14:textId="6D81F4E1" w:rsidR="00D5504F" w:rsidRDefault="00D5504F" w:rsidP="00093D5F">
            <w:pPr>
              <w:pStyle w:val="ListParagraph"/>
              <w:numPr>
                <w:ilvl w:val="0"/>
                <w:numId w:val="5"/>
              </w:numPr>
            </w:pPr>
            <w:r>
              <w:t>Thyroid function tests (TFTs)</w:t>
            </w:r>
          </w:p>
          <w:p w14:paraId="3A914203" w14:textId="5E866C14" w:rsidR="00D5504F" w:rsidRDefault="00D5504F" w:rsidP="00093D5F">
            <w:pPr>
              <w:pStyle w:val="ListParagraph"/>
              <w:numPr>
                <w:ilvl w:val="0"/>
                <w:numId w:val="5"/>
              </w:numPr>
            </w:pPr>
            <w:r>
              <w:t>Electrocardiogram (ECG) recommended for patients with existing cardiovascular disease (CVD) or risk factors</w:t>
            </w:r>
          </w:p>
          <w:p w14:paraId="719E35C5" w14:textId="5471D16B" w:rsidR="00D5504F" w:rsidRDefault="00D5504F" w:rsidP="00093D5F">
            <w:pPr>
              <w:pStyle w:val="ListParagraph"/>
              <w:numPr>
                <w:ilvl w:val="0"/>
                <w:numId w:val="5"/>
              </w:numPr>
            </w:pPr>
            <w:r>
              <w:t>Full blood count (FBC)</w:t>
            </w:r>
          </w:p>
          <w:p w14:paraId="5D81A7BF" w14:textId="5156B4E5" w:rsidR="00D5504F" w:rsidRDefault="007A0D6E" w:rsidP="00093D5F">
            <w:pPr>
              <w:pStyle w:val="ListParagraph"/>
              <w:numPr>
                <w:ilvl w:val="0"/>
                <w:numId w:val="5"/>
              </w:numPr>
            </w:pPr>
            <w:r>
              <w:t>Body</w:t>
            </w:r>
            <w:r w:rsidR="00D5504F">
              <w:t xml:space="preserve">weight </w:t>
            </w:r>
            <w:r>
              <w:t xml:space="preserve">or </w:t>
            </w:r>
            <w:r w:rsidR="00D5504F">
              <w:t>body mass index (BMI)</w:t>
            </w:r>
          </w:p>
          <w:p w14:paraId="1B12F5F9" w14:textId="190AB88E" w:rsidR="001A51F3" w:rsidRDefault="00D5504F" w:rsidP="00093D5F">
            <w:pPr>
              <w:pStyle w:val="ListParagraph"/>
              <w:numPr>
                <w:ilvl w:val="0"/>
                <w:numId w:val="5"/>
              </w:numPr>
            </w:pPr>
            <w:r>
              <w:t>Exclude pregnancy</w:t>
            </w:r>
          </w:p>
          <w:p w14:paraId="4CF8F537" w14:textId="77777777" w:rsidR="007A56FB" w:rsidRDefault="007A56FB" w:rsidP="001A51F3"/>
          <w:p w14:paraId="106D2CA2" w14:textId="77777777" w:rsidR="00D5504F" w:rsidRPr="00D5504F" w:rsidRDefault="00D5504F" w:rsidP="00D5504F">
            <w:pPr>
              <w:rPr>
                <w:b/>
                <w:bCs/>
              </w:rPr>
            </w:pPr>
            <w:r w:rsidRPr="00D5504F">
              <w:rPr>
                <w:b/>
                <w:bCs/>
              </w:rPr>
              <w:t>Additional baseline investigations (bipolar disorder):</w:t>
            </w:r>
          </w:p>
          <w:p w14:paraId="4755F846" w14:textId="0E23A408" w:rsidR="00D5504F" w:rsidRDefault="00D5504F" w:rsidP="00093D5F">
            <w:pPr>
              <w:pStyle w:val="ListParagraph"/>
              <w:numPr>
                <w:ilvl w:val="0"/>
                <w:numId w:val="6"/>
              </w:numPr>
            </w:pPr>
            <w:r>
              <w:t>Cardiovascular status including pulse and blood pressure (BP)</w:t>
            </w:r>
          </w:p>
          <w:p w14:paraId="482282D3" w14:textId="740DB38F" w:rsidR="00D5504F" w:rsidRDefault="00D5504F" w:rsidP="00093D5F">
            <w:pPr>
              <w:pStyle w:val="ListParagraph"/>
              <w:numPr>
                <w:ilvl w:val="0"/>
                <w:numId w:val="6"/>
              </w:numPr>
            </w:pPr>
            <w:r>
              <w:t>Metabolic status including fasting blood glucose, glycosylated haemoglobin (HbA1c) and blood lipid profile</w:t>
            </w:r>
          </w:p>
          <w:p w14:paraId="5E418EBF" w14:textId="053F9A43" w:rsidR="00D5504F" w:rsidRDefault="00D5504F" w:rsidP="00093D5F">
            <w:pPr>
              <w:pStyle w:val="ListParagraph"/>
              <w:numPr>
                <w:ilvl w:val="0"/>
                <w:numId w:val="6"/>
              </w:numPr>
            </w:pPr>
            <w:r>
              <w:t>Liver function tests (LFTs)</w:t>
            </w:r>
          </w:p>
          <w:p w14:paraId="7BE0A4ED" w14:textId="77777777" w:rsidR="00D5504F" w:rsidRDefault="00D5504F" w:rsidP="001A51F3"/>
          <w:p w14:paraId="1C3B3B05" w14:textId="77665B47" w:rsidR="001A51F3" w:rsidRDefault="001A51F3" w:rsidP="001A51F3">
            <w:r w:rsidRPr="00BF174A">
              <w:rPr>
                <w:b/>
                <w:bCs/>
                <w:u w:val="single"/>
              </w:rPr>
              <w:t xml:space="preserve">Initial monitoring: </w:t>
            </w:r>
          </w:p>
          <w:p w14:paraId="1F75BCD4" w14:textId="77777777" w:rsidR="00D5504F" w:rsidRDefault="00D5504F" w:rsidP="001A51F3">
            <w:r w:rsidRPr="00D5504F">
              <w:t xml:space="preserve">12-hour plasma lithium levels one week after initiation and one week after any change in dose or formulation; lithium levels take 4-7 days to reach steady state concentrations. </w:t>
            </w:r>
          </w:p>
          <w:p w14:paraId="06D68A65" w14:textId="7B9BB4D8" w:rsidR="007A56FB" w:rsidRDefault="00D5504F" w:rsidP="001A51F3">
            <w:r w:rsidRPr="00D5504F">
              <w:t>Typically, this means levels will be monitored weekly until the desired level and clinical effect is achieved. Following a dose, levels fluctuate during absorption/distribution, so measurements are made 12 hours post-dose for monitoring purposes.</w:t>
            </w:r>
          </w:p>
          <w:p w14:paraId="461D97B0" w14:textId="77777777" w:rsidR="00D5504F" w:rsidRPr="001A51F3" w:rsidRDefault="00D5504F" w:rsidP="001A51F3"/>
          <w:p w14:paraId="07CDEB35" w14:textId="77777777" w:rsidR="0041687B" w:rsidRPr="0051526F" w:rsidRDefault="0041687B" w:rsidP="0051526F">
            <w:pPr>
              <w:rPr>
                <w:b/>
                <w:bCs/>
                <w:u w:val="single"/>
              </w:rPr>
            </w:pPr>
            <w:r w:rsidRPr="0051526F">
              <w:rPr>
                <w:b/>
                <w:bCs/>
                <w:u w:val="single"/>
              </w:rPr>
              <w:t>Ongoing monitoring:</w:t>
            </w:r>
          </w:p>
          <w:p w14:paraId="3672B0FF" w14:textId="4C9FF00A" w:rsidR="007A56FB" w:rsidRPr="0041687B" w:rsidRDefault="00D5504F" w:rsidP="00D5504F">
            <w:pPr>
              <w:rPr>
                <w:rFonts w:cs="Arial"/>
              </w:rPr>
            </w:pPr>
            <w:r w:rsidRPr="00D5504F">
              <w:rPr>
                <w:rFonts w:cs="Arial"/>
              </w:rPr>
              <w:t>Review patient at least every 12 months to assess their mental health, effectiveness of treatment and the ongoing need for lithium.</w:t>
            </w:r>
          </w:p>
        </w:tc>
      </w:tr>
    </w:tbl>
    <w:p w14:paraId="7BD95E7B" w14:textId="77777777" w:rsidR="0051526F" w:rsidRDefault="0051526F"/>
    <w:p w14:paraId="39805D5C" w14:textId="77777777" w:rsidR="0051526F" w:rsidRDefault="0051526F" w:rsidP="0051526F">
      <w:pPr>
        <w:pStyle w:val="Heading2"/>
        <w:rPr>
          <w:rFonts w:cs="Arial"/>
        </w:rPr>
      </w:pPr>
      <w:bookmarkStart w:id="11" w:name="_Toc149231790"/>
      <w:bookmarkStart w:id="12" w:name="six_monitoring"/>
      <w:r w:rsidRPr="00F321FC">
        <w:rPr>
          <w:rFonts w:cs="Arial"/>
        </w:rPr>
        <w:t>Ongoing monitoring requirements to be undertaken by primary care</w:t>
      </w:r>
      <w:bookmarkEnd w:id="11"/>
    </w:p>
    <w:bookmarkEnd w:id="12"/>
    <w:p w14:paraId="390251ED" w14:textId="1BF22BCF" w:rsidR="0051526F" w:rsidRDefault="0051526F">
      <w:r w:rsidRPr="00EC0326">
        <w:rPr>
          <w:rFonts w:cs="Arial"/>
        </w:rPr>
        <w:t>If monitoring results are forwarded to the specialist team, please include clear clinical information on the reason for sending, to inform action to be taken by secondary care.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3DB248E9" w14:textId="77777777" w:rsidTr="000B18BF">
        <w:trPr>
          <w:tblHeader/>
        </w:trPr>
        <w:tc>
          <w:tcPr>
            <w:tcW w:w="5245" w:type="dxa"/>
            <w:shd w:val="clear" w:color="auto" w:fill="F2F2F2" w:themeFill="background1" w:themeFillShade="F2"/>
          </w:tcPr>
          <w:p w14:paraId="1DAB6EDA" w14:textId="153D4D99" w:rsidR="0051526F" w:rsidRPr="00BF174A" w:rsidRDefault="0051526F" w:rsidP="00BF174A">
            <w:pPr>
              <w:rPr>
                <w:b/>
                <w:bCs/>
                <w:u w:val="single"/>
              </w:rPr>
            </w:pPr>
            <w:r w:rsidRPr="00BF174A">
              <w:rPr>
                <w:b/>
                <w:bCs/>
                <w:u w:val="single"/>
              </w:rPr>
              <w:lastRenderedPageBreak/>
              <w:t>Monitoring</w:t>
            </w:r>
          </w:p>
        </w:tc>
        <w:tc>
          <w:tcPr>
            <w:tcW w:w="5245" w:type="dxa"/>
            <w:shd w:val="clear" w:color="auto" w:fill="F2F2F2" w:themeFill="background1" w:themeFillShade="F2"/>
          </w:tcPr>
          <w:p w14:paraId="779C2E8A" w14:textId="1265EEED" w:rsidR="0051526F" w:rsidRPr="00BF174A" w:rsidRDefault="0051526F" w:rsidP="00BF174A">
            <w:pPr>
              <w:rPr>
                <w:b/>
                <w:bCs/>
                <w:u w:val="single"/>
              </w:rPr>
            </w:pPr>
            <w:r w:rsidRPr="00BF174A">
              <w:rPr>
                <w:b/>
                <w:bCs/>
                <w:u w:val="single"/>
              </w:rPr>
              <w:t>Frequency</w:t>
            </w:r>
          </w:p>
        </w:tc>
      </w:tr>
      <w:tr w:rsidR="00D5504F" w:rsidRPr="00F321FC" w14:paraId="33418424" w14:textId="77777777" w:rsidTr="000B18BF">
        <w:tc>
          <w:tcPr>
            <w:tcW w:w="5245" w:type="dxa"/>
          </w:tcPr>
          <w:p w14:paraId="7CD6468D" w14:textId="77777777" w:rsidR="00D5504F" w:rsidRDefault="00D5504F" w:rsidP="00D5504F">
            <w:pPr>
              <w:autoSpaceDE w:val="0"/>
              <w:autoSpaceDN w:val="0"/>
              <w:adjustRightInd w:val="0"/>
              <w:spacing w:after="0"/>
              <w:rPr>
                <w:rFonts w:eastAsia="Times New Roman" w:cstheme="minorHAnsi"/>
                <w:b/>
                <w:color w:val="000000"/>
                <w:lang w:eastAsia="en-GB"/>
              </w:rPr>
            </w:pPr>
            <w:r>
              <w:rPr>
                <w:rFonts w:eastAsia="Times New Roman" w:cstheme="minorHAnsi"/>
                <w:b/>
                <w:color w:val="000000"/>
                <w:lang w:eastAsia="en-GB"/>
              </w:rPr>
              <w:t xml:space="preserve">Plasma lithium level taken 10-14 hours post-dose. NB: samples should be taken as close to 12-hours post-dose as possible. </w:t>
            </w:r>
          </w:p>
          <w:p w14:paraId="1B8B24DE" w14:textId="77777777" w:rsidR="00B515FA" w:rsidRPr="00B515FA" w:rsidRDefault="00D5504F" w:rsidP="00B515FA">
            <w:pPr>
              <w:pStyle w:val="ListParagraph"/>
              <w:numPr>
                <w:ilvl w:val="0"/>
                <w:numId w:val="7"/>
              </w:numPr>
              <w:spacing w:before="0" w:after="0"/>
              <w:ind w:left="357" w:hanging="357"/>
              <w:rPr>
                <w:rFonts w:cs="Arial"/>
              </w:rPr>
            </w:pPr>
            <w:r>
              <w:rPr>
                <w:rFonts w:eastAsia="Times New Roman" w:cstheme="minorHAnsi"/>
                <w:color w:val="000000"/>
                <w:lang w:eastAsia="en-GB"/>
              </w:rPr>
              <w:t xml:space="preserve">Record results in the patient’s record as well as patient-held purple lithium pack, or other suitable recording mechanism. </w:t>
            </w:r>
          </w:p>
          <w:p w14:paraId="38C3A527" w14:textId="3EA6AEC2" w:rsidR="00D5504F" w:rsidRPr="007A56FB" w:rsidRDefault="00D5504F" w:rsidP="00B515FA">
            <w:pPr>
              <w:pStyle w:val="ListParagraph"/>
              <w:numPr>
                <w:ilvl w:val="0"/>
                <w:numId w:val="7"/>
              </w:numPr>
              <w:spacing w:before="0" w:after="0"/>
              <w:ind w:left="357" w:hanging="357"/>
              <w:rPr>
                <w:rFonts w:cs="Arial"/>
              </w:rPr>
            </w:pPr>
            <w:r>
              <w:rPr>
                <w:rFonts w:eastAsia="Times New Roman" w:cstheme="minorHAnsi"/>
                <w:iCs/>
                <w:color w:val="000000"/>
                <w:lang w:eastAsia="en-GB"/>
              </w:rPr>
              <w:t>It is advisable to document the actual time interval between the last dose and the blood sample</w:t>
            </w:r>
          </w:p>
        </w:tc>
        <w:tc>
          <w:tcPr>
            <w:tcW w:w="5245" w:type="dxa"/>
          </w:tcPr>
          <w:p w14:paraId="127001AD" w14:textId="0666A104" w:rsidR="00D5504F" w:rsidRDefault="00D5504F" w:rsidP="00D5504F">
            <w:pPr>
              <w:spacing w:after="0"/>
              <w:rPr>
                <w:rFonts w:eastAsia="Times New Roman" w:cstheme="minorHAnsi"/>
                <w:b/>
                <w:iCs/>
                <w:color w:val="000000"/>
                <w:lang w:eastAsia="en-GB"/>
              </w:rPr>
            </w:pPr>
            <w:r>
              <w:rPr>
                <w:rFonts w:eastAsia="Times New Roman" w:cstheme="minorHAnsi"/>
                <w:b/>
                <w:iCs/>
                <w:color w:val="000000"/>
                <w:lang w:eastAsia="en-GB"/>
              </w:rPr>
              <w:t xml:space="preserve">At least every </w:t>
            </w:r>
            <w:r w:rsidR="007D1D2D">
              <w:rPr>
                <w:rFonts w:eastAsia="Times New Roman" w:cstheme="minorHAnsi"/>
                <w:b/>
                <w:iCs/>
                <w:color w:val="000000"/>
                <w:lang w:eastAsia="en-GB"/>
              </w:rPr>
              <w:t>3 months</w:t>
            </w:r>
            <w:r>
              <w:rPr>
                <w:rFonts w:eastAsia="Times New Roman" w:cstheme="minorHAnsi"/>
                <w:b/>
                <w:iCs/>
                <w:color w:val="000000"/>
                <w:lang w:eastAsia="en-GB"/>
              </w:rPr>
              <w:t xml:space="preserve"> for the first year, then every </w:t>
            </w:r>
            <w:r w:rsidR="004113C8">
              <w:rPr>
                <w:rFonts w:eastAsia="Times New Roman" w:cstheme="minorHAnsi"/>
                <w:b/>
                <w:iCs/>
                <w:color w:val="000000"/>
                <w:lang w:eastAsia="en-GB"/>
              </w:rPr>
              <w:t>3-</w:t>
            </w:r>
            <w:r>
              <w:rPr>
                <w:rFonts w:eastAsia="Times New Roman" w:cstheme="minorHAnsi"/>
                <w:b/>
                <w:iCs/>
                <w:color w:val="000000"/>
                <w:lang w:eastAsia="en-GB"/>
              </w:rPr>
              <w:t xml:space="preserve">6 months.  </w:t>
            </w:r>
          </w:p>
          <w:p w14:paraId="6F7E93E3" w14:textId="07A0B1FC" w:rsidR="000A4216" w:rsidRDefault="00D5504F" w:rsidP="00D5504F">
            <w:pPr>
              <w:spacing w:after="0"/>
              <w:rPr>
                <w:rFonts w:eastAsia="Times New Roman" w:cstheme="minorHAnsi"/>
                <w:iCs/>
                <w:color w:val="000000"/>
                <w:lang w:eastAsia="en-GB"/>
              </w:rPr>
            </w:pPr>
            <w:r>
              <w:rPr>
                <w:rFonts w:eastAsia="Times New Roman" w:cstheme="minorHAnsi"/>
                <w:iCs/>
                <w:color w:val="000000"/>
                <w:lang w:eastAsia="en-GB"/>
              </w:rPr>
              <w:t>More frequent</w:t>
            </w:r>
            <w:r w:rsidR="001E106D">
              <w:rPr>
                <w:rFonts w:eastAsia="Times New Roman" w:cstheme="minorHAnsi"/>
                <w:iCs/>
                <w:color w:val="000000"/>
                <w:lang w:eastAsia="en-GB"/>
              </w:rPr>
              <w:t xml:space="preserve"> (i.e. 3-monthly)</w:t>
            </w:r>
            <w:r>
              <w:rPr>
                <w:rFonts w:eastAsia="Times New Roman" w:cstheme="minorHAnsi"/>
                <w:iCs/>
                <w:color w:val="000000"/>
                <w:lang w:eastAsia="en-GB"/>
              </w:rPr>
              <w:t xml:space="preserve"> long-term monitoring may be advised by the specialist team in some circumstances (e.g.</w:t>
            </w:r>
            <w:r w:rsidR="000A4216">
              <w:rPr>
                <w:rFonts w:eastAsia="Times New Roman" w:cstheme="minorHAnsi"/>
                <w:iCs/>
                <w:color w:val="000000"/>
                <w:lang w:eastAsia="en-GB"/>
              </w:rPr>
              <w:t>:</w:t>
            </w:r>
            <w:r>
              <w:rPr>
                <w:rFonts w:eastAsia="Times New Roman" w:cstheme="minorHAnsi"/>
                <w:iCs/>
                <w:color w:val="000000"/>
                <w:lang w:eastAsia="en-GB"/>
              </w:rPr>
              <w:t xml:space="preserve"> </w:t>
            </w:r>
          </w:p>
          <w:p w14:paraId="66F4AD2D" w14:textId="2A3BD88B" w:rsidR="000A4216" w:rsidRDefault="00D73EC0" w:rsidP="000A4216">
            <w:pPr>
              <w:pStyle w:val="ListParagraph"/>
              <w:numPr>
                <w:ilvl w:val="0"/>
                <w:numId w:val="7"/>
              </w:numPr>
              <w:spacing w:after="0"/>
              <w:rPr>
                <w:rFonts w:eastAsia="Times New Roman" w:cstheme="minorHAnsi"/>
                <w:iCs/>
                <w:color w:val="000000"/>
                <w:lang w:eastAsia="en-GB"/>
              </w:rPr>
            </w:pPr>
            <w:r w:rsidRPr="000A4216">
              <w:rPr>
                <w:rFonts w:eastAsia="Times New Roman" w:cstheme="minorHAnsi"/>
                <w:iCs/>
                <w:color w:val="000000"/>
                <w:lang w:eastAsia="en-GB"/>
              </w:rPr>
              <w:t>older people</w:t>
            </w:r>
          </w:p>
          <w:p w14:paraId="0226BC61" w14:textId="3F5FD794" w:rsidR="000A4216" w:rsidRDefault="000A4216" w:rsidP="000A4216">
            <w:pPr>
              <w:pStyle w:val="ListParagraph"/>
              <w:numPr>
                <w:ilvl w:val="0"/>
                <w:numId w:val="7"/>
              </w:numPr>
              <w:spacing w:after="0"/>
              <w:rPr>
                <w:rFonts w:eastAsia="Times New Roman" w:cstheme="minorHAnsi"/>
                <w:iCs/>
                <w:color w:val="000000"/>
                <w:lang w:eastAsia="en-GB"/>
              </w:rPr>
            </w:pPr>
            <w:r>
              <w:rPr>
                <w:rFonts w:eastAsia="Times New Roman" w:cstheme="minorHAnsi"/>
                <w:iCs/>
                <w:color w:val="000000"/>
                <w:lang w:eastAsia="en-GB"/>
              </w:rPr>
              <w:t xml:space="preserve">people </w:t>
            </w:r>
            <w:r w:rsidR="00D73EC0" w:rsidRPr="000A4216">
              <w:rPr>
                <w:rFonts w:eastAsia="Times New Roman" w:cstheme="minorHAnsi"/>
                <w:iCs/>
                <w:color w:val="000000"/>
                <w:lang w:eastAsia="en-GB"/>
              </w:rPr>
              <w:t>taking interacting medicines</w:t>
            </w:r>
          </w:p>
          <w:p w14:paraId="0660919A" w14:textId="30DBE53D" w:rsidR="000A4216" w:rsidRDefault="00D73EC0" w:rsidP="000A4216">
            <w:pPr>
              <w:pStyle w:val="ListParagraph"/>
              <w:numPr>
                <w:ilvl w:val="0"/>
                <w:numId w:val="7"/>
              </w:numPr>
              <w:spacing w:after="0"/>
              <w:rPr>
                <w:rFonts w:eastAsia="Times New Roman" w:cstheme="minorHAnsi"/>
                <w:iCs/>
                <w:color w:val="000000"/>
                <w:lang w:eastAsia="en-GB"/>
              </w:rPr>
            </w:pPr>
            <w:r w:rsidRPr="000A4216">
              <w:rPr>
                <w:rFonts w:eastAsia="Times New Roman" w:cstheme="minorHAnsi"/>
                <w:iCs/>
                <w:color w:val="000000"/>
                <w:lang w:eastAsia="en-GB"/>
              </w:rPr>
              <w:t>people at risk of impaired renal or thyroid function, raised calcium levels or other complications</w:t>
            </w:r>
          </w:p>
          <w:p w14:paraId="79465EB2" w14:textId="34CE2E23" w:rsidR="000A4216" w:rsidRDefault="00D73EC0" w:rsidP="000A4216">
            <w:pPr>
              <w:pStyle w:val="ListParagraph"/>
              <w:numPr>
                <w:ilvl w:val="0"/>
                <w:numId w:val="7"/>
              </w:numPr>
              <w:spacing w:after="0"/>
              <w:rPr>
                <w:rFonts w:eastAsia="Times New Roman" w:cstheme="minorHAnsi"/>
                <w:iCs/>
                <w:color w:val="000000"/>
                <w:lang w:eastAsia="en-GB"/>
              </w:rPr>
            </w:pPr>
            <w:r w:rsidRPr="000A4216">
              <w:rPr>
                <w:rFonts w:eastAsia="Times New Roman" w:cstheme="minorHAnsi"/>
                <w:iCs/>
                <w:color w:val="000000"/>
                <w:lang w:eastAsia="en-GB"/>
              </w:rPr>
              <w:t>people with poor symptom control</w:t>
            </w:r>
          </w:p>
          <w:p w14:paraId="455E4327" w14:textId="000FE438" w:rsidR="000A4216" w:rsidRDefault="00D73EC0" w:rsidP="000A4216">
            <w:pPr>
              <w:pStyle w:val="ListParagraph"/>
              <w:numPr>
                <w:ilvl w:val="0"/>
                <w:numId w:val="7"/>
              </w:numPr>
              <w:spacing w:after="0"/>
              <w:rPr>
                <w:rFonts w:eastAsia="Times New Roman" w:cstheme="minorHAnsi"/>
                <w:iCs/>
                <w:color w:val="000000"/>
                <w:lang w:eastAsia="en-GB"/>
              </w:rPr>
            </w:pPr>
            <w:r w:rsidRPr="000A4216">
              <w:rPr>
                <w:rFonts w:eastAsia="Times New Roman" w:cstheme="minorHAnsi"/>
                <w:iCs/>
                <w:color w:val="000000"/>
                <w:lang w:eastAsia="en-GB"/>
              </w:rPr>
              <w:t>people with poor adherence</w:t>
            </w:r>
            <w:r w:rsidR="00D5504F" w:rsidRPr="000A4216">
              <w:rPr>
                <w:rFonts w:eastAsia="Times New Roman" w:cstheme="minorHAnsi"/>
                <w:iCs/>
                <w:color w:val="000000"/>
                <w:lang w:eastAsia="en-GB"/>
              </w:rPr>
              <w:t xml:space="preserve"> </w:t>
            </w:r>
          </w:p>
          <w:p w14:paraId="6DFD056A" w14:textId="6F4004F3" w:rsidR="00D5504F" w:rsidRPr="000A4216" w:rsidRDefault="000A4216" w:rsidP="000A4216">
            <w:pPr>
              <w:pStyle w:val="ListParagraph"/>
              <w:numPr>
                <w:ilvl w:val="0"/>
                <w:numId w:val="7"/>
              </w:numPr>
              <w:spacing w:after="0"/>
              <w:rPr>
                <w:rFonts w:eastAsia="Times New Roman" w:cstheme="minorHAnsi"/>
                <w:iCs/>
                <w:color w:val="000000"/>
                <w:lang w:eastAsia="en-GB"/>
              </w:rPr>
            </w:pPr>
            <w:r>
              <w:rPr>
                <w:rFonts w:eastAsia="Times New Roman" w:cstheme="minorHAnsi"/>
                <w:iCs/>
                <w:color w:val="000000"/>
                <w:lang w:eastAsia="en-GB"/>
              </w:rPr>
              <w:t>people with</w:t>
            </w:r>
            <w:r w:rsidR="00D5504F" w:rsidRPr="000A4216">
              <w:rPr>
                <w:rFonts w:eastAsia="Times New Roman" w:cstheme="minorHAnsi"/>
                <w:iCs/>
                <w:color w:val="000000"/>
                <w:lang w:eastAsia="en-GB"/>
              </w:rPr>
              <w:t xml:space="preserve"> most recent 12-hour plasma lithium level is at the threshold of target range</w:t>
            </w:r>
            <w:r w:rsidR="001E106D">
              <w:rPr>
                <w:rFonts w:eastAsia="Times New Roman" w:cstheme="minorHAnsi"/>
                <w:iCs/>
                <w:color w:val="000000"/>
                <w:lang w:eastAsia="en-GB"/>
              </w:rPr>
              <w:t>, e.g. 0.8 mmol/litre or higher</w:t>
            </w:r>
            <w:r w:rsidR="00D5504F" w:rsidRPr="000A4216">
              <w:rPr>
                <w:rFonts w:eastAsia="Times New Roman" w:cstheme="minorHAnsi"/>
                <w:iCs/>
                <w:color w:val="000000"/>
                <w:lang w:eastAsia="en-GB"/>
              </w:rPr>
              <w:t>.</w:t>
            </w:r>
          </w:p>
          <w:p w14:paraId="460119A4" w14:textId="1EC59CDC" w:rsidR="00D5504F" w:rsidRPr="00F321FC" w:rsidRDefault="00D5504F" w:rsidP="00D5504F">
            <w:pPr>
              <w:rPr>
                <w:rFonts w:cs="Arial"/>
              </w:rPr>
            </w:pPr>
            <w:r>
              <w:rPr>
                <w:rFonts w:eastAsia="Times New Roman" w:cstheme="minorHAnsi"/>
                <w:b/>
                <w:iCs/>
                <w:color w:val="000000"/>
                <w:lang w:eastAsia="en-GB"/>
              </w:rPr>
              <w:t xml:space="preserve">Consider additional monitoring whenever there is a change in the patient’s circumstances, e.g. intercurrent illness. </w:t>
            </w:r>
          </w:p>
        </w:tc>
      </w:tr>
      <w:tr w:rsidR="00D5504F" w:rsidRPr="00F321FC" w14:paraId="60A93057" w14:textId="77777777" w:rsidTr="000B18BF">
        <w:tc>
          <w:tcPr>
            <w:tcW w:w="5245" w:type="dxa"/>
          </w:tcPr>
          <w:p w14:paraId="1E1F6663" w14:textId="77777777" w:rsidR="00D5504F" w:rsidRDefault="00D5504F" w:rsidP="00D5504F">
            <w:pPr>
              <w:spacing w:after="0"/>
              <w:rPr>
                <w:rFonts w:eastAsia="Times New Roman" w:cstheme="minorHAnsi"/>
                <w:b/>
                <w:lang w:eastAsia="en-GB"/>
              </w:rPr>
            </w:pPr>
            <w:r>
              <w:rPr>
                <w:rFonts w:eastAsia="Times New Roman" w:cstheme="minorHAnsi"/>
                <w:b/>
                <w:lang w:eastAsia="en-GB"/>
              </w:rPr>
              <w:t>U&amp;Es, including eGFR</w:t>
            </w:r>
          </w:p>
          <w:p w14:paraId="35A79BDD" w14:textId="77777777" w:rsidR="00D5504F" w:rsidRDefault="00D5504F" w:rsidP="00D5504F">
            <w:pPr>
              <w:spacing w:after="0"/>
              <w:rPr>
                <w:rFonts w:eastAsia="Times New Roman" w:cstheme="minorHAnsi"/>
                <w:b/>
                <w:lang w:eastAsia="en-GB"/>
              </w:rPr>
            </w:pPr>
            <w:r>
              <w:rPr>
                <w:rFonts w:eastAsia="Times New Roman" w:cstheme="minorHAnsi"/>
                <w:b/>
                <w:lang w:eastAsia="en-GB"/>
              </w:rPr>
              <w:t>Calcium</w:t>
            </w:r>
          </w:p>
          <w:p w14:paraId="7A133417" w14:textId="77777777" w:rsidR="00D5504F" w:rsidRDefault="00D5504F" w:rsidP="00D5504F">
            <w:pPr>
              <w:spacing w:after="0"/>
              <w:rPr>
                <w:rFonts w:eastAsia="Times New Roman" w:cstheme="minorHAnsi"/>
                <w:b/>
                <w:lang w:eastAsia="en-GB"/>
              </w:rPr>
            </w:pPr>
            <w:r>
              <w:rPr>
                <w:rFonts w:eastAsia="Times New Roman" w:cstheme="minorHAnsi"/>
                <w:b/>
                <w:lang w:eastAsia="en-GB"/>
              </w:rPr>
              <w:t>TFTs</w:t>
            </w:r>
          </w:p>
          <w:p w14:paraId="0C76948D" w14:textId="796534C9" w:rsidR="00D5504F" w:rsidRPr="00F321FC" w:rsidRDefault="007A0D6E" w:rsidP="00D5504F">
            <w:pPr>
              <w:rPr>
                <w:rFonts w:cs="Arial"/>
              </w:rPr>
            </w:pPr>
            <w:r>
              <w:rPr>
                <w:rFonts w:eastAsia="Times New Roman" w:cstheme="minorHAnsi"/>
                <w:b/>
                <w:lang w:eastAsia="en-GB"/>
              </w:rPr>
              <w:t>Body</w:t>
            </w:r>
            <w:r w:rsidR="00D5504F">
              <w:rPr>
                <w:rFonts w:eastAsia="Times New Roman" w:cstheme="minorHAnsi"/>
                <w:b/>
                <w:lang w:eastAsia="en-GB"/>
              </w:rPr>
              <w:t xml:space="preserve">weight </w:t>
            </w:r>
            <w:r>
              <w:rPr>
                <w:rFonts w:eastAsia="Times New Roman" w:cstheme="minorHAnsi"/>
                <w:b/>
                <w:lang w:eastAsia="en-GB"/>
              </w:rPr>
              <w:t xml:space="preserve">or </w:t>
            </w:r>
            <w:r w:rsidR="00D5504F">
              <w:rPr>
                <w:rFonts w:eastAsia="Times New Roman" w:cstheme="minorHAnsi"/>
                <w:b/>
                <w:lang w:eastAsia="en-GB"/>
              </w:rPr>
              <w:t xml:space="preserve">BMI. </w:t>
            </w:r>
          </w:p>
        </w:tc>
        <w:tc>
          <w:tcPr>
            <w:tcW w:w="5245" w:type="dxa"/>
          </w:tcPr>
          <w:p w14:paraId="317CF4C6" w14:textId="77777777" w:rsidR="00D5504F" w:rsidRDefault="00D5504F" w:rsidP="00D5504F">
            <w:pPr>
              <w:spacing w:after="0"/>
              <w:rPr>
                <w:rFonts w:eastAsia="Times New Roman" w:cstheme="minorHAnsi"/>
                <w:b/>
                <w:iCs/>
                <w:color w:val="000000"/>
                <w:lang w:eastAsia="en-GB"/>
              </w:rPr>
            </w:pPr>
            <w:r>
              <w:rPr>
                <w:rFonts w:eastAsia="Times New Roman" w:cstheme="minorHAnsi"/>
                <w:b/>
                <w:iCs/>
                <w:color w:val="000000"/>
                <w:lang w:eastAsia="en-GB"/>
              </w:rPr>
              <w:t xml:space="preserve">Every 6 months. </w:t>
            </w:r>
          </w:p>
          <w:p w14:paraId="5A85F8DE" w14:textId="21C70BBA" w:rsidR="00D5504F" w:rsidRPr="00F321FC" w:rsidRDefault="00D5504F" w:rsidP="00D5504F">
            <w:pPr>
              <w:rPr>
                <w:rFonts w:cs="Arial"/>
              </w:rPr>
            </w:pPr>
            <w:r>
              <w:rPr>
                <w:rFonts w:eastAsia="Times New Roman" w:cstheme="minorHAnsi"/>
                <w:iCs/>
                <w:color w:val="000000"/>
                <w:lang w:eastAsia="en-GB"/>
              </w:rPr>
              <w:t xml:space="preserve">More frequent monitoring (particularly renal function) may be advised by the specialist team in some circumstances (e.g. elderly, renal impairment, altered TFTs, concurrent interacting medicines). </w:t>
            </w:r>
          </w:p>
        </w:tc>
      </w:tr>
      <w:tr w:rsidR="00D5504F" w:rsidRPr="00F321FC" w14:paraId="50A88F0A" w14:textId="77777777" w:rsidTr="000B18BF">
        <w:tc>
          <w:tcPr>
            <w:tcW w:w="5245" w:type="dxa"/>
          </w:tcPr>
          <w:p w14:paraId="6C199018" w14:textId="77777777" w:rsidR="00D5504F" w:rsidRDefault="00D5504F" w:rsidP="00D5504F">
            <w:pPr>
              <w:spacing w:after="0"/>
              <w:rPr>
                <w:rFonts w:eastAsia="Times New Roman" w:cstheme="minorHAnsi"/>
                <w:lang w:eastAsia="en-GB"/>
              </w:rPr>
            </w:pPr>
            <w:r>
              <w:rPr>
                <w:rFonts w:eastAsia="Times New Roman" w:cstheme="minorHAnsi"/>
                <w:b/>
                <w:lang w:eastAsia="en-GB"/>
              </w:rPr>
              <w:t>Signs of toxicity</w:t>
            </w:r>
            <w:r>
              <w:rPr>
                <w:rFonts w:eastAsia="Times New Roman" w:cstheme="minorHAnsi"/>
                <w:lang w:eastAsia="en-GB"/>
              </w:rPr>
              <w:t xml:space="preserve"> </w:t>
            </w:r>
          </w:p>
          <w:p w14:paraId="0C5A175F" w14:textId="2BB9EB65" w:rsidR="00D5504F" w:rsidRDefault="00D5504F" w:rsidP="00D5504F">
            <w:pPr>
              <w:rPr>
                <w:rFonts w:eastAsia="Times New Roman" w:cstheme="minorHAnsi"/>
                <w:color w:val="000000"/>
                <w:lang w:eastAsia="en-GB"/>
              </w:rPr>
            </w:pPr>
            <w:r>
              <w:rPr>
                <w:rFonts w:eastAsia="Times New Roman" w:cstheme="minorHAnsi"/>
                <w:lang w:eastAsia="en-GB"/>
              </w:rPr>
              <w:t>Enquire about and document signs and symptoms which might indicate toxicity, e.g. paraesthesia, ataxia, tremor, cognitive impairment.</w:t>
            </w:r>
          </w:p>
        </w:tc>
        <w:tc>
          <w:tcPr>
            <w:tcW w:w="5245" w:type="dxa"/>
          </w:tcPr>
          <w:p w14:paraId="773F40DE" w14:textId="16885324" w:rsidR="00D5504F" w:rsidRDefault="00D5504F" w:rsidP="00D5504F">
            <w:pPr>
              <w:rPr>
                <w:rFonts w:eastAsia="Times New Roman" w:cstheme="minorHAnsi"/>
                <w:iCs/>
                <w:color w:val="000000"/>
                <w:lang w:eastAsia="en-GB"/>
              </w:rPr>
            </w:pPr>
            <w:r>
              <w:rPr>
                <w:rFonts w:eastAsia="Times New Roman" w:cstheme="minorHAnsi"/>
                <w:b/>
                <w:iCs/>
                <w:color w:val="000000"/>
                <w:lang w:eastAsia="en-GB"/>
              </w:rPr>
              <w:t xml:space="preserve">At every consultation with the prescriber regarding lithium treatment </w:t>
            </w:r>
          </w:p>
        </w:tc>
      </w:tr>
      <w:tr w:rsidR="00D5504F" w:rsidRPr="00F321FC" w14:paraId="375127DD" w14:textId="77777777" w:rsidTr="000B18BF">
        <w:tc>
          <w:tcPr>
            <w:tcW w:w="5245" w:type="dxa"/>
          </w:tcPr>
          <w:p w14:paraId="0F4D065D" w14:textId="0BAA36C5" w:rsidR="00D5504F" w:rsidRPr="00D5504F" w:rsidRDefault="00D5504F" w:rsidP="00D5504F">
            <w:pPr>
              <w:autoSpaceDE w:val="0"/>
              <w:autoSpaceDN w:val="0"/>
              <w:adjustRightInd w:val="0"/>
              <w:rPr>
                <w:rFonts w:eastAsia="Times New Roman" w:cstheme="minorHAnsi"/>
                <w:b/>
                <w:color w:val="000000"/>
                <w:lang w:eastAsia="en-GB"/>
              </w:rPr>
            </w:pPr>
            <w:r>
              <w:rPr>
                <w:rFonts w:eastAsia="Times New Roman" w:cstheme="minorHAnsi"/>
                <w:b/>
                <w:color w:val="000000"/>
                <w:lang w:eastAsia="en-GB"/>
              </w:rPr>
              <w:t>Additional monitoring: bipolar disorder</w:t>
            </w:r>
          </w:p>
          <w:p w14:paraId="5F6C36A2" w14:textId="72F3D55B" w:rsidR="00D5504F" w:rsidRPr="00D5504F" w:rsidRDefault="00D5504F" w:rsidP="00093D5F">
            <w:pPr>
              <w:pStyle w:val="ListParagraph"/>
              <w:numPr>
                <w:ilvl w:val="0"/>
                <w:numId w:val="7"/>
              </w:numPr>
              <w:autoSpaceDE w:val="0"/>
              <w:autoSpaceDN w:val="0"/>
              <w:adjustRightInd w:val="0"/>
              <w:rPr>
                <w:rFonts w:eastAsia="Times New Roman" w:cstheme="minorHAnsi"/>
                <w:bCs/>
                <w:color w:val="000000"/>
                <w:lang w:eastAsia="en-GB"/>
              </w:rPr>
            </w:pPr>
            <w:r w:rsidRPr="00D5504F">
              <w:rPr>
                <w:rFonts w:eastAsia="Times New Roman" w:cstheme="minorHAnsi"/>
                <w:bCs/>
                <w:color w:val="000000"/>
                <w:lang w:eastAsia="en-GB"/>
              </w:rPr>
              <w:t>Diet, nutritional status and level of physical activity.</w:t>
            </w:r>
          </w:p>
          <w:p w14:paraId="5578BB65" w14:textId="77777777" w:rsidR="00D5504F" w:rsidRPr="00D5504F" w:rsidRDefault="00D5504F" w:rsidP="00093D5F">
            <w:pPr>
              <w:pStyle w:val="ListParagraph"/>
              <w:numPr>
                <w:ilvl w:val="0"/>
                <w:numId w:val="7"/>
              </w:numPr>
              <w:autoSpaceDE w:val="0"/>
              <w:autoSpaceDN w:val="0"/>
              <w:adjustRightInd w:val="0"/>
              <w:rPr>
                <w:rFonts w:eastAsia="Times New Roman" w:cstheme="minorHAnsi"/>
                <w:bCs/>
                <w:color w:val="000000"/>
                <w:lang w:eastAsia="en-GB"/>
              </w:rPr>
            </w:pPr>
            <w:r w:rsidRPr="00D5504F">
              <w:rPr>
                <w:rFonts w:eastAsia="Times New Roman" w:cstheme="minorHAnsi"/>
                <w:bCs/>
                <w:color w:val="000000"/>
                <w:lang w:eastAsia="en-GB"/>
              </w:rPr>
              <w:t>Cardiovascular status including pulse and BP.</w:t>
            </w:r>
          </w:p>
          <w:p w14:paraId="13B9E3AA" w14:textId="77777777" w:rsidR="00D5504F" w:rsidRPr="00D5504F" w:rsidRDefault="00D5504F" w:rsidP="00093D5F">
            <w:pPr>
              <w:pStyle w:val="ListParagraph"/>
              <w:numPr>
                <w:ilvl w:val="0"/>
                <w:numId w:val="7"/>
              </w:numPr>
              <w:autoSpaceDE w:val="0"/>
              <w:autoSpaceDN w:val="0"/>
              <w:adjustRightInd w:val="0"/>
              <w:rPr>
                <w:rFonts w:eastAsia="Times New Roman" w:cstheme="minorHAnsi"/>
                <w:bCs/>
                <w:color w:val="000000"/>
                <w:lang w:eastAsia="en-GB"/>
              </w:rPr>
            </w:pPr>
            <w:r w:rsidRPr="00D5504F">
              <w:rPr>
                <w:rFonts w:eastAsia="Times New Roman" w:cstheme="minorHAnsi"/>
                <w:bCs/>
                <w:color w:val="000000"/>
                <w:lang w:eastAsia="en-GB"/>
              </w:rPr>
              <w:t>Metabolic status including fasting blood glucose, HbA</w:t>
            </w:r>
            <w:r w:rsidRPr="00D5504F">
              <w:rPr>
                <w:rFonts w:eastAsia="Times New Roman" w:cstheme="minorHAnsi"/>
                <w:bCs/>
                <w:color w:val="000000"/>
                <w:vertAlign w:val="subscript"/>
                <w:lang w:eastAsia="en-GB"/>
              </w:rPr>
              <w:t xml:space="preserve">1c </w:t>
            </w:r>
            <w:r w:rsidRPr="00D5504F">
              <w:rPr>
                <w:rFonts w:eastAsia="Times New Roman" w:cstheme="minorHAnsi"/>
                <w:bCs/>
                <w:color w:val="000000"/>
                <w:lang w:eastAsia="en-GB"/>
              </w:rPr>
              <w:t>and blood lipid profile.</w:t>
            </w:r>
          </w:p>
          <w:p w14:paraId="5BA31847" w14:textId="5D5FBFA8" w:rsidR="00D5504F" w:rsidRPr="00D5504F" w:rsidRDefault="00D5504F" w:rsidP="00093D5F">
            <w:pPr>
              <w:pStyle w:val="ListParagraph"/>
              <w:numPr>
                <w:ilvl w:val="0"/>
                <w:numId w:val="7"/>
              </w:numPr>
              <w:spacing w:after="0"/>
              <w:rPr>
                <w:rFonts w:eastAsia="Times New Roman" w:cstheme="minorHAnsi"/>
                <w:b/>
                <w:lang w:eastAsia="en-GB"/>
              </w:rPr>
            </w:pPr>
            <w:r w:rsidRPr="00D5504F">
              <w:rPr>
                <w:rFonts w:eastAsia="Times New Roman" w:cstheme="minorHAnsi"/>
                <w:bCs/>
                <w:color w:val="000000"/>
                <w:lang w:eastAsia="en-GB"/>
              </w:rPr>
              <w:t>LFTs.</w:t>
            </w:r>
          </w:p>
        </w:tc>
        <w:tc>
          <w:tcPr>
            <w:tcW w:w="5245" w:type="dxa"/>
          </w:tcPr>
          <w:p w14:paraId="37B6F9FE" w14:textId="2B2D0BB7" w:rsidR="007D1D2D" w:rsidRDefault="00D5504F" w:rsidP="007D1D2D">
            <w:pPr>
              <w:rPr>
                <w:rFonts w:eastAsia="Times New Roman" w:cstheme="minorHAnsi"/>
                <w:iCs/>
                <w:color w:val="000000"/>
                <w:lang w:eastAsia="en-GB"/>
              </w:rPr>
            </w:pPr>
            <w:r w:rsidRPr="00B515FA">
              <w:rPr>
                <w:rFonts w:eastAsia="Times New Roman" w:cstheme="minorHAnsi"/>
                <w:b/>
                <w:iCs/>
                <w:color w:val="000000"/>
                <w:lang w:eastAsia="en-GB"/>
              </w:rPr>
              <w:t>Annually</w:t>
            </w:r>
            <w:r>
              <w:rPr>
                <w:rFonts w:eastAsia="Times New Roman" w:cstheme="minorHAnsi"/>
                <w:iCs/>
                <w:color w:val="000000"/>
                <w:lang w:eastAsia="en-GB"/>
              </w:rPr>
              <w:t xml:space="preserve"> </w:t>
            </w:r>
          </w:p>
          <w:p w14:paraId="1AE75268" w14:textId="18A2BEB6" w:rsidR="00D5504F" w:rsidRDefault="007D1D2D" w:rsidP="007D1D2D">
            <w:pPr>
              <w:rPr>
                <w:rFonts w:eastAsia="Times New Roman" w:cstheme="minorHAnsi"/>
                <w:b/>
                <w:iCs/>
                <w:color w:val="000000"/>
                <w:lang w:eastAsia="en-GB"/>
              </w:rPr>
            </w:pPr>
            <w:r>
              <w:rPr>
                <w:rFonts w:eastAsia="Times New Roman" w:cstheme="minorHAnsi"/>
                <w:iCs/>
                <w:color w:val="000000"/>
                <w:lang w:eastAsia="en-GB"/>
              </w:rPr>
              <w:t>A</w:t>
            </w:r>
            <w:r w:rsidR="00D5504F">
              <w:rPr>
                <w:rFonts w:eastAsia="Times New Roman" w:cstheme="minorHAnsi"/>
                <w:iCs/>
                <w:color w:val="000000"/>
                <w:lang w:eastAsia="en-GB"/>
              </w:rPr>
              <w:t xml:space="preserve">s part of physical health check recommended in NICE </w:t>
            </w:r>
            <w:hyperlink r:id="rId14" w:history="1">
              <w:r w:rsidR="00D5504F">
                <w:rPr>
                  <w:rStyle w:val="Hyperlink"/>
                  <w:rFonts w:eastAsia="Times New Roman" w:cstheme="minorHAnsi"/>
                  <w:iCs/>
                  <w:lang w:eastAsia="en-GB"/>
                </w:rPr>
                <w:t>CG185 Bipolar disorder:  assessment and management</w:t>
              </w:r>
            </w:hyperlink>
            <w:r w:rsidR="00D5504F">
              <w:rPr>
                <w:rFonts w:eastAsia="Times New Roman" w:cstheme="minorHAnsi"/>
                <w:iCs/>
                <w:color w:val="000000"/>
                <w:lang w:eastAsia="en-GB"/>
              </w:rPr>
              <w:t xml:space="preserve">. </w:t>
            </w:r>
          </w:p>
        </w:tc>
      </w:tr>
    </w:tbl>
    <w:p w14:paraId="20855291" w14:textId="77777777" w:rsidR="0051526F" w:rsidRDefault="0051526F"/>
    <w:p w14:paraId="56152E6B" w14:textId="77777777" w:rsidR="0051526F" w:rsidRPr="00F321FC" w:rsidRDefault="0051526F" w:rsidP="0051526F">
      <w:pPr>
        <w:pStyle w:val="Heading2"/>
        <w:rPr>
          <w:rFonts w:cs="Arial"/>
        </w:rPr>
      </w:pPr>
      <w:bookmarkStart w:id="13" w:name="_Toc149231791"/>
      <w:r w:rsidRPr="00F321FC">
        <w:rPr>
          <w:rFonts w:cs="Arial"/>
        </w:rPr>
        <w:t>Pharmaceutical aspects</w:t>
      </w:r>
      <w:bookmarkEnd w:id="13"/>
    </w:p>
    <w:tbl>
      <w:tblPr>
        <w:tblStyle w:val="TableGridLight1"/>
        <w:tblW w:w="10490" w:type="dxa"/>
        <w:tblInd w:w="-5" w:type="dxa"/>
        <w:tblCellMar>
          <w:top w:w="57" w:type="dxa"/>
          <w:bottom w:w="57" w:type="dxa"/>
        </w:tblCellMar>
        <w:tblLook w:val="0480" w:firstRow="0" w:lastRow="0" w:firstColumn="1" w:lastColumn="0" w:noHBand="0" w:noVBand="1"/>
      </w:tblPr>
      <w:tblGrid>
        <w:gridCol w:w="2410"/>
        <w:gridCol w:w="8080"/>
      </w:tblGrid>
      <w:tr w:rsidR="00D5504F" w:rsidRPr="00F321FC" w14:paraId="793C17AD" w14:textId="77777777" w:rsidTr="000B18BF">
        <w:trPr>
          <w:cantSplit/>
        </w:trPr>
        <w:tc>
          <w:tcPr>
            <w:tcW w:w="2410" w:type="dxa"/>
          </w:tcPr>
          <w:p w14:paraId="435FCFFB" w14:textId="2404CE1C" w:rsidR="00D5504F" w:rsidRPr="00F321FC" w:rsidRDefault="00D5504F" w:rsidP="00D5504F">
            <w:pPr>
              <w:rPr>
                <w:rFonts w:cs="Arial"/>
              </w:rPr>
            </w:pPr>
            <w:r w:rsidRPr="00F321FC">
              <w:rPr>
                <w:rFonts w:cs="Arial"/>
              </w:rPr>
              <w:t>Route of administration:</w:t>
            </w:r>
          </w:p>
        </w:tc>
        <w:tc>
          <w:tcPr>
            <w:tcW w:w="8080" w:type="dxa"/>
            <w:vAlign w:val="center"/>
          </w:tcPr>
          <w:p w14:paraId="58A97D63" w14:textId="477B92F6" w:rsidR="00D5504F" w:rsidRPr="00F321FC" w:rsidRDefault="00D5504F" w:rsidP="00D5504F">
            <w:pPr>
              <w:rPr>
                <w:rFonts w:cs="Arial"/>
              </w:rPr>
            </w:pPr>
            <w:r>
              <w:rPr>
                <w:rFonts w:eastAsia="Times New Roman" w:cs="Arial"/>
                <w:szCs w:val="24"/>
                <w:lang w:eastAsia="en-GB"/>
              </w:rPr>
              <w:t>Oral</w:t>
            </w:r>
          </w:p>
        </w:tc>
      </w:tr>
      <w:tr w:rsidR="00D5504F" w:rsidRPr="00F321FC" w14:paraId="0E5DDFDD" w14:textId="77777777" w:rsidTr="00D5504F">
        <w:tc>
          <w:tcPr>
            <w:tcW w:w="2410" w:type="dxa"/>
          </w:tcPr>
          <w:p w14:paraId="3B641692" w14:textId="6763D472" w:rsidR="00D5504F" w:rsidRPr="00F321FC" w:rsidRDefault="00D5504F" w:rsidP="00D5504F">
            <w:pPr>
              <w:rPr>
                <w:rFonts w:cs="Arial"/>
              </w:rPr>
            </w:pPr>
            <w:r w:rsidRPr="00F321FC">
              <w:rPr>
                <w:rFonts w:cs="Arial"/>
              </w:rPr>
              <w:t>Formulation:</w:t>
            </w:r>
          </w:p>
        </w:tc>
        <w:tc>
          <w:tcPr>
            <w:tcW w:w="8080" w:type="dxa"/>
            <w:vAlign w:val="center"/>
          </w:tcPr>
          <w:p w14:paraId="6AC1BA9C" w14:textId="3AA6F908" w:rsidR="00D5504F" w:rsidRPr="002628FF" w:rsidRDefault="00D5504F" w:rsidP="00D5504F">
            <w:pPr>
              <w:shd w:val="clear" w:color="auto" w:fill="FFFFFF"/>
              <w:spacing w:after="0"/>
              <w:rPr>
                <w:rFonts w:eastAsia="Times New Roman" w:cs="Arial"/>
                <w:bCs/>
                <w:szCs w:val="24"/>
              </w:rPr>
            </w:pPr>
            <w:r w:rsidRPr="002628FF">
              <w:rPr>
                <w:rFonts w:eastAsia="Times New Roman" w:cs="Arial"/>
                <w:bCs/>
                <w:szCs w:val="24"/>
              </w:rPr>
              <w:t xml:space="preserve">Lithium is available as lithium carbonate (tablet formulations) and lithium citrate (liquid formulations).  </w:t>
            </w:r>
            <w:r w:rsidR="00965517" w:rsidRPr="002628FF">
              <w:rPr>
                <w:rFonts w:eastAsia="Times New Roman" w:cs="Arial"/>
                <w:bCs/>
                <w:szCs w:val="24"/>
              </w:rPr>
              <w:t xml:space="preserve">Preparations vary widely in bioavailability. </w:t>
            </w:r>
            <w:r w:rsidRPr="002628FF">
              <w:rPr>
                <w:rFonts w:eastAsia="Times New Roman" w:cs="Arial"/>
                <w:bCs/>
                <w:szCs w:val="24"/>
              </w:rPr>
              <w:t>The patient should be maintained on the same brand and formulation of lithium</w:t>
            </w:r>
            <w:r w:rsidR="00965517" w:rsidRPr="002628FF">
              <w:rPr>
                <w:rFonts w:eastAsia="Times New Roman" w:cs="Arial"/>
                <w:bCs/>
                <w:szCs w:val="24"/>
              </w:rPr>
              <w:t>; changing the preparation requires the same precautions as initiation of treatment.</w:t>
            </w:r>
            <w:r w:rsidRPr="002628FF">
              <w:rPr>
                <w:rFonts w:eastAsia="Times New Roman" w:cs="Arial"/>
                <w:bCs/>
                <w:szCs w:val="24"/>
              </w:rPr>
              <w:t xml:space="preserve"> If a </w:t>
            </w:r>
            <w:r w:rsidRPr="002628FF">
              <w:rPr>
                <w:rFonts w:eastAsia="Times New Roman" w:cs="Arial"/>
                <w:bCs/>
                <w:szCs w:val="24"/>
              </w:rPr>
              <w:lastRenderedPageBreak/>
              <w:t>switch in brand or formulation is considered, refer to the specialist team. Lithium tablets and liquids are not interchangeable.</w:t>
            </w:r>
          </w:p>
          <w:p w14:paraId="2520EB4F" w14:textId="77777777" w:rsidR="00D5504F" w:rsidRPr="002628FF" w:rsidRDefault="00D5504F" w:rsidP="00D5504F">
            <w:pPr>
              <w:shd w:val="clear" w:color="auto" w:fill="FFFFFF"/>
              <w:spacing w:after="0"/>
              <w:rPr>
                <w:rFonts w:eastAsia="Times New Roman" w:cs="Arial"/>
                <w:bCs/>
                <w:szCs w:val="24"/>
              </w:rPr>
            </w:pPr>
          </w:p>
          <w:p w14:paraId="7AEFFA1B" w14:textId="77777777" w:rsidR="00D5504F" w:rsidRDefault="00D5504F" w:rsidP="00D5504F">
            <w:pPr>
              <w:shd w:val="clear" w:color="auto" w:fill="FFFFFF"/>
              <w:spacing w:after="0"/>
              <w:rPr>
                <w:rFonts w:eastAsia="Times New Roman" w:cs="Arial"/>
                <w:szCs w:val="24"/>
              </w:rPr>
            </w:pPr>
            <w:r>
              <w:rPr>
                <w:rFonts w:eastAsia="Times New Roman" w:cs="Arial"/>
                <w:b/>
                <w:szCs w:val="24"/>
              </w:rPr>
              <w:t xml:space="preserve">Lithium Carbonate: </w:t>
            </w:r>
          </w:p>
          <w:p w14:paraId="635AD7CA" w14:textId="77777777" w:rsidR="00D5504F" w:rsidRDefault="00D5504F" w:rsidP="00093D5F">
            <w:pPr>
              <w:numPr>
                <w:ilvl w:val="0"/>
                <w:numId w:val="8"/>
              </w:numPr>
              <w:shd w:val="clear" w:color="auto" w:fill="FFFFFF"/>
              <w:spacing w:before="0" w:after="0" w:line="360" w:lineRule="atLeast"/>
              <w:rPr>
                <w:rFonts w:eastAsia="Times New Roman" w:cs="Arial"/>
                <w:szCs w:val="24"/>
              </w:rPr>
            </w:pPr>
            <w:proofErr w:type="spellStart"/>
            <w:r>
              <w:rPr>
                <w:rFonts w:eastAsia="Times New Roman" w:cs="Arial"/>
                <w:szCs w:val="24"/>
              </w:rPr>
              <w:t>Priadel</w:t>
            </w:r>
            <w:proofErr w:type="spellEnd"/>
            <w:r>
              <w:rPr>
                <w:rFonts w:eastAsia="Times New Roman" w:cs="Arial"/>
                <w:szCs w:val="24"/>
              </w:rPr>
              <w:t>® 200 mg and 400 mg prolonged-release tablets</w:t>
            </w:r>
          </w:p>
          <w:p w14:paraId="2F15557F" w14:textId="77777777" w:rsidR="00D5504F" w:rsidRDefault="00D5504F" w:rsidP="00093D5F">
            <w:pPr>
              <w:numPr>
                <w:ilvl w:val="0"/>
                <w:numId w:val="8"/>
              </w:numPr>
              <w:shd w:val="clear" w:color="auto" w:fill="FFFFFF"/>
              <w:spacing w:before="0" w:after="0" w:line="360" w:lineRule="atLeast"/>
              <w:rPr>
                <w:rFonts w:eastAsia="Times New Roman" w:cs="Arial"/>
                <w:szCs w:val="24"/>
              </w:rPr>
            </w:pPr>
            <w:proofErr w:type="spellStart"/>
            <w:r>
              <w:rPr>
                <w:rFonts w:eastAsia="Times New Roman" w:cs="Arial"/>
                <w:szCs w:val="24"/>
              </w:rPr>
              <w:t>Camcolit</w:t>
            </w:r>
            <w:proofErr w:type="spellEnd"/>
            <w:r>
              <w:rPr>
                <w:rFonts w:eastAsia="Times New Roman" w:cs="Arial"/>
                <w:szCs w:val="24"/>
              </w:rPr>
              <w:t>® 400 mg controlled release tablets</w:t>
            </w:r>
          </w:p>
          <w:p w14:paraId="607DBF4D" w14:textId="77777777" w:rsidR="00D5504F" w:rsidRDefault="00D5504F" w:rsidP="00093D5F">
            <w:pPr>
              <w:numPr>
                <w:ilvl w:val="0"/>
                <w:numId w:val="8"/>
              </w:numPr>
              <w:shd w:val="clear" w:color="auto" w:fill="FFFFFF"/>
              <w:spacing w:before="0" w:after="0" w:line="360" w:lineRule="atLeast"/>
              <w:rPr>
                <w:rFonts w:eastAsia="Times New Roman" w:cs="Arial"/>
                <w:szCs w:val="24"/>
              </w:rPr>
            </w:pPr>
            <w:proofErr w:type="spellStart"/>
            <w:r>
              <w:rPr>
                <w:rFonts w:eastAsia="Times New Roman" w:cs="Arial"/>
                <w:szCs w:val="24"/>
              </w:rPr>
              <w:t>Liskonum</w:t>
            </w:r>
            <w:proofErr w:type="spellEnd"/>
            <w:r>
              <w:rPr>
                <w:rFonts w:eastAsia="Times New Roman" w:cs="Arial"/>
                <w:szCs w:val="24"/>
              </w:rPr>
              <w:t>® 450 mg controlled release tablets</w:t>
            </w:r>
          </w:p>
          <w:p w14:paraId="5320E8D4" w14:textId="77777777" w:rsidR="00D5504F" w:rsidRDefault="00D5504F" w:rsidP="00093D5F">
            <w:pPr>
              <w:numPr>
                <w:ilvl w:val="0"/>
                <w:numId w:val="8"/>
              </w:numPr>
              <w:shd w:val="clear" w:color="auto" w:fill="FFFFFF"/>
              <w:spacing w:before="0" w:after="0" w:line="360" w:lineRule="atLeast"/>
              <w:rPr>
                <w:rFonts w:eastAsia="Times New Roman" w:cs="Arial"/>
                <w:szCs w:val="24"/>
              </w:rPr>
            </w:pPr>
            <w:r>
              <w:rPr>
                <w:rFonts w:eastAsia="Times New Roman" w:cs="Arial"/>
                <w:szCs w:val="24"/>
              </w:rPr>
              <w:t>Lithium carbonate Essential Pharma: 250 mg film-coated tablets (immediate release)</w:t>
            </w:r>
          </w:p>
          <w:p w14:paraId="3090F086" w14:textId="77777777" w:rsidR="00D5504F" w:rsidRDefault="00D5504F" w:rsidP="00D5504F">
            <w:pPr>
              <w:shd w:val="clear" w:color="auto" w:fill="FFFFFF"/>
              <w:spacing w:after="0"/>
              <w:rPr>
                <w:rFonts w:eastAsia="Times New Roman" w:cs="Arial"/>
                <w:szCs w:val="24"/>
              </w:rPr>
            </w:pPr>
          </w:p>
          <w:p w14:paraId="4368008C" w14:textId="77777777" w:rsidR="00D5504F" w:rsidRDefault="00D5504F" w:rsidP="00D5504F">
            <w:pPr>
              <w:shd w:val="clear" w:color="auto" w:fill="FFFFFF"/>
              <w:spacing w:after="0"/>
              <w:rPr>
                <w:rFonts w:eastAsia="Times New Roman" w:cs="Arial"/>
                <w:b/>
                <w:szCs w:val="24"/>
              </w:rPr>
            </w:pPr>
            <w:r>
              <w:rPr>
                <w:rFonts w:eastAsia="Times New Roman" w:cs="Arial"/>
                <w:b/>
                <w:szCs w:val="24"/>
              </w:rPr>
              <w:t xml:space="preserve">Lithium Citrate: </w:t>
            </w:r>
          </w:p>
          <w:p w14:paraId="07E9D9B9" w14:textId="32AC850B" w:rsidR="00D5504F" w:rsidRDefault="00D5504F" w:rsidP="00093D5F">
            <w:pPr>
              <w:numPr>
                <w:ilvl w:val="0"/>
                <w:numId w:val="9"/>
              </w:numPr>
              <w:shd w:val="clear" w:color="auto" w:fill="FFFFFF"/>
              <w:spacing w:before="0" w:after="0" w:line="360" w:lineRule="atLeast"/>
              <w:rPr>
                <w:rFonts w:eastAsia="Times New Roman" w:cs="Arial"/>
                <w:szCs w:val="24"/>
              </w:rPr>
            </w:pPr>
            <w:proofErr w:type="spellStart"/>
            <w:r>
              <w:rPr>
                <w:rFonts w:eastAsia="Times New Roman" w:cs="Arial"/>
                <w:szCs w:val="24"/>
              </w:rPr>
              <w:t>Priadel</w:t>
            </w:r>
            <w:proofErr w:type="spellEnd"/>
            <w:r>
              <w:rPr>
                <w:rFonts w:eastAsia="Times New Roman" w:cs="Arial"/>
                <w:szCs w:val="24"/>
              </w:rPr>
              <w:t>® Liquid: 520 mg/5 mL sugar-free, pineapple flavoured syrup</w:t>
            </w:r>
          </w:p>
          <w:p w14:paraId="31524009" w14:textId="1F78C85F" w:rsidR="00D5504F" w:rsidRDefault="00D5504F" w:rsidP="00093D5F">
            <w:pPr>
              <w:numPr>
                <w:ilvl w:val="0"/>
                <w:numId w:val="9"/>
              </w:numPr>
              <w:shd w:val="clear" w:color="auto" w:fill="FFFFFF"/>
              <w:spacing w:before="0" w:after="0" w:line="360" w:lineRule="atLeast"/>
              <w:rPr>
                <w:rFonts w:eastAsia="Times New Roman" w:cs="Arial"/>
                <w:szCs w:val="24"/>
              </w:rPr>
            </w:pPr>
            <w:r>
              <w:rPr>
                <w:rFonts w:eastAsia="Times New Roman" w:cs="Arial"/>
                <w:szCs w:val="24"/>
              </w:rPr>
              <w:t>Li-Liquid®: 509 mg/5 mL and 1,018 mg/5 mL cherry flavoured syrup</w:t>
            </w:r>
          </w:p>
          <w:p w14:paraId="3B6F6B18" w14:textId="77777777" w:rsidR="00D5504F" w:rsidRDefault="00D5504F" w:rsidP="00D5504F">
            <w:pPr>
              <w:shd w:val="clear" w:color="auto" w:fill="FFFFFF"/>
              <w:spacing w:after="0"/>
              <w:rPr>
                <w:rFonts w:eastAsia="Times New Roman" w:cs="Arial"/>
                <w:szCs w:val="24"/>
              </w:rPr>
            </w:pPr>
            <w:r>
              <w:rPr>
                <w:rFonts w:eastAsia="Times New Roman" w:cs="Arial"/>
                <w:szCs w:val="24"/>
              </w:rPr>
              <w:t>Extra care must be taken when prescribing lithium in liquid form, as some offer different strengths (mg/ml) under the same brand name (Li-liquid®) and some brand names (</w:t>
            </w:r>
            <w:proofErr w:type="spellStart"/>
            <w:r>
              <w:rPr>
                <w:rFonts w:eastAsia="Times New Roman" w:cs="Arial"/>
                <w:szCs w:val="24"/>
              </w:rPr>
              <w:t>Priadel</w:t>
            </w:r>
            <w:proofErr w:type="spellEnd"/>
            <w:r>
              <w:rPr>
                <w:rFonts w:eastAsia="Times New Roman" w:cs="Arial"/>
                <w:szCs w:val="24"/>
              </w:rPr>
              <w:t>®) are used for the liquid and tablet forms.</w:t>
            </w:r>
          </w:p>
          <w:p w14:paraId="3C6C38AF" w14:textId="77777777" w:rsidR="00D5504F" w:rsidRDefault="00D5504F" w:rsidP="00D5504F">
            <w:pPr>
              <w:shd w:val="clear" w:color="auto" w:fill="FFFFFF"/>
              <w:spacing w:after="0"/>
              <w:rPr>
                <w:rFonts w:eastAsia="Times New Roman" w:cs="Arial"/>
                <w:szCs w:val="24"/>
              </w:rPr>
            </w:pPr>
          </w:p>
          <w:p w14:paraId="1EC7578F" w14:textId="5A750A15" w:rsidR="00D5504F" w:rsidRDefault="00D5504F" w:rsidP="00D5504F">
            <w:pPr>
              <w:spacing w:after="0"/>
              <w:rPr>
                <w:rFonts w:eastAsia="Times New Roman" w:cs="Arial"/>
                <w:b/>
                <w:iCs/>
                <w:color w:val="000000"/>
                <w:szCs w:val="24"/>
              </w:rPr>
            </w:pPr>
            <w:r>
              <w:rPr>
                <w:rFonts w:eastAsia="Times New Roman" w:cs="Arial"/>
                <w:b/>
                <w:szCs w:val="24"/>
                <w:u w:val="single"/>
              </w:rPr>
              <w:t>Always prescribe lithium by brand name</w:t>
            </w:r>
            <w:r w:rsidR="007A0D6E">
              <w:rPr>
                <w:rFonts w:eastAsia="Times New Roman" w:cs="Arial"/>
                <w:b/>
                <w:szCs w:val="24"/>
                <w:u w:val="single"/>
              </w:rPr>
              <w:t xml:space="preserve"> and form</w:t>
            </w:r>
            <w:r>
              <w:rPr>
                <w:rFonts w:eastAsia="Times New Roman" w:cs="Arial"/>
                <w:b/>
                <w:szCs w:val="24"/>
                <w:u w:val="single"/>
              </w:rPr>
              <w:t>.</w:t>
            </w:r>
            <w:r>
              <w:rPr>
                <w:rFonts w:eastAsia="Times New Roman" w:cs="Arial"/>
                <w:b/>
                <w:iCs/>
                <w:color w:val="000000"/>
                <w:szCs w:val="24"/>
              </w:rPr>
              <w:t xml:space="preserve"> Switching preparation (either between brands of the same form or changing between tablets and liquid) requires additional monitoring to ensure that the 12-hour plasma lithium level remains in the desired range</w:t>
            </w:r>
            <w:r w:rsidR="007A0D6E">
              <w:rPr>
                <w:rFonts w:eastAsia="Times New Roman" w:cs="Arial"/>
                <w:b/>
                <w:iCs/>
                <w:color w:val="000000"/>
                <w:szCs w:val="24"/>
              </w:rPr>
              <w:t xml:space="preserve"> (</w:t>
            </w:r>
            <w:hyperlink w:anchor="six_monitoring" w:history="1">
              <w:r w:rsidR="007A0D6E" w:rsidRPr="007A0D6E">
                <w:rPr>
                  <w:rStyle w:val="Hyperlink"/>
                  <w:rFonts w:eastAsia="Times New Roman" w:cs="Arial"/>
                  <w:b/>
                  <w:iCs/>
                  <w:szCs w:val="24"/>
                </w:rPr>
                <w:t>see section 6</w:t>
              </w:r>
            </w:hyperlink>
            <w:r w:rsidR="007A0D6E">
              <w:rPr>
                <w:rFonts w:eastAsia="Times New Roman" w:cs="Arial"/>
                <w:b/>
                <w:iCs/>
                <w:color w:val="000000"/>
                <w:szCs w:val="24"/>
              </w:rPr>
              <w:t>)</w:t>
            </w:r>
            <w:r>
              <w:rPr>
                <w:rFonts w:eastAsia="Times New Roman" w:cs="Arial"/>
                <w:b/>
                <w:iCs/>
                <w:color w:val="000000"/>
                <w:szCs w:val="24"/>
              </w:rPr>
              <w:t xml:space="preserve">.  </w:t>
            </w:r>
          </w:p>
          <w:p w14:paraId="09C2B9C8" w14:textId="77ABA206" w:rsidR="00D5504F" w:rsidRPr="00F321FC" w:rsidRDefault="00D5504F" w:rsidP="00D5504F">
            <w:pPr>
              <w:rPr>
                <w:rFonts w:cs="Arial"/>
              </w:rPr>
            </w:pPr>
            <w:r>
              <w:rPr>
                <w:rFonts w:eastAsia="Times New Roman" w:cs="Arial"/>
                <w:b/>
                <w:iCs/>
                <w:color w:val="000000"/>
                <w:szCs w:val="24"/>
              </w:rPr>
              <w:t>Particular care should be taken if prescribing liquid preparations</w:t>
            </w:r>
            <w:r w:rsidR="007A0D6E">
              <w:rPr>
                <w:rFonts w:eastAsia="Times New Roman" w:cs="Arial"/>
                <w:b/>
                <w:iCs/>
                <w:color w:val="000000"/>
                <w:szCs w:val="24"/>
              </w:rPr>
              <w:t>. L</w:t>
            </w:r>
            <w:r>
              <w:rPr>
                <w:rFonts w:eastAsia="Times New Roman" w:cs="Arial"/>
                <w:b/>
                <w:iCs/>
                <w:color w:val="000000"/>
                <w:szCs w:val="24"/>
              </w:rPr>
              <w:t>ack of clarity may lead to the patient receiving a sub-therapeutic or toxic dose.</w:t>
            </w:r>
          </w:p>
        </w:tc>
      </w:tr>
      <w:tr w:rsidR="00D5504F" w:rsidRPr="00F321FC" w14:paraId="4D08654E" w14:textId="77777777" w:rsidTr="000B18BF">
        <w:trPr>
          <w:cantSplit/>
        </w:trPr>
        <w:tc>
          <w:tcPr>
            <w:tcW w:w="2410" w:type="dxa"/>
          </w:tcPr>
          <w:p w14:paraId="5807ABCD" w14:textId="7BDA162B" w:rsidR="00D5504F" w:rsidRPr="00F321FC" w:rsidRDefault="00D5504F" w:rsidP="00D5504F">
            <w:pPr>
              <w:rPr>
                <w:rFonts w:cs="Arial"/>
              </w:rPr>
            </w:pPr>
            <w:r w:rsidRPr="00F321FC">
              <w:rPr>
                <w:rFonts w:cs="Arial"/>
              </w:rPr>
              <w:lastRenderedPageBreak/>
              <w:t>Administration details:</w:t>
            </w:r>
          </w:p>
        </w:tc>
        <w:tc>
          <w:tcPr>
            <w:tcW w:w="8080" w:type="dxa"/>
            <w:vAlign w:val="center"/>
          </w:tcPr>
          <w:p w14:paraId="49E78813" w14:textId="77777777" w:rsidR="00D5504F" w:rsidRDefault="00D5504F" w:rsidP="00D5504F">
            <w:pPr>
              <w:spacing w:after="120"/>
              <w:rPr>
                <w:rFonts w:eastAsia="Times New Roman" w:cs="Arial"/>
                <w:szCs w:val="24"/>
                <w:lang w:eastAsia="en-GB"/>
              </w:rPr>
            </w:pPr>
            <w:r>
              <w:rPr>
                <w:rFonts w:eastAsia="Times New Roman" w:cs="Arial"/>
                <w:szCs w:val="24"/>
                <w:lang w:eastAsia="en-GB"/>
              </w:rPr>
              <w:t xml:space="preserve">Consistency is paramount in lithium treatment and monitoring. Doses should be taken regularly, at the same time every day.  Lithium carbonate tablets should not be crushed or chewed. </w:t>
            </w:r>
          </w:p>
          <w:p w14:paraId="525C1EF0" w14:textId="77777777" w:rsidR="00D5504F" w:rsidRDefault="00D5504F" w:rsidP="00D5504F">
            <w:pPr>
              <w:spacing w:after="120"/>
              <w:rPr>
                <w:rFonts w:eastAsia="Times New Roman" w:cs="Arial"/>
                <w:szCs w:val="24"/>
                <w:lang w:eastAsia="en-GB"/>
              </w:rPr>
            </w:pPr>
            <w:proofErr w:type="spellStart"/>
            <w:r>
              <w:rPr>
                <w:rFonts w:eastAsia="Times New Roman" w:cs="Arial"/>
                <w:szCs w:val="24"/>
                <w:lang w:eastAsia="en-GB"/>
              </w:rPr>
              <w:t>Priadel</w:t>
            </w:r>
            <w:proofErr w:type="spellEnd"/>
            <w:r>
              <w:rPr>
                <w:rFonts w:eastAsia="Times New Roman" w:cs="Arial"/>
                <w:szCs w:val="24"/>
                <w:lang w:eastAsia="en-GB"/>
              </w:rPr>
              <w:t>® 200mg and 400mg tablets have score lines and can be divided accurately to provide dosage requirements as small as 100mg within product license.</w:t>
            </w:r>
          </w:p>
          <w:p w14:paraId="331BB574" w14:textId="77777777" w:rsidR="00D5504F" w:rsidRDefault="00D5504F" w:rsidP="00D5504F">
            <w:pPr>
              <w:spacing w:after="120"/>
              <w:rPr>
                <w:rFonts w:eastAsia="Times New Roman" w:cs="Arial"/>
                <w:szCs w:val="24"/>
                <w:lang w:eastAsia="en-GB"/>
              </w:rPr>
            </w:pPr>
            <w:proofErr w:type="spellStart"/>
            <w:r>
              <w:rPr>
                <w:rFonts w:eastAsia="Times New Roman" w:cs="Arial"/>
                <w:szCs w:val="24"/>
                <w:lang w:eastAsia="en-GB"/>
              </w:rPr>
              <w:t>Liskonum</w:t>
            </w:r>
            <w:proofErr w:type="spellEnd"/>
            <w:r>
              <w:rPr>
                <w:rFonts w:eastAsia="Times New Roman" w:cs="Arial"/>
                <w:szCs w:val="24"/>
                <w:lang w:eastAsia="en-GB"/>
              </w:rPr>
              <w:t>® 450mg tablets are licensed to be halved for the purposes of dose adjustment.</w:t>
            </w:r>
          </w:p>
          <w:p w14:paraId="3956ABC5" w14:textId="48826C33" w:rsidR="00D5504F" w:rsidRPr="00F321FC" w:rsidRDefault="00D5504F" w:rsidP="00D5504F">
            <w:pPr>
              <w:rPr>
                <w:rFonts w:cs="Arial"/>
              </w:rPr>
            </w:pPr>
            <w:r>
              <w:rPr>
                <w:rFonts w:eastAsia="Times New Roman" w:cs="Arial"/>
                <w:szCs w:val="24"/>
                <w:lang w:eastAsia="en-GB"/>
              </w:rPr>
              <w:t>Other brands may be scored to facilitate breaking for ease of swallowing, but not to divide into equal doses. Breaking these tablets is not expected to alter their release properties but the accuracy of the division is not established</w:t>
            </w:r>
            <w:r w:rsidR="007A0D6E">
              <w:rPr>
                <w:rFonts w:eastAsia="Times New Roman" w:cs="Arial"/>
                <w:szCs w:val="24"/>
                <w:lang w:eastAsia="en-GB"/>
              </w:rPr>
              <w:t>.</w:t>
            </w:r>
          </w:p>
        </w:tc>
      </w:tr>
      <w:tr w:rsidR="00D5504F" w:rsidRPr="00F321FC" w14:paraId="1BF5C41D" w14:textId="77777777" w:rsidTr="000B18BF">
        <w:trPr>
          <w:cantSplit/>
        </w:trPr>
        <w:tc>
          <w:tcPr>
            <w:tcW w:w="2410" w:type="dxa"/>
          </w:tcPr>
          <w:p w14:paraId="00D209C3" w14:textId="4AA020DB" w:rsidR="00D5504F" w:rsidRPr="00F321FC" w:rsidRDefault="00D5504F" w:rsidP="00D5504F">
            <w:pPr>
              <w:rPr>
                <w:rFonts w:cs="Arial"/>
              </w:rPr>
            </w:pPr>
            <w:r>
              <w:rPr>
                <w:rFonts w:cs="Arial"/>
              </w:rPr>
              <w:t xml:space="preserve">Other important information: </w:t>
            </w:r>
          </w:p>
        </w:tc>
        <w:tc>
          <w:tcPr>
            <w:tcW w:w="8080" w:type="dxa"/>
            <w:vAlign w:val="center"/>
          </w:tcPr>
          <w:p w14:paraId="1229BCAB" w14:textId="7C76ADAA" w:rsidR="00D5504F" w:rsidRDefault="00D5504F" w:rsidP="004D6BB2">
            <w:pPr>
              <w:pStyle w:val="Heading3"/>
              <w:spacing w:before="0"/>
              <w:outlineLvl w:val="2"/>
              <w:rPr>
                <w:rFonts w:eastAsiaTheme="minorHAnsi"/>
                <w:b w:val="0"/>
                <w:bCs/>
              </w:rPr>
            </w:pPr>
            <w:r>
              <w:rPr>
                <w:rFonts w:eastAsiaTheme="minorHAnsi"/>
                <w:b w:val="0"/>
                <w:bCs/>
              </w:rPr>
              <w:t>If a dose is missed, then the next scheduled dose should be taken as usual</w:t>
            </w:r>
            <w:r w:rsidR="007A0D6E">
              <w:rPr>
                <w:rFonts w:eastAsiaTheme="minorHAnsi"/>
                <w:b w:val="0"/>
                <w:bCs/>
              </w:rPr>
              <w:t xml:space="preserve"> if remembered within 6 hours</w:t>
            </w:r>
            <w:r>
              <w:rPr>
                <w:rFonts w:eastAsiaTheme="minorHAnsi"/>
                <w:b w:val="0"/>
                <w:bCs/>
              </w:rPr>
              <w:t xml:space="preserve">; a double dose should not be taken to make up for a missed dose. </w:t>
            </w:r>
          </w:p>
          <w:p w14:paraId="14CD1D9D" w14:textId="6637B27A" w:rsidR="00D5504F" w:rsidRPr="001A51F3" w:rsidRDefault="00D5504F" w:rsidP="004D6BB2">
            <w:pPr>
              <w:autoSpaceDE w:val="0"/>
              <w:autoSpaceDN w:val="0"/>
              <w:adjustRightInd w:val="0"/>
              <w:rPr>
                <w:rFonts w:eastAsia="Times New Roman" w:cstheme="minorHAnsi"/>
                <w:szCs w:val="24"/>
                <w:lang w:eastAsia="en-GB"/>
              </w:rPr>
            </w:pPr>
            <w:r>
              <w:rPr>
                <w:rFonts w:cstheme="minorHAnsi"/>
                <w:bCs/>
                <w:iCs/>
                <w:szCs w:val="24"/>
                <w:lang w:eastAsia="en-GB"/>
              </w:rPr>
              <w:t>For a given total daily dose, 12-hour plasma lithium levels will differ for once versus twice daily dosing schedules. The schedule should be determined by the specialist and not altered without their advice.</w:t>
            </w:r>
          </w:p>
        </w:tc>
      </w:tr>
    </w:tbl>
    <w:p w14:paraId="55B80F32" w14:textId="77777777" w:rsidR="0051526F" w:rsidRDefault="0051526F"/>
    <w:p w14:paraId="6DB2B26C" w14:textId="77777777" w:rsidR="0051526F" w:rsidRDefault="0051526F"/>
    <w:p w14:paraId="2699777B"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407"/>
        <w:gridCol w:w="8054"/>
      </w:tblGrid>
      <w:tr w:rsidR="00F132AA" w:rsidRPr="00F321FC" w14:paraId="4A999C67" w14:textId="77777777" w:rsidTr="0051526F">
        <w:tc>
          <w:tcPr>
            <w:tcW w:w="2204" w:type="dxa"/>
          </w:tcPr>
          <w:p w14:paraId="6BB97933" w14:textId="5394937C" w:rsidR="00F132AA" w:rsidRPr="00F321FC" w:rsidRDefault="00BA2628" w:rsidP="00BA2628">
            <w:pPr>
              <w:pStyle w:val="Heading2"/>
              <w:outlineLvl w:val="1"/>
              <w:rPr>
                <w:rFonts w:cs="Arial"/>
              </w:rPr>
            </w:pPr>
            <w:bookmarkStart w:id="14" w:name="eight_cautions_cx"/>
            <w:bookmarkStart w:id="15" w:name="_Toc149231792"/>
            <w:r w:rsidRPr="00F321FC">
              <w:rPr>
                <w:rFonts w:cs="Arial"/>
              </w:rPr>
              <w:lastRenderedPageBreak/>
              <w:t>C</w:t>
            </w:r>
            <w:r w:rsidR="0041687B">
              <w:rPr>
                <w:rFonts w:cs="Arial"/>
              </w:rPr>
              <w:t>autions and c</w:t>
            </w:r>
            <w:r w:rsidRPr="00F321FC">
              <w:rPr>
                <w:rFonts w:cs="Arial"/>
              </w:rPr>
              <w:t>ontraindications</w:t>
            </w:r>
            <w:bookmarkEnd w:id="14"/>
            <w:bookmarkEnd w:id="15"/>
          </w:p>
        </w:tc>
        <w:tc>
          <w:tcPr>
            <w:tcW w:w="8257" w:type="dxa"/>
          </w:tcPr>
          <w:p w14:paraId="6C8F1AB5" w14:textId="67CE65B7" w:rsidR="00F132AA" w:rsidRDefault="00FB404F" w:rsidP="00FB404F">
            <w:pPr>
              <w:rPr>
                <w:rFonts w:cs="Arial"/>
              </w:rPr>
            </w:pPr>
            <w:r w:rsidRPr="00FB404F">
              <w:rPr>
                <w:rFonts w:cs="Arial"/>
              </w:rPr>
              <w:t xml:space="preserve">This information does not replace the Summary of Product Characteristics (SPC), and should be read in conjunction with it. Please see </w:t>
            </w:r>
            <w:hyperlink r:id="rId15" w:history="1">
              <w:r w:rsidRPr="00704723">
                <w:rPr>
                  <w:rStyle w:val="Hyperlink"/>
                  <w:rFonts w:cs="Arial"/>
                </w:rPr>
                <w:t>BNF</w:t>
              </w:r>
            </w:hyperlink>
            <w:r w:rsidRPr="00FB404F">
              <w:rPr>
                <w:rFonts w:cs="Arial"/>
              </w:rPr>
              <w:t xml:space="preserve"> &amp; </w:t>
            </w:r>
            <w:hyperlink r:id="rId16" w:history="1">
              <w:r w:rsidRPr="00704723">
                <w:rPr>
                  <w:rStyle w:val="Hyperlink"/>
                  <w:rFonts w:cs="Arial"/>
                </w:rPr>
                <w:t>SPC</w:t>
              </w:r>
            </w:hyperlink>
            <w:r w:rsidRPr="00FB404F">
              <w:rPr>
                <w:rFonts w:cs="Arial"/>
              </w:rPr>
              <w:t xml:space="preserve"> for comprehensive information.</w:t>
            </w:r>
          </w:p>
          <w:p w14:paraId="004A4D13" w14:textId="77777777" w:rsidR="00FB404F" w:rsidRDefault="00FB404F" w:rsidP="00FB404F">
            <w:pPr>
              <w:rPr>
                <w:rFonts w:cs="Arial"/>
              </w:rPr>
            </w:pPr>
          </w:p>
          <w:p w14:paraId="5074DDE0" w14:textId="77777777" w:rsidR="00FB404F" w:rsidRDefault="00FB404F" w:rsidP="00FB404F">
            <w:pPr>
              <w:rPr>
                <w:rFonts w:cs="Arial"/>
                <w:b/>
                <w:bCs/>
              </w:rPr>
            </w:pPr>
            <w:r>
              <w:rPr>
                <w:rFonts w:cs="Arial"/>
                <w:b/>
                <w:bCs/>
              </w:rPr>
              <w:t xml:space="preserve">Contraindications: </w:t>
            </w:r>
          </w:p>
          <w:p w14:paraId="6AE3A847" w14:textId="2CC69B82" w:rsidR="00D5504F" w:rsidRPr="00D5504F" w:rsidRDefault="00D5504F" w:rsidP="00093D5F">
            <w:pPr>
              <w:pStyle w:val="ListParagraph"/>
              <w:numPr>
                <w:ilvl w:val="0"/>
                <w:numId w:val="10"/>
              </w:numPr>
              <w:rPr>
                <w:rFonts w:cs="Arial"/>
              </w:rPr>
            </w:pPr>
            <w:r w:rsidRPr="00D5504F">
              <w:rPr>
                <w:rFonts w:cs="Arial"/>
              </w:rPr>
              <w:t>Hypersensitivity to lithium or any of the excipients</w:t>
            </w:r>
          </w:p>
          <w:p w14:paraId="3ABB9644" w14:textId="5D3059CB" w:rsidR="00D5504F" w:rsidRPr="00D5504F" w:rsidRDefault="00D5504F" w:rsidP="00093D5F">
            <w:pPr>
              <w:pStyle w:val="ListParagraph"/>
              <w:numPr>
                <w:ilvl w:val="0"/>
                <w:numId w:val="10"/>
              </w:numPr>
              <w:rPr>
                <w:rFonts w:cs="Arial"/>
              </w:rPr>
            </w:pPr>
            <w:r w:rsidRPr="00D5504F">
              <w:rPr>
                <w:rFonts w:cs="Arial"/>
              </w:rPr>
              <w:t>Addison’s disease</w:t>
            </w:r>
          </w:p>
          <w:p w14:paraId="49808CE3" w14:textId="64A93D70" w:rsidR="00D5504F" w:rsidRPr="00D5504F" w:rsidRDefault="00D5504F" w:rsidP="00093D5F">
            <w:pPr>
              <w:pStyle w:val="ListParagraph"/>
              <w:numPr>
                <w:ilvl w:val="0"/>
                <w:numId w:val="10"/>
              </w:numPr>
              <w:rPr>
                <w:rFonts w:cs="Arial"/>
              </w:rPr>
            </w:pPr>
            <w:r w:rsidRPr="00D5504F">
              <w:rPr>
                <w:rFonts w:cs="Arial"/>
              </w:rPr>
              <w:t>Cardiac disease associated with rhythm disorder</w:t>
            </w:r>
          </w:p>
          <w:p w14:paraId="63A9C6AA" w14:textId="65EA9977" w:rsidR="00D5504F" w:rsidRPr="00D5504F" w:rsidRDefault="00D5504F" w:rsidP="00093D5F">
            <w:pPr>
              <w:pStyle w:val="ListParagraph"/>
              <w:numPr>
                <w:ilvl w:val="0"/>
                <w:numId w:val="10"/>
              </w:numPr>
              <w:rPr>
                <w:rFonts w:cs="Arial"/>
              </w:rPr>
            </w:pPr>
            <w:r w:rsidRPr="00D5504F">
              <w:rPr>
                <w:rFonts w:cs="Arial"/>
              </w:rPr>
              <w:t xml:space="preserve">Cardiac insufficiency </w:t>
            </w:r>
          </w:p>
          <w:p w14:paraId="03375EAC" w14:textId="6FF93FA1" w:rsidR="00D5504F" w:rsidRPr="00D5504F" w:rsidRDefault="00D5504F" w:rsidP="00093D5F">
            <w:pPr>
              <w:pStyle w:val="ListParagraph"/>
              <w:numPr>
                <w:ilvl w:val="0"/>
                <w:numId w:val="10"/>
              </w:numPr>
              <w:rPr>
                <w:rFonts w:cs="Arial"/>
              </w:rPr>
            </w:pPr>
            <w:r w:rsidRPr="00D5504F">
              <w:rPr>
                <w:rFonts w:cs="Arial"/>
              </w:rPr>
              <w:t>Family or personal history of Brugada syndrome</w:t>
            </w:r>
          </w:p>
          <w:p w14:paraId="7E37AA12" w14:textId="2A90BCCB" w:rsidR="00D5504F" w:rsidRPr="00D5504F" w:rsidRDefault="00D5504F" w:rsidP="00093D5F">
            <w:pPr>
              <w:pStyle w:val="ListParagraph"/>
              <w:numPr>
                <w:ilvl w:val="0"/>
                <w:numId w:val="10"/>
              </w:numPr>
              <w:rPr>
                <w:rFonts w:cs="Arial"/>
              </w:rPr>
            </w:pPr>
            <w:r w:rsidRPr="00D5504F">
              <w:rPr>
                <w:rFonts w:cs="Arial"/>
              </w:rPr>
              <w:t>Patients with abnormal sodium levels, including dehydrated patients or those on low sodium diets</w:t>
            </w:r>
          </w:p>
          <w:p w14:paraId="38848095" w14:textId="14D24F92" w:rsidR="00D5504F" w:rsidRPr="00D5504F" w:rsidRDefault="00D5504F" w:rsidP="00093D5F">
            <w:pPr>
              <w:pStyle w:val="ListParagraph"/>
              <w:numPr>
                <w:ilvl w:val="0"/>
                <w:numId w:val="10"/>
              </w:numPr>
              <w:rPr>
                <w:rFonts w:cs="Arial"/>
              </w:rPr>
            </w:pPr>
            <w:r w:rsidRPr="00D5504F">
              <w:rPr>
                <w:rFonts w:cs="Arial"/>
              </w:rPr>
              <w:t>Untreated hypothyroidism</w:t>
            </w:r>
          </w:p>
          <w:p w14:paraId="4E45B144" w14:textId="72E58C1A" w:rsidR="00D5504F" w:rsidRPr="00D5504F" w:rsidRDefault="00D5504F" w:rsidP="00093D5F">
            <w:pPr>
              <w:pStyle w:val="ListParagraph"/>
              <w:numPr>
                <w:ilvl w:val="0"/>
                <w:numId w:val="10"/>
              </w:numPr>
              <w:rPr>
                <w:rFonts w:cs="Arial"/>
              </w:rPr>
            </w:pPr>
            <w:r w:rsidRPr="00D5504F">
              <w:rPr>
                <w:rFonts w:cs="Arial"/>
              </w:rPr>
              <w:t xml:space="preserve">Severe renal impairment </w:t>
            </w:r>
          </w:p>
          <w:p w14:paraId="62AE4F13" w14:textId="0089EBF7" w:rsidR="00D5504F" w:rsidRPr="00D5504F" w:rsidRDefault="00D5504F" w:rsidP="00093D5F">
            <w:pPr>
              <w:pStyle w:val="ListParagraph"/>
              <w:numPr>
                <w:ilvl w:val="0"/>
                <w:numId w:val="10"/>
              </w:numPr>
              <w:rPr>
                <w:rFonts w:cs="Arial"/>
              </w:rPr>
            </w:pPr>
            <w:r w:rsidRPr="00D5504F">
              <w:rPr>
                <w:rFonts w:cs="Arial"/>
              </w:rPr>
              <w:t>Pregnancy (especially the first trimester), unless considered essential</w:t>
            </w:r>
          </w:p>
          <w:p w14:paraId="2C678D4C" w14:textId="4080D759" w:rsidR="001A51F3" w:rsidRPr="00D5504F" w:rsidRDefault="00D5504F" w:rsidP="00093D5F">
            <w:pPr>
              <w:pStyle w:val="ListParagraph"/>
              <w:numPr>
                <w:ilvl w:val="0"/>
                <w:numId w:val="10"/>
              </w:numPr>
              <w:rPr>
                <w:rFonts w:cs="Arial"/>
              </w:rPr>
            </w:pPr>
            <w:r w:rsidRPr="00D5504F">
              <w:rPr>
                <w:rFonts w:cs="Arial"/>
              </w:rPr>
              <w:t>Breastfeeding</w:t>
            </w:r>
          </w:p>
          <w:p w14:paraId="1A4D3424" w14:textId="77777777" w:rsidR="007A56FB" w:rsidRPr="001A51F3" w:rsidRDefault="007A56FB" w:rsidP="001A51F3">
            <w:pPr>
              <w:rPr>
                <w:rFonts w:cs="Arial"/>
              </w:rPr>
            </w:pPr>
          </w:p>
          <w:p w14:paraId="14A2CAB8" w14:textId="77777777" w:rsidR="00FB404F" w:rsidRPr="00FB404F" w:rsidRDefault="00FB404F" w:rsidP="00FB404F">
            <w:pPr>
              <w:rPr>
                <w:rFonts w:cs="Arial"/>
                <w:b/>
                <w:bCs/>
              </w:rPr>
            </w:pPr>
            <w:r w:rsidRPr="00FB404F">
              <w:rPr>
                <w:rFonts w:cs="Arial"/>
                <w:b/>
                <w:bCs/>
              </w:rPr>
              <w:t>Cautions:</w:t>
            </w:r>
          </w:p>
          <w:p w14:paraId="7B3DF06A" w14:textId="15BF5F94" w:rsidR="00704723" w:rsidRPr="00704723" w:rsidRDefault="00704723" w:rsidP="00093D5F">
            <w:pPr>
              <w:pStyle w:val="ListParagraph"/>
              <w:numPr>
                <w:ilvl w:val="0"/>
                <w:numId w:val="11"/>
              </w:numPr>
              <w:rPr>
                <w:rFonts w:cs="Arial"/>
              </w:rPr>
            </w:pPr>
            <w:r w:rsidRPr="00704723">
              <w:rPr>
                <w:rFonts w:cs="Arial"/>
              </w:rPr>
              <w:t xml:space="preserve">Mild to moderate renal impairment </w:t>
            </w:r>
          </w:p>
          <w:p w14:paraId="123D1569" w14:textId="69F3CBBD" w:rsidR="00704723" w:rsidRPr="00704723" w:rsidRDefault="00704723" w:rsidP="00093D5F">
            <w:pPr>
              <w:pStyle w:val="ListParagraph"/>
              <w:numPr>
                <w:ilvl w:val="0"/>
                <w:numId w:val="11"/>
              </w:numPr>
              <w:rPr>
                <w:rFonts w:cs="Arial"/>
              </w:rPr>
            </w:pPr>
            <w:r w:rsidRPr="00704723">
              <w:rPr>
                <w:rFonts w:cs="Arial"/>
              </w:rPr>
              <w:t>Use in elderly patients</w:t>
            </w:r>
            <w:r w:rsidR="00532444">
              <w:rPr>
                <w:rFonts w:cs="Arial"/>
              </w:rPr>
              <w:t xml:space="preserve"> – dose reduction required</w:t>
            </w:r>
          </w:p>
          <w:p w14:paraId="4C6B1D35" w14:textId="0E73C541" w:rsidR="00704723" w:rsidRPr="00704723" w:rsidRDefault="00704723" w:rsidP="00093D5F">
            <w:pPr>
              <w:pStyle w:val="ListParagraph"/>
              <w:numPr>
                <w:ilvl w:val="0"/>
                <w:numId w:val="11"/>
              </w:numPr>
              <w:rPr>
                <w:rFonts w:cs="Arial"/>
              </w:rPr>
            </w:pPr>
            <w:r w:rsidRPr="00704723">
              <w:rPr>
                <w:rFonts w:cs="Arial"/>
              </w:rPr>
              <w:t xml:space="preserve">Adequate and stable sodium and fluid intake should be maintained. This may be of special importance in hot weather, or during infectious diseases, including influenza, </w:t>
            </w:r>
            <w:r w:rsidR="00532444">
              <w:rPr>
                <w:rFonts w:cs="Arial"/>
              </w:rPr>
              <w:t>diarrhoea and/or vomiting, profuse sweating</w:t>
            </w:r>
            <w:r w:rsidRPr="00704723">
              <w:rPr>
                <w:rFonts w:cs="Arial"/>
              </w:rPr>
              <w:t xml:space="preserve"> or urinary infections, when dose reduction may be required</w:t>
            </w:r>
          </w:p>
          <w:p w14:paraId="0DED0EA8" w14:textId="06F1B17C" w:rsidR="00E57429" w:rsidRDefault="00E57429" w:rsidP="00093D5F">
            <w:pPr>
              <w:pStyle w:val="ListParagraph"/>
              <w:numPr>
                <w:ilvl w:val="0"/>
                <w:numId w:val="11"/>
              </w:numPr>
              <w:rPr>
                <w:rFonts w:cs="Arial"/>
              </w:rPr>
            </w:pPr>
            <w:r w:rsidRPr="00E57429">
              <w:rPr>
                <w:rFonts w:cs="Arial"/>
              </w:rPr>
              <w:t>Concomitant use of drugs likely to upset electrolyte balance e.g. diuretics</w:t>
            </w:r>
          </w:p>
          <w:p w14:paraId="5E58868F" w14:textId="1F974A30" w:rsidR="00E57429" w:rsidRPr="00704723" w:rsidRDefault="00E57429" w:rsidP="00093D5F">
            <w:pPr>
              <w:pStyle w:val="ListParagraph"/>
              <w:numPr>
                <w:ilvl w:val="0"/>
                <w:numId w:val="11"/>
              </w:numPr>
              <w:rPr>
                <w:rFonts w:cs="Arial"/>
              </w:rPr>
            </w:pPr>
            <w:r>
              <w:rPr>
                <w:rFonts w:cs="Arial"/>
              </w:rPr>
              <w:t>Diabetes insipidus</w:t>
            </w:r>
          </w:p>
          <w:p w14:paraId="41007A58" w14:textId="7801901A" w:rsidR="00704723" w:rsidRPr="00704723" w:rsidRDefault="00704723" w:rsidP="00093D5F">
            <w:pPr>
              <w:pStyle w:val="ListParagraph"/>
              <w:numPr>
                <w:ilvl w:val="0"/>
                <w:numId w:val="11"/>
              </w:numPr>
              <w:rPr>
                <w:rFonts w:cs="Arial"/>
              </w:rPr>
            </w:pPr>
            <w:r w:rsidRPr="00704723">
              <w:rPr>
                <w:rFonts w:cs="Arial"/>
              </w:rPr>
              <w:t>Risk of seizures may be increased if co-administered with drugs that lower the seizure threshold, or in patients with epilepsy</w:t>
            </w:r>
            <w:r w:rsidR="00122347">
              <w:rPr>
                <w:rFonts w:cs="Arial"/>
              </w:rPr>
              <w:t>, or those receiving electroconvulsive therapy</w:t>
            </w:r>
          </w:p>
          <w:p w14:paraId="4A6268C5" w14:textId="28B543E8" w:rsidR="00704723" w:rsidRDefault="00704723" w:rsidP="00E57429">
            <w:pPr>
              <w:pStyle w:val="ListParagraph"/>
              <w:numPr>
                <w:ilvl w:val="0"/>
                <w:numId w:val="11"/>
              </w:numPr>
              <w:spacing w:line="259" w:lineRule="auto"/>
              <w:rPr>
                <w:rFonts w:cs="Arial"/>
              </w:rPr>
            </w:pPr>
            <w:r w:rsidRPr="00E57429">
              <w:rPr>
                <w:rFonts w:cs="Arial"/>
              </w:rPr>
              <w:t>Cardiac disease</w:t>
            </w:r>
            <w:r w:rsidR="00E57429" w:rsidRPr="00E57429">
              <w:rPr>
                <w:rFonts w:cs="Arial"/>
              </w:rPr>
              <w:t xml:space="preserve">, including </w:t>
            </w:r>
            <w:r w:rsidR="00E57429">
              <w:rPr>
                <w:rFonts w:cs="Arial"/>
              </w:rPr>
              <w:t>c</w:t>
            </w:r>
            <w:r w:rsidR="00E57429" w:rsidRPr="00E57429">
              <w:rPr>
                <w:rFonts w:cs="Arial"/>
              </w:rPr>
              <w:t xml:space="preserve">ongenital long QT syndrome </w:t>
            </w:r>
            <w:r w:rsidR="00E57429">
              <w:rPr>
                <w:rFonts w:cs="Arial"/>
              </w:rPr>
              <w:t>or</w:t>
            </w:r>
            <w:r w:rsidR="00E57429" w:rsidRPr="00E57429">
              <w:rPr>
                <w:rFonts w:cs="Arial"/>
              </w:rPr>
              <w:t xml:space="preserve"> risk factors for QT prolongation</w:t>
            </w:r>
          </w:p>
          <w:p w14:paraId="5291BB16" w14:textId="3169F75B" w:rsidR="00E57429" w:rsidRDefault="00E57429" w:rsidP="00E57429">
            <w:pPr>
              <w:pStyle w:val="ListParagraph"/>
              <w:numPr>
                <w:ilvl w:val="0"/>
                <w:numId w:val="11"/>
              </w:numPr>
              <w:spacing w:line="259" w:lineRule="auto"/>
              <w:rPr>
                <w:rFonts w:cs="Arial"/>
              </w:rPr>
            </w:pPr>
            <w:r>
              <w:rPr>
                <w:rFonts w:cs="Arial"/>
              </w:rPr>
              <w:t>Bariatric surgery</w:t>
            </w:r>
          </w:p>
          <w:p w14:paraId="4D2951DB" w14:textId="74A2BEF4" w:rsidR="00E57429" w:rsidRDefault="00E57429" w:rsidP="00E57429">
            <w:pPr>
              <w:pStyle w:val="ListParagraph"/>
              <w:numPr>
                <w:ilvl w:val="0"/>
                <w:numId w:val="11"/>
              </w:numPr>
              <w:spacing w:line="259" w:lineRule="auto"/>
              <w:rPr>
                <w:rFonts w:cs="Arial"/>
              </w:rPr>
            </w:pPr>
            <w:r>
              <w:rPr>
                <w:rFonts w:cs="Arial"/>
              </w:rPr>
              <w:t>People who refuse regular blood tests</w:t>
            </w:r>
          </w:p>
          <w:p w14:paraId="2B01580F" w14:textId="058A3AA3" w:rsidR="00E57429" w:rsidRPr="00E57429" w:rsidRDefault="00E57429" w:rsidP="00E57429">
            <w:pPr>
              <w:pStyle w:val="ListParagraph"/>
              <w:numPr>
                <w:ilvl w:val="0"/>
                <w:numId w:val="11"/>
              </w:numPr>
              <w:spacing w:line="259" w:lineRule="auto"/>
              <w:rPr>
                <w:rFonts w:cs="Arial"/>
              </w:rPr>
            </w:pPr>
            <w:r>
              <w:rPr>
                <w:rFonts w:cs="Arial"/>
              </w:rPr>
              <w:t>People who are at high risk of taking an overdose, either intentionally or unintentionally</w:t>
            </w:r>
          </w:p>
          <w:p w14:paraId="3C5A2F80" w14:textId="17DAE6E3" w:rsidR="00704723" w:rsidRPr="00704723" w:rsidRDefault="00704723" w:rsidP="00093D5F">
            <w:pPr>
              <w:pStyle w:val="ListParagraph"/>
              <w:numPr>
                <w:ilvl w:val="0"/>
                <w:numId w:val="11"/>
              </w:numPr>
              <w:rPr>
                <w:rFonts w:cs="Arial"/>
              </w:rPr>
            </w:pPr>
            <w:r w:rsidRPr="00704723">
              <w:rPr>
                <w:rFonts w:cs="Arial"/>
              </w:rPr>
              <w:t>May exacerbate psoriasis</w:t>
            </w:r>
          </w:p>
          <w:p w14:paraId="456B90AA" w14:textId="4901C5AC" w:rsidR="00FE3EEF" w:rsidRPr="00704723" w:rsidRDefault="00704723" w:rsidP="00093D5F">
            <w:pPr>
              <w:pStyle w:val="ListParagraph"/>
              <w:numPr>
                <w:ilvl w:val="0"/>
                <w:numId w:val="11"/>
              </w:numPr>
              <w:rPr>
                <w:rFonts w:cs="Arial"/>
              </w:rPr>
            </w:pPr>
            <w:r w:rsidRPr="00704723">
              <w:rPr>
                <w:rFonts w:cs="Arial"/>
              </w:rPr>
              <w:t>Surgery: discontinue 24 hours prior to major surgery and re-commence post-operatively once kidney function and fluid-electrolyte balance is normalised.  Discontinuation is not required prior to minor surgery, providing fluids and electrolytes are carefully monitored</w:t>
            </w:r>
          </w:p>
        </w:tc>
      </w:tr>
      <w:tr w:rsidR="00F132AA" w:rsidRPr="00F321FC" w14:paraId="11E3D793" w14:textId="77777777" w:rsidTr="0051526F">
        <w:tc>
          <w:tcPr>
            <w:tcW w:w="2204" w:type="dxa"/>
          </w:tcPr>
          <w:p w14:paraId="1E8C8FBF" w14:textId="3ED10190" w:rsidR="00F132AA" w:rsidRPr="00F321FC" w:rsidRDefault="0098487D" w:rsidP="0098487D">
            <w:pPr>
              <w:pStyle w:val="Heading2"/>
              <w:outlineLvl w:val="1"/>
              <w:rPr>
                <w:rFonts w:cs="Arial"/>
              </w:rPr>
            </w:pPr>
            <w:bookmarkStart w:id="16" w:name="nine_interactions"/>
            <w:bookmarkStart w:id="17" w:name="_Toc149231793"/>
            <w:r w:rsidRPr="00F321FC">
              <w:rPr>
                <w:rFonts w:cs="Arial"/>
              </w:rPr>
              <w:t>Significant drug interactions</w:t>
            </w:r>
            <w:bookmarkEnd w:id="16"/>
            <w:bookmarkEnd w:id="17"/>
          </w:p>
        </w:tc>
        <w:tc>
          <w:tcPr>
            <w:tcW w:w="8257" w:type="dxa"/>
          </w:tcPr>
          <w:p w14:paraId="112C1849" w14:textId="2E184926" w:rsidR="00F132AA" w:rsidRDefault="00FB404F" w:rsidP="00704723">
            <w:pPr>
              <w:rPr>
                <w:rFonts w:cs="Arial"/>
              </w:rPr>
            </w:pPr>
            <w:r w:rsidRPr="00FB404F">
              <w:rPr>
                <w:rFonts w:cs="Arial"/>
              </w:rPr>
              <w:t xml:space="preserve">The following list is not exhaustive. Please see </w:t>
            </w:r>
            <w:hyperlink r:id="rId17" w:history="1">
              <w:r w:rsidR="00704723" w:rsidRPr="00704723">
                <w:rPr>
                  <w:rStyle w:val="Hyperlink"/>
                  <w:rFonts w:cs="Arial"/>
                </w:rPr>
                <w:t>BNF</w:t>
              </w:r>
            </w:hyperlink>
            <w:r w:rsidR="00704723" w:rsidRPr="00FB404F">
              <w:rPr>
                <w:rFonts w:cs="Arial"/>
              </w:rPr>
              <w:t xml:space="preserve"> &amp; </w:t>
            </w:r>
            <w:hyperlink r:id="rId18" w:history="1">
              <w:r w:rsidR="00704723" w:rsidRPr="00704723">
                <w:rPr>
                  <w:rStyle w:val="Hyperlink"/>
                  <w:rFonts w:cs="Arial"/>
                </w:rPr>
                <w:t>SPC</w:t>
              </w:r>
            </w:hyperlink>
            <w:r w:rsidR="00704723">
              <w:rPr>
                <w:rFonts w:cs="Arial"/>
              </w:rPr>
              <w:t xml:space="preserve"> </w:t>
            </w:r>
            <w:r w:rsidRPr="00FB404F">
              <w:rPr>
                <w:rFonts w:cs="Arial"/>
              </w:rPr>
              <w:t>for comprehensive information and recommended management.</w:t>
            </w:r>
          </w:p>
          <w:p w14:paraId="5CF2C895" w14:textId="77777777" w:rsidR="00704723" w:rsidRDefault="00704723" w:rsidP="00704723">
            <w:pPr>
              <w:autoSpaceDE w:val="0"/>
              <w:autoSpaceDN w:val="0"/>
              <w:adjustRightInd w:val="0"/>
              <w:rPr>
                <w:rFonts w:eastAsia="Times New Roman" w:cs="Arial"/>
                <w:bCs/>
                <w:iCs/>
                <w:color w:val="000000"/>
                <w:szCs w:val="24"/>
                <w:lang w:eastAsia="en-GB"/>
              </w:rPr>
            </w:pPr>
            <w:r>
              <w:rPr>
                <w:rFonts w:eastAsia="Times New Roman" w:cs="Arial"/>
                <w:b/>
                <w:bCs/>
                <w:iCs/>
                <w:szCs w:val="24"/>
                <w:lang w:eastAsia="en-GB"/>
              </w:rPr>
              <w:t>The following medicines must not be prescribed without consultation with specialists:</w:t>
            </w:r>
          </w:p>
          <w:p w14:paraId="6905E7F3" w14:textId="77777777" w:rsidR="00704723" w:rsidRDefault="00704723" w:rsidP="00093D5F">
            <w:pPr>
              <w:numPr>
                <w:ilvl w:val="0"/>
                <w:numId w:val="12"/>
              </w:numPr>
              <w:ind w:left="357" w:hanging="357"/>
              <w:rPr>
                <w:rFonts w:eastAsia="Times New Roman" w:cs="Arial"/>
                <w:bCs/>
                <w:iCs/>
                <w:color w:val="000000"/>
                <w:szCs w:val="24"/>
                <w:lang w:eastAsia="en-GB"/>
              </w:rPr>
            </w:pPr>
            <w:r>
              <w:rPr>
                <w:rFonts w:eastAsia="Times New Roman" w:cs="Arial"/>
                <w:b/>
                <w:bCs/>
                <w:iCs/>
                <w:color w:val="000000"/>
                <w:szCs w:val="24"/>
                <w:lang w:eastAsia="en-GB"/>
              </w:rPr>
              <w:lastRenderedPageBreak/>
              <w:t>Medicines that may increase plasma lithium concentrations</w:t>
            </w:r>
            <w:r>
              <w:rPr>
                <w:rFonts w:eastAsia="Times New Roman" w:cs="Arial"/>
                <w:bCs/>
                <w:iCs/>
                <w:color w:val="000000"/>
                <w:szCs w:val="24"/>
                <w:lang w:eastAsia="en-GB"/>
              </w:rPr>
              <w:t xml:space="preserve"> (by reducing renal elimination) and so risk toxicity:</w:t>
            </w:r>
          </w:p>
          <w:p w14:paraId="22A03DBB" w14:textId="77777777" w:rsidR="00704723" w:rsidRDefault="00704723" w:rsidP="00093D5F">
            <w:pPr>
              <w:numPr>
                <w:ilvl w:val="0"/>
                <w:numId w:val="13"/>
              </w:numPr>
              <w:rPr>
                <w:rFonts w:eastAsia="Times New Roman" w:cs="Arial"/>
                <w:bCs/>
                <w:iCs/>
                <w:color w:val="000000"/>
                <w:szCs w:val="24"/>
                <w:lang w:eastAsia="en-GB"/>
              </w:rPr>
            </w:pPr>
            <w:r>
              <w:rPr>
                <w:rFonts w:eastAsia="Times New Roman" w:cs="Arial"/>
                <w:bCs/>
                <w:iCs/>
                <w:color w:val="000000"/>
                <w:szCs w:val="24"/>
                <w:lang w:eastAsia="en-GB"/>
              </w:rPr>
              <w:t>NSAIDs (including cyclo-oxygenase 2 inhibitors). If NSAID use is unavoidable, a dose reduction of lithium may be required and levels should be monitored more frequently; discuss with specialist team. ‘As required’ use of NSAIDs should be avoided since it may cause fluctuations in lithium levels and makes monitoring levels challenging.</w:t>
            </w:r>
          </w:p>
          <w:p w14:paraId="786CEA59" w14:textId="77777777" w:rsidR="00704723" w:rsidRDefault="00704723" w:rsidP="00093D5F">
            <w:pPr>
              <w:numPr>
                <w:ilvl w:val="0"/>
                <w:numId w:val="13"/>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 xml:space="preserve">Diuretics, particularly thiazide diuretics </w:t>
            </w:r>
          </w:p>
          <w:p w14:paraId="05675A1D" w14:textId="77777777" w:rsidR="00704723" w:rsidRDefault="00704723" w:rsidP="00093D5F">
            <w:pPr>
              <w:numPr>
                <w:ilvl w:val="0"/>
                <w:numId w:val="13"/>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Angiotensin converting enzyme (ACE) inhibitors and angiotensin II receptor antagonists</w:t>
            </w:r>
          </w:p>
          <w:p w14:paraId="68F8AEB9" w14:textId="77777777" w:rsidR="00704723" w:rsidRDefault="00704723" w:rsidP="00093D5F">
            <w:pPr>
              <w:numPr>
                <w:ilvl w:val="0"/>
                <w:numId w:val="13"/>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 xml:space="preserve">Other drugs which alter electrolyte balance with the potential to alter lithium clearance e.g. steroids. </w:t>
            </w:r>
          </w:p>
          <w:p w14:paraId="2753E525" w14:textId="77777777" w:rsidR="00704723" w:rsidRDefault="00704723" w:rsidP="00093D5F">
            <w:pPr>
              <w:numPr>
                <w:ilvl w:val="0"/>
                <w:numId w:val="13"/>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Certain antibiotics including metronidazole and tetracyclines</w:t>
            </w:r>
          </w:p>
          <w:p w14:paraId="588A9288" w14:textId="77777777" w:rsidR="00704723" w:rsidRDefault="00704723" w:rsidP="00093D5F">
            <w:pPr>
              <w:numPr>
                <w:ilvl w:val="0"/>
                <w:numId w:val="12"/>
              </w:numPr>
              <w:autoSpaceDE w:val="0"/>
              <w:autoSpaceDN w:val="0"/>
              <w:adjustRightInd w:val="0"/>
              <w:rPr>
                <w:rFonts w:eastAsia="Times New Roman" w:cs="Arial"/>
                <w:bCs/>
                <w:iCs/>
                <w:color w:val="000000"/>
                <w:szCs w:val="24"/>
                <w:lang w:eastAsia="en-GB"/>
              </w:rPr>
            </w:pPr>
            <w:r>
              <w:rPr>
                <w:rFonts w:eastAsia="Times New Roman" w:cs="Arial"/>
                <w:b/>
                <w:bCs/>
                <w:iCs/>
                <w:color w:val="000000"/>
                <w:szCs w:val="24"/>
                <w:lang w:eastAsia="en-GB"/>
              </w:rPr>
              <w:t>Medicines that may decrease plasma lithium concentrations</w:t>
            </w:r>
            <w:r>
              <w:rPr>
                <w:rFonts w:eastAsia="Times New Roman" w:cs="Arial"/>
                <w:bCs/>
                <w:iCs/>
                <w:color w:val="000000"/>
                <w:szCs w:val="24"/>
                <w:lang w:eastAsia="en-GB"/>
              </w:rPr>
              <w:t xml:space="preserve"> (by increasing renal elimination) and so risk loss of efficacy:</w:t>
            </w:r>
          </w:p>
          <w:p w14:paraId="5724604B" w14:textId="77777777" w:rsidR="00704723" w:rsidRDefault="00704723" w:rsidP="00093D5F">
            <w:pPr>
              <w:numPr>
                <w:ilvl w:val="0"/>
                <w:numId w:val="14"/>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Theophylline</w:t>
            </w:r>
          </w:p>
          <w:p w14:paraId="298F04E0" w14:textId="63D4EB8E" w:rsidR="00704723" w:rsidRDefault="00704723" w:rsidP="00093D5F">
            <w:pPr>
              <w:numPr>
                <w:ilvl w:val="0"/>
                <w:numId w:val="14"/>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Products which contain sodium bicarbonate e.g. antacids</w:t>
            </w:r>
            <w:r w:rsidR="00756BF5">
              <w:rPr>
                <w:rFonts w:eastAsia="Times New Roman" w:cs="Arial"/>
                <w:bCs/>
                <w:iCs/>
                <w:color w:val="000000"/>
                <w:szCs w:val="24"/>
                <w:lang w:eastAsia="en-GB"/>
              </w:rPr>
              <w:t>, effervescent analgesics</w:t>
            </w:r>
            <w:r>
              <w:rPr>
                <w:rFonts w:eastAsia="Times New Roman" w:cs="Arial"/>
                <w:bCs/>
                <w:iCs/>
                <w:color w:val="000000"/>
                <w:szCs w:val="24"/>
                <w:lang w:eastAsia="en-GB"/>
              </w:rPr>
              <w:t xml:space="preserve"> </w:t>
            </w:r>
          </w:p>
          <w:p w14:paraId="43132640" w14:textId="01D69AEE" w:rsidR="00B60303" w:rsidRDefault="00B60303" w:rsidP="00093D5F">
            <w:pPr>
              <w:numPr>
                <w:ilvl w:val="0"/>
                <w:numId w:val="14"/>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Carbonic anhydrase inhibitors (e.g. acetazolamide)</w:t>
            </w:r>
          </w:p>
          <w:p w14:paraId="0DF7F929" w14:textId="7ACA5FC2" w:rsidR="00B60303" w:rsidRDefault="00B60303" w:rsidP="00093D5F">
            <w:pPr>
              <w:numPr>
                <w:ilvl w:val="0"/>
                <w:numId w:val="14"/>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Dapagliflozin, empagliflozin</w:t>
            </w:r>
          </w:p>
          <w:p w14:paraId="6EBAC0DE" w14:textId="77777777" w:rsidR="00704723" w:rsidRDefault="00704723" w:rsidP="00093D5F">
            <w:pPr>
              <w:numPr>
                <w:ilvl w:val="0"/>
                <w:numId w:val="12"/>
              </w:numPr>
              <w:autoSpaceDE w:val="0"/>
              <w:autoSpaceDN w:val="0"/>
              <w:adjustRightInd w:val="0"/>
              <w:rPr>
                <w:rFonts w:eastAsia="Times New Roman" w:cs="Arial"/>
                <w:bCs/>
                <w:iCs/>
                <w:color w:val="000000"/>
                <w:szCs w:val="24"/>
                <w:lang w:eastAsia="en-GB"/>
              </w:rPr>
            </w:pPr>
            <w:r>
              <w:rPr>
                <w:rFonts w:eastAsia="Times New Roman" w:cs="Arial"/>
                <w:b/>
                <w:bCs/>
                <w:iCs/>
                <w:color w:val="000000"/>
                <w:szCs w:val="24"/>
                <w:lang w:eastAsia="en-GB"/>
              </w:rPr>
              <w:t>Medicines that may increase risk of neurotoxicity</w:t>
            </w:r>
            <w:r>
              <w:rPr>
                <w:rFonts w:eastAsia="Times New Roman" w:cs="Arial"/>
                <w:bCs/>
                <w:iCs/>
                <w:color w:val="000000"/>
                <w:szCs w:val="24"/>
                <w:lang w:eastAsia="en-GB"/>
              </w:rPr>
              <w:t xml:space="preserve"> when co-administered with lithium:</w:t>
            </w:r>
          </w:p>
          <w:p w14:paraId="0D85E708" w14:textId="0BE2EAB3" w:rsidR="00704723" w:rsidRDefault="00704723" w:rsidP="00093D5F">
            <w:pPr>
              <w:numPr>
                <w:ilvl w:val="0"/>
                <w:numId w:val="15"/>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 xml:space="preserve">Calcium channel blockers (e.g. verapamil, diltiazem)  </w:t>
            </w:r>
          </w:p>
          <w:p w14:paraId="64FCE469" w14:textId="77777777" w:rsidR="00704723" w:rsidRDefault="00704723" w:rsidP="00093D5F">
            <w:pPr>
              <w:numPr>
                <w:ilvl w:val="0"/>
                <w:numId w:val="15"/>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Antipsychotics  (e.g. haloperidol, olanzapine, clozapine, flupentixol, chlorpromazine)</w:t>
            </w:r>
          </w:p>
          <w:p w14:paraId="54D38D6C" w14:textId="1B527BB1" w:rsidR="00704723" w:rsidRDefault="00122347" w:rsidP="00093D5F">
            <w:pPr>
              <w:numPr>
                <w:ilvl w:val="0"/>
                <w:numId w:val="15"/>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 xml:space="preserve">Medicines </w:t>
            </w:r>
            <w:r w:rsidR="00704723">
              <w:rPr>
                <w:rFonts w:eastAsia="Times New Roman" w:cs="Arial"/>
                <w:bCs/>
                <w:iCs/>
                <w:color w:val="000000"/>
                <w:szCs w:val="24"/>
                <w:lang w:eastAsia="en-GB"/>
              </w:rPr>
              <w:t>with a serotonergic action (e.g. SSRIs, tricyclic antidepressants, venlafaxine, duloxetine)</w:t>
            </w:r>
          </w:p>
          <w:p w14:paraId="52E55D0C" w14:textId="77777777" w:rsidR="00704723" w:rsidRDefault="00704723" w:rsidP="00093D5F">
            <w:pPr>
              <w:numPr>
                <w:ilvl w:val="0"/>
                <w:numId w:val="15"/>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Carbamazepine</w:t>
            </w:r>
          </w:p>
          <w:p w14:paraId="6072AE80" w14:textId="26562B53" w:rsidR="00B60303" w:rsidRDefault="00B60303" w:rsidP="00093D5F">
            <w:pPr>
              <w:numPr>
                <w:ilvl w:val="0"/>
                <w:numId w:val="15"/>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Methyldopa</w:t>
            </w:r>
          </w:p>
          <w:p w14:paraId="442F7604" w14:textId="77777777" w:rsidR="00704723" w:rsidRDefault="00704723" w:rsidP="00093D5F">
            <w:pPr>
              <w:numPr>
                <w:ilvl w:val="0"/>
                <w:numId w:val="12"/>
              </w:numPr>
              <w:autoSpaceDE w:val="0"/>
              <w:autoSpaceDN w:val="0"/>
              <w:adjustRightInd w:val="0"/>
              <w:rPr>
                <w:rFonts w:eastAsia="Times New Roman" w:cs="Arial"/>
                <w:bCs/>
                <w:iCs/>
                <w:color w:val="000000"/>
                <w:szCs w:val="24"/>
                <w:lang w:eastAsia="en-GB"/>
              </w:rPr>
            </w:pPr>
            <w:r>
              <w:rPr>
                <w:rFonts w:eastAsia="Times New Roman" w:cs="Arial"/>
                <w:b/>
                <w:bCs/>
                <w:iCs/>
                <w:color w:val="000000"/>
                <w:szCs w:val="24"/>
                <w:lang w:eastAsia="en-GB"/>
              </w:rPr>
              <w:t>Medicines associated with QT prolongation</w:t>
            </w:r>
            <w:r>
              <w:rPr>
                <w:rFonts w:eastAsia="Times New Roman" w:cs="Arial"/>
                <w:bCs/>
                <w:iCs/>
                <w:color w:val="000000"/>
                <w:szCs w:val="24"/>
                <w:lang w:eastAsia="en-GB"/>
              </w:rPr>
              <w:t xml:space="preserve"> (e.g. amiodarone, macrolides, tricyclic antidepressants) – potential for additive effects when co-administered with lithium.</w:t>
            </w:r>
          </w:p>
          <w:p w14:paraId="6BCF5D6E" w14:textId="77777777" w:rsidR="00704723" w:rsidRDefault="00704723" w:rsidP="00093D5F">
            <w:pPr>
              <w:numPr>
                <w:ilvl w:val="0"/>
                <w:numId w:val="12"/>
              </w:numPr>
              <w:autoSpaceDE w:val="0"/>
              <w:autoSpaceDN w:val="0"/>
              <w:adjustRightInd w:val="0"/>
              <w:rPr>
                <w:rFonts w:eastAsia="Times New Roman" w:cs="Arial"/>
                <w:bCs/>
                <w:iCs/>
                <w:color w:val="000000"/>
                <w:szCs w:val="24"/>
                <w:lang w:eastAsia="en-GB"/>
              </w:rPr>
            </w:pPr>
            <w:r>
              <w:rPr>
                <w:rFonts w:eastAsia="Times New Roman" w:cs="Arial"/>
                <w:b/>
                <w:bCs/>
                <w:iCs/>
                <w:color w:val="000000"/>
                <w:szCs w:val="24"/>
                <w:lang w:eastAsia="en-GB"/>
              </w:rPr>
              <w:t>Medicines that lower seizure threshold</w:t>
            </w:r>
            <w:r>
              <w:rPr>
                <w:rFonts w:eastAsia="Times New Roman" w:cs="Arial"/>
                <w:bCs/>
                <w:iCs/>
                <w:color w:val="000000"/>
                <w:szCs w:val="24"/>
                <w:lang w:eastAsia="en-GB"/>
              </w:rPr>
              <w:t xml:space="preserve"> (e.g. SSRIs, tricyclic antidepressants, antipsychotics) – increased risk of seizures</w:t>
            </w:r>
          </w:p>
          <w:p w14:paraId="0D4026F8" w14:textId="77777777" w:rsidR="00704723" w:rsidRDefault="00704723" w:rsidP="00704723">
            <w:pPr>
              <w:autoSpaceDE w:val="0"/>
              <w:autoSpaceDN w:val="0"/>
              <w:adjustRightInd w:val="0"/>
              <w:rPr>
                <w:rFonts w:eastAsia="Times New Roman" w:cs="Arial"/>
                <w:bCs/>
                <w:iCs/>
                <w:color w:val="000000"/>
                <w:szCs w:val="24"/>
                <w:lang w:eastAsia="en-GB"/>
              </w:rPr>
            </w:pPr>
          </w:p>
          <w:p w14:paraId="11735DD8" w14:textId="74BAEF86" w:rsidR="001A51F3" w:rsidRPr="00FE3EEF" w:rsidRDefault="00704723" w:rsidP="00704723">
            <w:pPr>
              <w:rPr>
                <w:rFonts w:cs="Arial"/>
              </w:rPr>
            </w:pPr>
            <w:r>
              <w:rPr>
                <w:rFonts w:cs="Arial"/>
                <w:b/>
                <w:szCs w:val="24"/>
              </w:rPr>
              <w:t>Care should be taken on initiation, dose adjustment or discontinuation of any interacting medicines. The onset and degree of the interaction can vary and additional lithium monitoring is likely to be indicated, with doses adjusted accordingly. Discuss with specialist team.</w:t>
            </w:r>
          </w:p>
        </w:tc>
      </w:tr>
    </w:tbl>
    <w:p w14:paraId="56D8C659" w14:textId="77777777" w:rsidR="0051526F" w:rsidRDefault="0051526F"/>
    <w:p w14:paraId="5F2EB721" w14:textId="77777777" w:rsidR="0051526F" w:rsidRDefault="0051526F" w:rsidP="0051526F">
      <w:pPr>
        <w:pStyle w:val="Heading2"/>
        <w:rPr>
          <w:rFonts w:cs="Arial"/>
        </w:rPr>
      </w:pPr>
      <w:bookmarkStart w:id="18" w:name="_Toc149231794"/>
      <w:r w:rsidRPr="00F321FC">
        <w:rPr>
          <w:rFonts w:cs="Arial"/>
        </w:rPr>
        <w:t>Adverse effects and management</w:t>
      </w:r>
      <w:bookmarkEnd w:id="18"/>
    </w:p>
    <w:p w14:paraId="41070243" w14:textId="207A961A" w:rsidR="0051526F" w:rsidRDefault="0051526F" w:rsidP="0051526F">
      <w:pPr>
        <w:spacing w:after="120"/>
        <w:rPr>
          <w:rFonts w:cs="Arial"/>
          <w:b/>
          <w:bCs/>
        </w:rPr>
      </w:pPr>
      <w:r w:rsidRPr="00D32858">
        <w:rPr>
          <w:rFonts w:cs="Arial"/>
        </w:rPr>
        <w:t>As well as responding to absolute values in laboratory tests, a rapid change or a consistent trend in any value should prompt caution and extra vigilance</w:t>
      </w:r>
      <w:r>
        <w:rPr>
          <w:rFonts w:cs="Arial"/>
          <w:b/>
          <w:bCs/>
        </w:rPr>
        <w:t>.</w:t>
      </w:r>
    </w:p>
    <w:p w14:paraId="338E7A1F" w14:textId="53E2DB61" w:rsidR="0051526F" w:rsidRPr="0041687B" w:rsidRDefault="0051526F" w:rsidP="0051526F">
      <w:pPr>
        <w:spacing w:after="120"/>
        <w:rPr>
          <w:rStyle w:val="Hyperlink"/>
          <w:rFonts w:eastAsia="Calibri" w:cs="Arial"/>
          <w:noProof/>
          <w:lang w:eastAsia="en-GB"/>
        </w:rPr>
      </w:pPr>
      <w:r w:rsidRPr="0041687B">
        <w:rPr>
          <w:rFonts w:cs="Arial"/>
          <w:b/>
          <w:bCs/>
        </w:rPr>
        <w:t xml:space="preserve">Any serious adverse reactions should be reported to the MHRA via the Yellow Card scheme. Visit </w:t>
      </w:r>
      <w:hyperlink r:id="rId19" w:tooltip="http://www.mhra.gov.uk/yellowcard" w:history="1">
        <w:r w:rsidRPr="0041687B">
          <w:rPr>
            <w:rStyle w:val="Hyperlink"/>
            <w:rFonts w:eastAsia="Calibri" w:cs="Arial"/>
            <w:noProof/>
            <w:lang w:eastAsia="en-GB"/>
          </w:rPr>
          <w:t>www.mhra.gov.uk/yellowcard</w:t>
        </w:r>
      </w:hyperlink>
      <w:r w:rsidRPr="001B5F28">
        <w:rPr>
          <w:rStyle w:val="Hyperlink"/>
          <w:rFonts w:eastAsia="Calibri" w:cs="Arial"/>
          <w:noProof/>
          <w:color w:val="000000"/>
          <w:u w:val="none"/>
          <w:lang w:eastAsia="en-GB"/>
        </w:rPr>
        <w:t>.</w:t>
      </w:r>
    </w:p>
    <w:p w14:paraId="50ECDB93" w14:textId="769B6C3F" w:rsidR="0051526F" w:rsidRDefault="0051526F" w:rsidP="0051526F">
      <w:r w:rsidRPr="0041687B">
        <w:rPr>
          <w:rStyle w:val="Hyperlink"/>
          <w:rFonts w:eastAsia="Calibri" w:cs="Arial"/>
          <w:bCs/>
          <w:noProof/>
          <w:color w:val="000000"/>
          <w:u w:val="none"/>
          <w:lang w:eastAsia="en-GB"/>
        </w:rPr>
        <w:t xml:space="preserve">For information on incidence of ADRs see relevant </w:t>
      </w:r>
      <w:r w:rsidRPr="007A56FB">
        <w:rPr>
          <w:rStyle w:val="Hyperlink"/>
          <w:rFonts w:eastAsia="Calibri" w:cs="Arial"/>
          <w:bCs/>
          <w:noProof/>
          <w:color w:val="000000"/>
          <w:u w:val="none"/>
          <w:lang w:eastAsia="en-GB"/>
        </w:rPr>
        <w:t>S</w:t>
      </w:r>
      <w:r w:rsidRPr="007A56FB">
        <w:rPr>
          <w:rStyle w:val="Hyperlink"/>
          <w:rFonts w:eastAsia="Calibri"/>
          <w:bCs/>
          <w:noProof/>
          <w:color w:val="000000"/>
          <w:u w:val="none"/>
          <w:lang w:eastAsia="en-GB"/>
        </w:rPr>
        <w:t>PCs</w:t>
      </w:r>
      <w:r w:rsidRPr="00D13A1C">
        <w:rPr>
          <w:rStyle w:val="Hyperlink"/>
          <w:rFonts w:eastAsia="Calibri"/>
          <w:bCs/>
          <w:noProof/>
          <w:color w:val="000000"/>
          <w:u w:val="none"/>
          <w:lang w:eastAsia="en-GB"/>
        </w:rPr>
        <w:t>.</w:t>
      </w:r>
    </w:p>
    <w:tbl>
      <w:tblPr>
        <w:tblStyle w:val="TableGridLight1"/>
        <w:tblW w:w="10490" w:type="dxa"/>
        <w:tblInd w:w="-5" w:type="dxa"/>
        <w:tblCellMar>
          <w:top w:w="57" w:type="dxa"/>
          <w:bottom w:w="57" w:type="dxa"/>
        </w:tblCellMar>
        <w:tblLook w:val="0480" w:firstRow="0" w:lastRow="0" w:firstColumn="1" w:lastColumn="0" w:noHBand="0" w:noVBand="1"/>
      </w:tblPr>
      <w:tblGrid>
        <w:gridCol w:w="4253"/>
        <w:gridCol w:w="6237"/>
      </w:tblGrid>
      <w:tr w:rsidR="0051526F" w:rsidRPr="00F321FC" w14:paraId="7F454127" w14:textId="77777777" w:rsidTr="00704723">
        <w:trPr>
          <w:cantSplit/>
          <w:tblHeader/>
        </w:trPr>
        <w:tc>
          <w:tcPr>
            <w:tcW w:w="4253" w:type="dxa"/>
            <w:shd w:val="clear" w:color="auto" w:fill="F2F2F2" w:themeFill="background1" w:themeFillShade="F2"/>
          </w:tcPr>
          <w:p w14:paraId="67AF18F0" w14:textId="01ED708F" w:rsidR="0051526F" w:rsidRPr="00BF174A" w:rsidRDefault="0051526F" w:rsidP="00704723">
            <w:pPr>
              <w:rPr>
                <w:b/>
                <w:bCs/>
                <w:u w:val="single"/>
              </w:rPr>
            </w:pPr>
            <w:r w:rsidRPr="00BF174A">
              <w:rPr>
                <w:b/>
                <w:bCs/>
                <w:u w:val="single"/>
              </w:rPr>
              <w:lastRenderedPageBreak/>
              <w:t>Adverse effect</w:t>
            </w:r>
          </w:p>
        </w:tc>
        <w:tc>
          <w:tcPr>
            <w:tcW w:w="6237" w:type="dxa"/>
            <w:shd w:val="clear" w:color="auto" w:fill="F2F2F2" w:themeFill="background1" w:themeFillShade="F2"/>
          </w:tcPr>
          <w:p w14:paraId="7FD73CD2" w14:textId="63413BED" w:rsidR="0051526F" w:rsidRPr="00BF174A" w:rsidRDefault="0051526F" w:rsidP="00704723">
            <w:pPr>
              <w:rPr>
                <w:b/>
                <w:bCs/>
                <w:u w:val="single"/>
              </w:rPr>
            </w:pPr>
            <w:r w:rsidRPr="00BF174A">
              <w:rPr>
                <w:b/>
                <w:bCs/>
                <w:u w:val="single"/>
              </w:rPr>
              <w:t>Management</w:t>
            </w:r>
          </w:p>
        </w:tc>
      </w:tr>
      <w:tr w:rsidR="00704723" w:rsidRPr="00F321FC" w14:paraId="01268D2D" w14:textId="77777777" w:rsidTr="00704723">
        <w:trPr>
          <w:cantSplit/>
          <w:trHeight w:val="48"/>
        </w:trPr>
        <w:tc>
          <w:tcPr>
            <w:tcW w:w="4253" w:type="dxa"/>
          </w:tcPr>
          <w:p w14:paraId="3D53BBB5" w14:textId="466004A6" w:rsidR="00704723" w:rsidRDefault="00704723" w:rsidP="00704723">
            <w:pPr>
              <w:rPr>
                <w:rFonts w:eastAsia="Times New Roman" w:cs="Arial"/>
                <w:b/>
                <w:szCs w:val="24"/>
                <w:lang w:eastAsia="en-GB"/>
              </w:rPr>
            </w:pPr>
            <w:r>
              <w:rPr>
                <w:rFonts w:eastAsia="Times New Roman" w:cs="Arial"/>
                <w:b/>
                <w:szCs w:val="24"/>
                <w:lang w:eastAsia="en-GB"/>
              </w:rPr>
              <w:t xml:space="preserve">12-hour plasma lithium level </w:t>
            </w:r>
          </w:p>
          <w:p w14:paraId="5054E7D8" w14:textId="77777777" w:rsidR="00704723" w:rsidRDefault="00704723" w:rsidP="00704723">
            <w:pPr>
              <w:rPr>
                <w:rFonts w:eastAsia="Times New Roman" w:cs="Arial"/>
                <w:szCs w:val="24"/>
                <w:lang w:eastAsia="en-GB"/>
              </w:rPr>
            </w:pPr>
            <w:r>
              <w:rPr>
                <w:rFonts w:eastAsia="Times New Roman" w:cs="Arial"/>
                <w:szCs w:val="24"/>
                <w:lang w:eastAsia="en-GB"/>
              </w:rPr>
              <w:t>Below target range</w:t>
            </w:r>
          </w:p>
          <w:p w14:paraId="644F222F" w14:textId="77777777" w:rsidR="00704723" w:rsidRDefault="00704723" w:rsidP="00704723">
            <w:pPr>
              <w:rPr>
                <w:rFonts w:eastAsia="Times New Roman" w:cs="Arial"/>
                <w:szCs w:val="24"/>
                <w:lang w:eastAsia="en-GB"/>
              </w:rPr>
            </w:pPr>
          </w:p>
          <w:p w14:paraId="6A99262A" w14:textId="22ACAF64" w:rsidR="00704723" w:rsidRPr="00F321FC" w:rsidRDefault="00704723" w:rsidP="00704723">
            <w:pPr>
              <w:rPr>
                <w:rFonts w:cs="Arial"/>
              </w:rPr>
            </w:pPr>
            <w:r>
              <w:rPr>
                <w:rFonts w:eastAsia="Times New Roman" w:cs="Arial"/>
                <w:szCs w:val="24"/>
                <w:lang w:eastAsia="en-GB"/>
              </w:rPr>
              <w:t>NB: range for each patient to be determined by the specialist team.  Note that local reference ranges may vary</w:t>
            </w:r>
            <w:r w:rsidR="003032BA">
              <w:rPr>
                <w:rFonts w:eastAsia="Times New Roman" w:cs="Arial"/>
                <w:szCs w:val="24"/>
                <w:lang w:eastAsia="en-GB"/>
              </w:rPr>
              <w:t>.</w:t>
            </w:r>
          </w:p>
        </w:tc>
        <w:tc>
          <w:tcPr>
            <w:tcW w:w="6237" w:type="dxa"/>
          </w:tcPr>
          <w:p w14:paraId="71D9648A" w14:textId="77777777" w:rsidR="00704723" w:rsidRDefault="00704723" w:rsidP="00704723">
            <w:pPr>
              <w:rPr>
                <w:rFonts w:eastAsia="Times New Roman" w:cs="Arial"/>
                <w:szCs w:val="24"/>
                <w:lang w:eastAsia="en-GB"/>
              </w:rPr>
            </w:pPr>
            <w:r>
              <w:rPr>
                <w:rFonts w:eastAsia="Times New Roman" w:cs="Arial"/>
                <w:szCs w:val="24"/>
                <w:lang w:eastAsia="en-GB"/>
              </w:rPr>
              <w:t xml:space="preserve">Assess adherence, including discussion with patient and check of GP clinical systems. Offer advice on adherence if appropriate (e.g. daily routines, reminders). Ensure level was taken 12 hours after lithium dose. </w:t>
            </w:r>
          </w:p>
          <w:p w14:paraId="45A5B53C" w14:textId="3BF2F11A" w:rsidR="00704723" w:rsidRPr="00F321FC" w:rsidRDefault="00704723" w:rsidP="00704723">
            <w:pPr>
              <w:rPr>
                <w:rFonts w:cs="Arial"/>
              </w:rPr>
            </w:pPr>
            <w:r>
              <w:rPr>
                <w:rFonts w:eastAsia="Times New Roman" w:cs="Arial"/>
                <w:szCs w:val="24"/>
                <w:lang w:eastAsia="en-GB"/>
              </w:rPr>
              <w:t>Contact specialist team for advice if suspected that the dose is too low.</w:t>
            </w:r>
          </w:p>
        </w:tc>
      </w:tr>
      <w:tr w:rsidR="00704723" w:rsidRPr="00F321FC" w14:paraId="7CEAAB39" w14:textId="77777777" w:rsidTr="00704723">
        <w:trPr>
          <w:cantSplit/>
          <w:trHeight w:val="48"/>
        </w:trPr>
        <w:tc>
          <w:tcPr>
            <w:tcW w:w="4253" w:type="dxa"/>
          </w:tcPr>
          <w:p w14:paraId="72184CBB" w14:textId="77777777" w:rsidR="00704723" w:rsidRDefault="00704723" w:rsidP="00704723">
            <w:pPr>
              <w:rPr>
                <w:rFonts w:eastAsia="Times New Roman" w:cs="Arial"/>
                <w:szCs w:val="24"/>
                <w:lang w:eastAsia="en-GB"/>
              </w:rPr>
            </w:pPr>
            <w:r>
              <w:rPr>
                <w:rFonts w:eastAsia="Times New Roman" w:cs="Arial"/>
                <w:szCs w:val="24"/>
                <w:lang w:eastAsia="en-GB"/>
              </w:rPr>
              <w:t xml:space="preserve">Above target range </w:t>
            </w:r>
          </w:p>
          <w:p w14:paraId="29449D6B" w14:textId="77777777" w:rsidR="00704723" w:rsidRDefault="00704723" w:rsidP="00704723">
            <w:pPr>
              <w:rPr>
                <w:rFonts w:eastAsia="Times New Roman" w:cs="Arial"/>
                <w:szCs w:val="24"/>
                <w:lang w:eastAsia="en-GB"/>
              </w:rPr>
            </w:pPr>
          </w:p>
          <w:p w14:paraId="2386555E" w14:textId="70E178BA" w:rsidR="00704723" w:rsidRPr="0051526F" w:rsidRDefault="00704723" w:rsidP="00704723">
            <w:pPr>
              <w:rPr>
                <w:rFonts w:eastAsia="Times New Roman" w:cstheme="minorHAnsi"/>
                <w:lang w:eastAsia="en-GB"/>
              </w:rPr>
            </w:pPr>
            <w:r>
              <w:rPr>
                <w:rFonts w:eastAsia="Times New Roman" w:cs="Arial"/>
                <w:szCs w:val="24"/>
                <w:lang w:eastAsia="en-GB"/>
              </w:rPr>
              <w:t>NB: range for each patient to be determined by the specialist team.  Note that local reference ranges may vary</w:t>
            </w:r>
            <w:r w:rsidR="003032BA">
              <w:rPr>
                <w:rFonts w:eastAsia="Times New Roman" w:cs="Arial"/>
                <w:szCs w:val="24"/>
                <w:lang w:eastAsia="en-GB"/>
              </w:rPr>
              <w:t>.</w:t>
            </w:r>
          </w:p>
        </w:tc>
        <w:tc>
          <w:tcPr>
            <w:tcW w:w="6237" w:type="dxa"/>
          </w:tcPr>
          <w:p w14:paraId="252C4D0B" w14:textId="77777777" w:rsidR="007D1D2D" w:rsidRDefault="007D1D2D" w:rsidP="00704723">
            <w:pPr>
              <w:rPr>
                <w:rFonts w:eastAsia="Times New Roman" w:cs="Arial"/>
                <w:b/>
                <w:szCs w:val="24"/>
                <w:lang w:eastAsia="en-GB"/>
              </w:rPr>
            </w:pPr>
            <w:r>
              <w:rPr>
                <w:rFonts w:eastAsia="Times New Roman" w:cs="Arial"/>
                <w:b/>
                <w:szCs w:val="24"/>
                <w:lang w:eastAsia="en-GB"/>
              </w:rPr>
              <w:t xml:space="preserve">Withhold lithium if there are features of toxicity (e.g. diarrhoea, vomiting, loss of appetite, increasing confusion, myoclonic twitches). </w:t>
            </w:r>
          </w:p>
          <w:p w14:paraId="6C34A23D" w14:textId="6C9F3BDA" w:rsidR="00704723" w:rsidRDefault="00704723" w:rsidP="00704723">
            <w:pPr>
              <w:rPr>
                <w:rFonts w:eastAsia="Times New Roman" w:cs="Arial"/>
                <w:szCs w:val="24"/>
                <w:lang w:eastAsia="en-GB"/>
              </w:rPr>
            </w:pPr>
            <w:r>
              <w:rPr>
                <w:rFonts w:eastAsia="Times New Roman" w:cs="Arial"/>
                <w:szCs w:val="24"/>
                <w:lang w:eastAsia="en-GB"/>
              </w:rPr>
              <w:t>Ensure level was taken 12 hours after lithium dose and that the correct dose has been prescribed and taken.</w:t>
            </w:r>
            <w:r w:rsidR="007D1D2D">
              <w:rPr>
                <w:rFonts w:eastAsia="Times New Roman" w:cs="Arial"/>
                <w:szCs w:val="24"/>
                <w:lang w:eastAsia="en-GB"/>
              </w:rPr>
              <w:t xml:space="preserve"> Repeat level if necessary.</w:t>
            </w:r>
            <w:r>
              <w:rPr>
                <w:rFonts w:eastAsia="Times New Roman" w:cs="Arial"/>
                <w:szCs w:val="24"/>
                <w:lang w:eastAsia="en-GB"/>
              </w:rPr>
              <w:t xml:space="preserve"> Check for interactions, hydration, patient’s physical and mental status, and features of toxicity. </w:t>
            </w:r>
          </w:p>
          <w:p w14:paraId="3A410183" w14:textId="5928FD6A" w:rsidR="00704723" w:rsidRDefault="00704723" w:rsidP="00704723">
            <w:pPr>
              <w:rPr>
                <w:rFonts w:eastAsia="Times New Roman" w:cs="Arial"/>
                <w:b/>
                <w:szCs w:val="24"/>
                <w:lang w:eastAsia="en-GB"/>
              </w:rPr>
            </w:pPr>
            <w:r w:rsidRPr="00B515FA">
              <w:rPr>
                <w:rFonts w:eastAsia="Times New Roman" w:cs="Arial"/>
                <w:b/>
                <w:szCs w:val="24"/>
                <w:lang w:eastAsia="en-GB"/>
              </w:rPr>
              <w:t>Contact specialist team for advice in all cases.</w:t>
            </w:r>
          </w:p>
          <w:p w14:paraId="645A7295" w14:textId="409DAB2B" w:rsidR="00704723" w:rsidRPr="00F321FC" w:rsidRDefault="00704723" w:rsidP="007D1D2D">
            <w:pPr>
              <w:rPr>
                <w:rFonts w:cs="Arial"/>
              </w:rPr>
            </w:pPr>
            <w:r w:rsidRPr="00B515FA">
              <w:rPr>
                <w:rFonts w:eastAsia="Times New Roman" w:cs="Arial"/>
                <w:b/>
                <w:szCs w:val="24"/>
                <w:lang w:eastAsia="en-GB"/>
              </w:rPr>
              <w:t>If ≥2.0mmol/L –</w:t>
            </w:r>
            <w:r>
              <w:rPr>
                <w:rFonts w:eastAsia="Times New Roman" w:cs="Arial"/>
                <w:szCs w:val="24"/>
                <w:lang w:eastAsia="en-GB"/>
              </w:rPr>
              <w:t xml:space="preserve"> </w:t>
            </w:r>
            <w:r w:rsidR="003032BA">
              <w:rPr>
                <w:rFonts w:eastAsia="Times New Roman" w:cs="Arial"/>
                <w:b/>
                <w:bCs/>
                <w:szCs w:val="24"/>
                <w:lang w:eastAsia="en-GB"/>
              </w:rPr>
              <w:t>withhold lithium immediately</w:t>
            </w:r>
            <w:r w:rsidR="003032BA" w:rsidRPr="00B515FA">
              <w:rPr>
                <w:rFonts w:eastAsia="Times New Roman" w:cs="Arial"/>
                <w:szCs w:val="24"/>
                <w:lang w:eastAsia="en-GB"/>
              </w:rPr>
              <w:t xml:space="preserve">, </w:t>
            </w:r>
            <w:r w:rsidR="003032BA">
              <w:rPr>
                <w:rFonts w:eastAsia="Times New Roman" w:cs="Arial"/>
                <w:szCs w:val="24"/>
                <w:lang w:eastAsia="en-GB"/>
              </w:rPr>
              <w:t xml:space="preserve">and </w:t>
            </w:r>
            <w:r>
              <w:rPr>
                <w:rFonts w:eastAsia="Times New Roman" w:cs="Arial"/>
                <w:szCs w:val="24"/>
                <w:lang w:eastAsia="en-GB"/>
              </w:rPr>
              <w:t xml:space="preserve">consider sending patient to </w:t>
            </w:r>
            <w:r w:rsidR="007D1D2D">
              <w:rPr>
                <w:rFonts w:eastAsia="Times New Roman" w:cs="Arial"/>
                <w:szCs w:val="24"/>
                <w:lang w:eastAsia="en-GB"/>
              </w:rPr>
              <w:t>the nearest emergency department</w:t>
            </w:r>
            <w:r>
              <w:rPr>
                <w:rFonts w:eastAsia="Times New Roman" w:cs="Arial"/>
                <w:szCs w:val="24"/>
                <w:lang w:eastAsia="en-GB"/>
              </w:rPr>
              <w:t>, based on clinical presentation (e.g. features of toxicity)</w:t>
            </w:r>
            <w:r w:rsidR="003032BA">
              <w:rPr>
                <w:rFonts w:eastAsia="Times New Roman" w:cs="Arial"/>
                <w:szCs w:val="24"/>
                <w:lang w:eastAsia="en-GB"/>
              </w:rPr>
              <w:t>.</w:t>
            </w:r>
            <w:r>
              <w:rPr>
                <w:rFonts w:eastAsia="Times New Roman" w:cs="Arial"/>
                <w:szCs w:val="24"/>
                <w:lang w:eastAsia="en-GB"/>
              </w:rPr>
              <w:t xml:space="preserve"> </w:t>
            </w:r>
            <w:r w:rsidR="003032BA">
              <w:rPr>
                <w:rFonts w:eastAsia="Times New Roman" w:cs="Arial"/>
                <w:szCs w:val="24"/>
                <w:lang w:eastAsia="en-GB"/>
              </w:rPr>
              <w:t>I</w:t>
            </w:r>
            <w:r>
              <w:rPr>
                <w:rFonts w:eastAsia="Times New Roman" w:cs="Arial"/>
                <w:szCs w:val="24"/>
                <w:lang w:eastAsia="en-GB"/>
              </w:rPr>
              <w:t>nform specialist team.</w:t>
            </w:r>
          </w:p>
        </w:tc>
      </w:tr>
      <w:tr w:rsidR="00704723" w:rsidRPr="00F321FC" w14:paraId="3E83576D" w14:textId="77777777" w:rsidTr="00704723">
        <w:trPr>
          <w:cantSplit/>
          <w:trHeight w:val="48"/>
        </w:trPr>
        <w:tc>
          <w:tcPr>
            <w:tcW w:w="4253" w:type="dxa"/>
          </w:tcPr>
          <w:p w14:paraId="3E9A2C2C" w14:textId="77777777" w:rsidR="00704723" w:rsidRDefault="00704723" w:rsidP="00704723">
            <w:pPr>
              <w:rPr>
                <w:rFonts w:eastAsia="Times New Roman" w:cs="Arial"/>
                <w:szCs w:val="24"/>
                <w:lang w:eastAsia="en-GB"/>
              </w:rPr>
            </w:pPr>
            <w:r>
              <w:rPr>
                <w:rFonts w:eastAsia="Times New Roman" w:cs="Arial"/>
                <w:szCs w:val="24"/>
                <w:lang w:eastAsia="en-GB"/>
              </w:rPr>
              <w:t>Within target range but toxicity suspected</w:t>
            </w:r>
          </w:p>
          <w:p w14:paraId="4685AE4A" w14:textId="77777777" w:rsidR="00691E36" w:rsidRDefault="00691E36" w:rsidP="00704723">
            <w:pPr>
              <w:rPr>
                <w:rFonts w:eastAsia="Times New Roman" w:cs="Arial"/>
                <w:szCs w:val="24"/>
                <w:lang w:eastAsia="en-GB"/>
              </w:rPr>
            </w:pPr>
          </w:p>
          <w:p w14:paraId="1B1AC317" w14:textId="2E443A31" w:rsidR="00691E36" w:rsidRPr="00691E36" w:rsidRDefault="00691E36" w:rsidP="00704723">
            <w:pPr>
              <w:rPr>
                <w:rFonts w:eastAsia="Times New Roman" w:cs="Arial"/>
                <w:szCs w:val="24"/>
                <w:lang w:eastAsia="en-GB"/>
              </w:rPr>
            </w:pPr>
            <w:r w:rsidRPr="00B515FA">
              <w:rPr>
                <w:rFonts w:eastAsia="Times New Roman" w:cs="Arial"/>
                <w:bCs/>
                <w:szCs w:val="24"/>
                <w:lang w:eastAsia="en-GB"/>
              </w:rPr>
              <w:t>Signs of toxicity</w:t>
            </w:r>
            <w:r>
              <w:rPr>
                <w:rFonts w:eastAsia="Times New Roman" w:cs="Arial"/>
                <w:szCs w:val="24"/>
                <w:lang w:eastAsia="en-GB"/>
              </w:rPr>
              <w:t xml:space="preserve"> include </w:t>
            </w:r>
            <w:r w:rsidRPr="00691E36">
              <w:rPr>
                <w:rFonts w:eastAsia="Times New Roman" w:cs="Arial"/>
                <w:szCs w:val="24"/>
                <w:lang w:eastAsia="en-GB"/>
              </w:rPr>
              <w:t>diarrhoea, vomiting, loss of appetite, muscle weakness, lethargy, dizziness, ataxia, lack of coordination, tinnitus, blurred vision, coarse tremor of the extremities and lower jaw, muscle hyper-irritability, choreoathetoid movements, dysarthria, and drowsiness</w:t>
            </w:r>
          </w:p>
          <w:p w14:paraId="3B9D6DD3" w14:textId="77777777" w:rsidR="00704723" w:rsidRDefault="00704723" w:rsidP="00704723">
            <w:pPr>
              <w:rPr>
                <w:rFonts w:eastAsia="Times New Roman" w:cs="Arial"/>
                <w:szCs w:val="24"/>
                <w:lang w:eastAsia="en-GB"/>
              </w:rPr>
            </w:pPr>
          </w:p>
          <w:p w14:paraId="08C53FEC" w14:textId="4A363A5A" w:rsidR="00704723" w:rsidRPr="00F321FC" w:rsidRDefault="00704723" w:rsidP="00704723">
            <w:pPr>
              <w:rPr>
                <w:rFonts w:cs="Arial"/>
              </w:rPr>
            </w:pPr>
            <w:r>
              <w:rPr>
                <w:rFonts w:eastAsia="Times New Roman" w:cs="Arial"/>
                <w:szCs w:val="24"/>
                <w:lang w:eastAsia="en-GB"/>
              </w:rPr>
              <w:t>NB: range for each patient to be determined by the specialist team.  Note that local reference ranges may vary</w:t>
            </w:r>
            <w:r w:rsidR="003032BA">
              <w:rPr>
                <w:rFonts w:eastAsia="Times New Roman" w:cs="Arial"/>
                <w:szCs w:val="24"/>
                <w:lang w:eastAsia="en-GB"/>
              </w:rPr>
              <w:t>.</w:t>
            </w:r>
          </w:p>
        </w:tc>
        <w:tc>
          <w:tcPr>
            <w:tcW w:w="6237" w:type="dxa"/>
          </w:tcPr>
          <w:p w14:paraId="6DF18E8A" w14:textId="317695D4" w:rsidR="00704723" w:rsidRDefault="00BB1809" w:rsidP="00B515FA">
            <w:pPr>
              <w:rPr>
                <w:rFonts w:eastAsia="Times New Roman" w:cs="Arial"/>
                <w:szCs w:val="24"/>
                <w:lang w:eastAsia="en-GB"/>
              </w:rPr>
            </w:pPr>
            <w:r>
              <w:rPr>
                <w:rFonts w:eastAsia="Times New Roman" w:cs="Arial"/>
                <w:b/>
                <w:bCs/>
                <w:szCs w:val="24"/>
                <w:lang w:eastAsia="en-GB"/>
              </w:rPr>
              <w:t xml:space="preserve">Withhold lithium. </w:t>
            </w:r>
            <w:r w:rsidR="00704723">
              <w:rPr>
                <w:rFonts w:eastAsia="Times New Roman" w:cs="Arial"/>
                <w:szCs w:val="24"/>
                <w:lang w:eastAsia="en-GB"/>
              </w:rPr>
              <w:t>Contact specialist team for advice.</w:t>
            </w:r>
          </w:p>
          <w:p w14:paraId="6150FFD4" w14:textId="77777777" w:rsidR="00704723" w:rsidRDefault="00704723" w:rsidP="00704723">
            <w:pPr>
              <w:rPr>
                <w:rFonts w:eastAsia="Times New Roman" w:cs="Arial"/>
                <w:szCs w:val="24"/>
                <w:lang w:eastAsia="en-GB"/>
              </w:rPr>
            </w:pPr>
            <w:r>
              <w:rPr>
                <w:rFonts w:eastAsia="Times New Roman" w:cs="Arial"/>
                <w:szCs w:val="24"/>
                <w:lang w:eastAsia="en-GB"/>
              </w:rPr>
              <w:t>Referral to secondary care may be required depending on the severity of symptoms and the certainty of toxicity. Use clinical judgement to determine the urgency of referral.</w:t>
            </w:r>
          </w:p>
          <w:p w14:paraId="0AF04492" w14:textId="29158BC5" w:rsidR="00F144AE" w:rsidRPr="00F321FC" w:rsidRDefault="00F144AE" w:rsidP="00704723">
            <w:pPr>
              <w:rPr>
                <w:rFonts w:cs="Arial"/>
              </w:rPr>
            </w:pPr>
            <w:r>
              <w:rPr>
                <w:rFonts w:eastAsia="Times New Roman" w:cs="Arial"/>
                <w:szCs w:val="24"/>
                <w:lang w:eastAsia="en-GB"/>
              </w:rPr>
              <w:t xml:space="preserve">If referral to secondary care is not required, take </w:t>
            </w:r>
            <w:r w:rsidRPr="00B515FA">
              <w:rPr>
                <w:rFonts w:eastAsia="Times New Roman" w:cs="Arial"/>
                <w:b/>
                <w:bCs/>
                <w:szCs w:val="24"/>
                <w:lang w:eastAsia="en-GB"/>
              </w:rPr>
              <w:t>urgent</w:t>
            </w:r>
            <w:r>
              <w:rPr>
                <w:rFonts w:eastAsia="Times New Roman" w:cs="Arial"/>
                <w:szCs w:val="24"/>
                <w:lang w:eastAsia="en-GB"/>
              </w:rPr>
              <w:t xml:space="preserve"> serum lithium level and U&amp;Es.</w:t>
            </w:r>
          </w:p>
        </w:tc>
      </w:tr>
      <w:tr w:rsidR="00704723" w:rsidRPr="00F321FC" w14:paraId="24831E88" w14:textId="77777777" w:rsidTr="00704723">
        <w:trPr>
          <w:cantSplit/>
          <w:trHeight w:val="48"/>
        </w:trPr>
        <w:tc>
          <w:tcPr>
            <w:tcW w:w="4253" w:type="dxa"/>
          </w:tcPr>
          <w:p w14:paraId="0EEADCF6" w14:textId="77777777" w:rsidR="00704723" w:rsidRDefault="00704723" w:rsidP="00704723">
            <w:pPr>
              <w:rPr>
                <w:rFonts w:eastAsia="Times New Roman" w:cs="Arial"/>
                <w:szCs w:val="24"/>
                <w:lang w:eastAsia="en-GB"/>
              </w:rPr>
            </w:pPr>
            <w:r>
              <w:rPr>
                <w:rFonts w:eastAsia="Times New Roman" w:cs="Arial"/>
                <w:szCs w:val="24"/>
                <w:lang w:eastAsia="en-GB"/>
              </w:rPr>
              <w:t>Within target range but marked change since last level (and there has been no dose change)</w:t>
            </w:r>
          </w:p>
          <w:p w14:paraId="632B9558" w14:textId="77777777" w:rsidR="00704723" w:rsidRDefault="00704723" w:rsidP="00704723">
            <w:pPr>
              <w:rPr>
                <w:rFonts w:eastAsia="Times New Roman" w:cs="Arial"/>
                <w:szCs w:val="24"/>
                <w:lang w:eastAsia="en-GB"/>
              </w:rPr>
            </w:pPr>
          </w:p>
          <w:p w14:paraId="1928A53C" w14:textId="79C84D8C" w:rsidR="00704723" w:rsidRPr="00F321FC" w:rsidRDefault="00704723" w:rsidP="00704723">
            <w:pPr>
              <w:rPr>
                <w:rFonts w:cs="Arial"/>
              </w:rPr>
            </w:pPr>
            <w:r>
              <w:rPr>
                <w:rFonts w:eastAsia="Times New Roman" w:cs="Arial"/>
                <w:szCs w:val="24"/>
                <w:lang w:eastAsia="en-GB"/>
              </w:rPr>
              <w:t>NB: range for each patient to be determined by the specialist team.  Note that local reference ranges may vary</w:t>
            </w:r>
            <w:r w:rsidR="003032BA">
              <w:rPr>
                <w:rFonts w:eastAsia="Times New Roman" w:cs="Arial"/>
                <w:szCs w:val="24"/>
                <w:lang w:eastAsia="en-GB"/>
              </w:rPr>
              <w:t>.</w:t>
            </w:r>
          </w:p>
        </w:tc>
        <w:tc>
          <w:tcPr>
            <w:tcW w:w="6237" w:type="dxa"/>
          </w:tcPr>
          <w:p w14:paraId="073E4CB8" w14:textId="77777777" w:rsidR="00704723" w:rsidRDefault="00704723" w:rsidP="00704723">
            <w:pPr>
              <w:rPr>
                <w:rFonts w:eastAsia="Times New Roman" w:cs="Arial"/>
                <w:szCs w:val="24"/>
                <w:lang w:eastAsia="en-GB"/>
              </w:rPr>
            </w:pPr>
            <w:r>
              <w:rPr>
                <w:rFonts w:eastAsia="Times New Roman" w:cs="Arial"/>
                <w:szCs w:val="24"/>
                <w:lang w:eastAsia="en-GB"/>
              </w:rPr>
              <w:t>Establish whether level was taken 12 hours after lithium dose. Repeat level with an urgency determined by clinical judgement. Assess adherence, including discussion with patient and check of GP clinical systems. Offer advice on adherence if appropriate (e.g. daily routines, reminders).</w:t>
            </w:r>
          </w:p>
          <w:p w14:paraId="3EAA40C2" w14:textId="7C11DE1F" w:rsidR="00704723" w:rsidRPr="00F321FC" w:rsidRDefault="00704723" w:rsidP="00704723">
            <w:pPr>
              <w:rPr>
                <w:rFonts w:cs="Arial"/>
              </w:rPr>
            </w:pPr>
            <w:r>
              <w:rPr>
                <w:rFonts w:eastAsia="Times New Roman" w:cs="Arial"/>
                <w:szCs w:val="24"/>
                <w:lang w:eastAsia="en-GB"/>
              </w:rPr>
              <w:t xml:space="preserve">More frequent monitoring may be required. </w:t>
            </w:r>
          </w:p>
        </w:tc>
      </w:tr>
      <w:tr w:rsidR="00704723" w:rsidRPr="00F321FC" w14:paraId="7B45BBDF" w14:textId="77777777" w:rsidTr="00704723">
        <w:trPr>
          <w:cantSplit/>
          <w:trHeight w:val="48"/>
        </w:trPr>
        <w:tc>
          <w:tcPr>
            <w:tcW w:w="4253" w:type="dxa"/>
          </w:tcPr>
          <w:p w14:paraId="54833CB4" w14:textId="77777777" w:rsidR="00704723" w:rsidRDefault="00704723" w:rsidP="00704723">
            <w:pPr>
              <w:rPr>
                <w:rFonts w:eastAsia="Times New Roman" w:cs="Arial"/>
                <w:b/>
                <w:szCs w:val="24"/>
                <w:lang w:eastAsia="en-GB"/>
              </w:rPr>
            </w:pPr>
            <w:r>
              <w:rPr>
                <w:rFonts w:eastAsia="Times New Roman" w:cs="Arial"/>
                <w:b/>
                <w:szCs w:val="24"/>
                <w:lang w:eastAsia="en-GB"/>
              </w:rPr>
              <w:t>Thyroid function</w:t>
            </w:r>
          </w:p>
          <w:p w14:paraId="742A5874" w14:textId="49BC9F87" w:rsidR="00704723" w:rsidRPr="00F321FC" w:rsidRDefault="00704723" w:rsidP="00704723">
            <w:pPr>
              <w:rPr>
                <w:rFonts w:cs="Arial"/>
              </w:rPr>
            </w:pPr>
            <w:r>
              <w:rPr>
                <w:rFonts w:eastAsia="Times New Roman" w:cs="Arial"/>
                <w:szCs w:val="24"/>
                <w:lang w:eastAsia="en-GB"/>
              </w:rPr>
              <w:t>Altered TFTs without symptoms</w:t>
            </w:r>
          </w:p>
        </w:tc>
        <w:tc>
          <w:tcPr>
            <w:tcW w:w="6237" w:type="dxa"/>
            <w:vAlign w:val="center"/>
          </w:tcPr>
          <w:p w14:paraId="6440EB96" w14:textId="77777777" w:rsidR="00704723" w:rsidRDefault="00704723" w:rsidP="00704723">
            <w:pPr>
              <w:rPr>
                <w:rFonts w:eastAsia="Times New Roman" w:cs="Arial"/>
                <w:szCs w:val="24"/>
                <w:lang w:eastAsia="en-GB"/>
              </w:rPr>
            </w:pPr>
            <w:r>
              <w:rPr>
                <w:rFonts w:eastAsia="Times New Roman" w:cs="Arial"/>
                <w:szCs w:val="24"/>
                <w:lang w:eastAsia="en-GB"/>
              </w:rPr>
              <w:t>Contact specialist team for advice.</w:t>
            </w:r>
          </w:p>
          <w:p w14:paraId="299AC8C3" w14:textId="77777777" w:rsidR="00704723" w:rsidRDefault="00704723" w:rsidP="00704723">
            <w:pPr>
              <w:rPr>
                <w:rFonts w:eastAsia="Times New Roman" w:cs="Arial"/>
                <w:szCs w:val="24"/>
                <w:lang w:eastAsia="en-GB"/>
              </w:rPr>
            </w:pPr>
            <w:r>
              <w:rPr>
                <w:rFonts w:eastAsia="Times New Roman" w:cs="Arial"/>
                <w:szCs w:val="24"/>
                <w:lang w:eastAsia="en-GB"/>
              </w:rPr>
              <w:t xml:space="preserve">During lithium treatment, TFTs are commonly abnormal; the TSH can rise early in treatment but settle with time. </w:t>
            </w:r>
          </w:p>
          <w:p w14:paraId="3B5D0997" w14:textId="3214B091" w:rsidR="00704723" w:rsidRPr="00F321FC" w:rsidRDefault="00704723" w:rsidP="00704723">
            <w:pPr>
              <w:rPr>
                <w:rFonts w:cs="Arial"/>
              </w:rPr>
            </w:pPr>
            <w:r>
              <w:rPr>
                <w:rFonts w:eastAsia="Times New Roman" w:cs="Arial"/>
                <w:szCs w:val="24"/>
                <w:lang w:eastAsia="en-GB"/>
              </w:rPr>
              <w:t>Note that the symptoms of hypothyroidism can be difficult to discriminate from depression and the common side effects of lithium.</w:t>
            </w:r>
          </w:p>
        </w:tc>
      </w:tr>
      <w:tr w:rsidR="00704723" w:rsidRPr="00F321FC" w14:paraId="6BD1EF9B" w14:textId="77777777" w:rsidTr="00704723">
        <w:trPr>
          <w:cantSplit/>
          <w:trHeight w:val="48"/>
        </w:trPr>
        <w:tc>
          <w:tcPr>
            <w:tcW w:w="4253" w:type="dxa"/>
          </w:tcPr>
          <w:p w14:paraId="5EC66857" w14:textId="77777777" w:rsidR="00704723" w:rsidRDefault="00704723" w:rsidP="00704723">
            <w:pPr>
              <w:rPr>
                <w:rFonts w:cs="Arial"/>
                <w:bCs/>
                <w:szCs w:val="24"/>
              </w:rPr>
            </w:pPr>
            <w:r>
              <w:rPr>
                <w:rFonts w:cs="Arial"/>
                <w:bCs/>
                <w:szCs w:val="24"/>
              </w:rPr>
              <w:lastRenderedPageBreak/>
              <w:t xml:space="preserve">Subclinical </w:t>
            </w:r>
            <w:r>
              <w:rPr>
                <w:rFonts w:eastAsia="Times New Roman" w:cs="Arial"/>
                <w:szCs w:val="24"/>
                <w:u w:val="single"/>
                <w:lang w:eastAsia="en-GB"/>
              </w:rPr>
              <w:t>hypo</w:t>
            </w:r>
            <w:r>
              <w:rPr>
                <w:rFonts w:eastAsia="Times New Roman" w:cs="Arial"/>
                <w:szCs w:val="24"/>
                <w:lang w:eastAsia="en-GB"/>
              </w:rPr>
              <w:t>thyroidism</w:t>
            </w:r>
          </w:p>
          <w:p w14:paraId="7C9DBE40" w14:textId="77777777" w:rsidR="00704723" w:rsidRDefault="00704723" w:rsidP="00093D5F">
            <w:pPr>
              <w:pStyle w:val="ListParagraph"/>
              <w:numPr>
                <w:ilvl w:val="0"/>
                <w:numId w:val="16"/>
              </w:numPr>
              <w:rPr>
                <w:rFonts w:cs="Arial"/>
                <w:bCs/>
                <w:szCs w:val="24"/>
              </w:rPr>
            </w:pPr>
            <w:r>
              <w:rPr>
                <w:rFonts w:cs="Arial"/>
                <w:bCs/>
                <w:szCs w:val="24"/>
              </w:rPr>
              <w:t>Raised TSH</w:t>
            </w:r>
          </w:p>
          <w:p w14:paraId="2D12EA25" w14:textId="77777777" w:rsidR="00704723" w:rsidRPr="00704723" w:rsidRDefault="00704723" w:rsidP="00093D5F">
            <w:pPr>
              <w:pStyle w:val="ListParagraph"/>
              <w:numPr>
                <w:ilvl w:val="0"/>
                <w:numId w:val="16"/>
              </w:numPr>
              <w:rPr>
                <w:rFonts w:cs="Arial"/>
              </w:rPr>
            </w:pPr>
            <w:r>
              <w:rPr>
                <w:rFonts w:cs="Arial"/>
                <w:bCs/>
                <w:szCs w:val="24"/>
              </w:rPr>
              <w:t>Normal T4</w:t>
            </w:r>
          </w:p>
          <w:p w14:paraId="5E311FBE" w14:textId="014E1F49" w:rsidR="00704723" w:rsidRPr="00F321FC" w:rsidRDefault="00704723" w:rsidP="00093D5F">
            <w:pPr>
              <w:pStyle w:val="ListParagraph"/>
              <w:numPr>
                <w:ilvl w:val="0"/>
                <w:numId w:val="16"/>
              </w:numPr>
              <w:rPr>
                <w:rFonts w:cs="Arial"/>
              </w:rPr>
            </w:pPr>
            <w:r>
              <w:rPr>
                <w:rFonts w:cs="Arial"/>
                <w:bCs/>
                <w:szCs w:val="24"/>
              </w:rPr>
              <w:t>Clinical features not overtly manifest</w:t>
            </w:r>
          </w:p>
        </w:tc>
        <w:tc>
          <w:tcPr>
            <w:tcW w:w="6237" w:type="dxa"/>
            <w:vAlign w:val="center"/>
          </w:tcPr>
          <w:p w14:paraId="55FE2797" w14:textId="77777777" w:rsidR="00704723" w:rsidRDefault="00704723" w:rsidP="00704723">
            <w:pPr>
              <w:rPr>
                <w:rFonts w:eastAsia="Times New Roman" w:cs="Arial"/>
                <w:szCs w:val="24"/>
                <w:lang w:eastAsia="en-GB"/>
              </w:rPr>
            </w:pPr>
            <w:r>
              <w:rPr>
                <w:rFonts w:eastAsia="Times New Roman" w:cs="Arial"/>
                <w:szCs w:val="24"/>
                <w:lang w:eastAsia="en-GB"/>
              </w:rPr>
              <w:t xml:space="preserve">Contact specialist team for advice, which may include input from endocrinology services. </w:t>
            </w:r>
          </w:p>
          <w:p w14:paraId="1241B848" w14:textId="77777777" w:rsidR="00704723" w:rsidRDefault="00704723" w:rsidP="00704723">
            <w:pPr>
              <w:rPr>
                <w:rFonts w:eastAsia="Times New Roman" w:cs="Arial"/>
                <w:szCs w:val="24"/>
                <w:lang w:eastAsia="en-GB"/>
              </w:rPr>
            </w:pPr>
            <w:r>
              <w:rPr>
                <w:rFonts w:eastAsia="Times New Roman" w:cs="Arial"/>
                <w:szCs w:val="24"/>
                <w:lang w:eastAsia="en-GB"/>
              </w:rPr>
              <w:t>The optimal management of subclinical hypothyroidism during lithium treatment remains controversial, with different thresholds for treatment advocated.</w:t>
            </w:r>
          </w:p>
          <w:p w14:paraId="25E56149" w14:textId="7E474F42" w:rsidR="00704723" w:rsidRPr="00F321FC" w:rsidRDefault="00704723" w:rsidP="00704723">
            <w:pPr>
              <w:rPr>
                <w:rFonts w:cs="Arial"/>
              </w:rPr>
            </w:pPr>
            <w:r>
              <w:rPr>
                <w:rFonts w:eastAsia="Times New Roman" w:cs="Arial"/>
                <w:szCs w:val="24"/>
                <w:lang w:eastAsia="en-GB"/>
              </w:rPr>
              <w:t>Anticipate the need for additional monitoring, investigations and potentially thyroid hormone replacement based on specialist recommendations.</w:t>
            </w:r>
          </w:p>
        </w:tc>
      </w:tr>
      <w:tr w:rsidR="00704723" w:rsidRPr="00F321FC" w14:paraId="525ED011" w14:textId="77777777" w:rsidTr="00704723">
        <w:trPr>
          <w:cantSplit/>
          <w:trHeight w:val="48"/>
        </w:trPr>
        <w:tc>
          <w:tcPr>
            <w:tcW w:w="4253" w:type="dxa"/>
          </w:tcPr>
          <w:p w14:paraId="10B8A485" w14:textId="77777777" w:rsidR="00704723" w:rsidRDefault="00704723" w:rsidP="00704723">
            <w:pPr>
              <w:rPr>
                <w:rFonts w:eastAsia="Times New Roman" w:cs="Arial"/>
                <w:szCs w:val="24"/>
                <w:lang w:eastAsia="en-GB"/>
              </w:rPr>
            </w:pPr>
            <w:r>
              <w:rPr>
                <w:rFonts w:eastAsia="Times New Roman" w:cs="Arial"/>
                <w:szCs w:val="24"/>
                <w:lang w:eastAsia="en-GB"/>
              </w:rPr>
              <w:t xml:space="preserve">Overt </w:t>
            </w:r>
            <w:r>
              <w:rPr>
                <w:rFonts w:eastAsia="Times New Roman" w:cs="Arial"/>
                <w:szCs w:val="24"/>
                <w:u w:val="single"/>
                <w:lang w:eastAsia="en-GB"/>
              </w:rPr>
              <w:t>hypo</w:t>
            </w:r>
            <w:r>
              <w:rPr>
                <w:rFonts w:eastAsia="Times New Roman" w:cs="Arial"/>
                <w:szCs w:val="24"/>
                <w:lang w:eastAsia="en-GB"/>
              </w:rPr>
              <w:t>thyroidism</w:t>
            </w:r>
          </w:p>
          <w:p w14:paraId="168C3A71" w14:textId="77777777" w:rsidR="00704723" w:rsidRDefault="00704723" w:rsidP="00093D5F">
            <w:pPr>
              <w:pStyle w:val="ListParagraph"/>
              <w:numPr>
                <w:ilvl w:val="0"/>
                <w:numId w:val="17"/>
              </w:numPr>
              <w:rPr>
                <w:rFonts w:eastAsia="Times New Roman" w:cs="Arial"/>
                <w:szCs w:val="24"/>
                <w:lang w:eastAsia="en-GB"/>
              </w:rPr>
            </w:pPr>
            <w:r>
              <w:rPr>
                <w:rFonts w:eastAsia="Times New Roman" w:cs="Arial"/>
                <w:szCs w:val="24"/>
                <w:lang w:eastAsia="en-GB"/>
              </w:rPr>
              <w:t>High TSH</w:t>
            </w:r>
          </w:p>
          <w:p w14:paraId="1CAAB667" w14:textId="77777777" w:rsidR="00704723" w:rsidRDefault="00704723" w:rsidP="00093D5F">
            <w:pPr>
              <w:pStyle w:val="ListParagraph"/>
              <w:numPr>
                <w:ilvl w:val="0"/>
                <w:numId w:val="17"/>
              </w:numPr>
              <w:rPr>
                <w:rFonts w:eastAsia="Times New Roman" w:cs="Arial"/>
                <w:szCs w:val="24"/>
                <w:lang w:eastAsia="en-GB"/>
              </w:rPr>
            </w:pPr>
            <w:r>
              <w:rPr>
                <w:rFonts w:eastAsia="Times New Roman" w:cs="Arial"/>
                <w:szCs w:val="24"/>
                <w:lang w:eastAsia="en-GB"/>
              </w:rPr>
              <w:t>Low T4</w:t>
            </w:r>
          </w:p>
          <w:p w14:paraId="5C244D7B" w14:textId="77777777" w:rsidR="00704723" w:rsidRDefault="00704723" w:rsidP="00093D5F">
            <w:pPr>
              <w:pStyle w:val="ListParagraph"/>
              <w:numPr>
                <w:ilvl w:val="0"/>
                <w:numId w:val="17"/>
              </w:numPr>
              <w:rPr>
                <w:rFonts w:eastAsia="Times New Roman" w:cs="Arial"/>
                <w:szCs w:val="24"/>
                <w:lang w:eastAsia="en-GB"/>
              </w:rPr>
            </w:pPr>
            <w:r>
              <w:rPr>
                <w:rFonts w:eastAsia="Times New Roman" w:cs="Arial"/>
                <w:szCs w:val="24"/>
                <w:lang w:eastAsia="en-GB"/>
              </w:rPr>
              <w:t>Symptomatic</w:t>
            </w:r>
          </w:p>
          <w:p w14:paraId="056AACBC" w14:textId="685FB4BD" w:rsidR="00704723" w:rsidRPr="00F321FC" w:rsidRDefault="00704723" w:rsidP="00704723">
            <w:pPr>
              <w:rPr>
                <w:rFonts w:cs="Arial"/>
              </w:rPr>
            </w:pPr>
          </w:p>
        </w:tc>
        <w:tc>
          <w:tcPr>
            <w:tcW w:w="6237" w:type="dxa"/>
            <w:vAlign w:val="center"/>
          </w:tcPr>
          <w:p w14:paraId="77BD4D22" w14:textId="77777777" w:rsidR="00704723" w:rsidRDefault="00704723" w:rsidP="00704723">
            <w:pPr>
              <w:rPr>
                <w:rFonts w:eastAsia="Times New Roman" w:cs="Arial"/>
                <w:szCs w:val="24"/>
                <w:lang w:eastAsia="en-GB"/>
              </w:rPr>
            </w:pPr>
            <w:r>
              <w:rPr>
                <w:rFonts w:eastAsia="Times New Roman" w:cs="Arial"/>
                <w:szCs w:val="24"/>
                <w:lang w:eastAsia="en-GB"/>
              </w:rPr>
              <w:t>Contact specialist team for advice, which may include input from endocrinology services.</w:t>
            </w:r>
          </w:p>
          <w:p w14:paraId="499E20D8" w14:textId="34450F4F" w:rsidR="00704723" w:rsidRPr="00F321FC" w:rsidRDefault="00704723" w:rsidP="00704723">
            <w:pPr>
              <w:rPr>
                <w:rFonts w:cs="Arial"/>
              </w:rPr>
            </w:pPr>
            <w:r>
              <w:rPr>
                <w:rFonts w:eastAsia="Times New Roman" w:cs="Arial"/>
                <w:szCs w:val="24"/>
                <w:lang w:eastAsia="en-GB"/>
              </w:rPr>
              <w:t>Thyroid hormone replacement is usually indicated and often continued throughout the course of lithium treatment.</w:t>
            </w:r>
          </w:p>
        </w:tc>
      </w:tr>
      <w:tr w:rsidR="00704723" w:rsidRPr="00F321FC" w14:paraId="1D57B6D7" w14:textId="77777777" w:rsidTr="00704723">
        <w:trPr>
          <w:cantSplit/>
          <w:trHeight w:val="48"/>
        </w:trPr>
        <w:tc>
          <w:tcPr>
            <w:tcW w:w="4253" w:type="dxa"/>
          </w:tcPr>
          <w:p w14:paraId="0749D0BF" w14:textId="58690A36" w:rsidR="00704723" w:rsidRPr="00F321FC" w:rsidRDefault="00704723" w:rsidP="00704723">
            <w:pPr>
              <w:rPr>
                <w:rFonts w:cs="Arial"/>
              </w:rPr>
            </w:pPr>
            <w:r>
              <w:rPr>
                <w:rFonts w:eastAsia="Times New Roman" w:cs="Arial"/>
                <w:szCs w:val="24"/>
                <w:u w:val="single"/>
                <w:lang w:eastAsia="en-GB"/>
              </w:rPr>
              <w:t>Hyper</w:t>
            </w:r>
            <w:r>
              <w:rPr>
                <w:rFonts w:eastAsia="Times New Roman" w:cs="Arial"/>
                <w:szCs w:val="24"/>
                <w:lang w:eastAsia="en-GB"/>
              </w:rPr>
              <w:t xml:space="preserve">thyroidism </w:t>
            </w:r>
          </w:p>
        </w:tc>
        <w:tc>
          <w:tcPr>
            <w:tcW w:w="6237" w:type="dxa"/>
            <w:vAlign w:val="center"/>
          </w:tcPr>
          <w:p w14:paraId="13AE35EE" w14:textId="50B9A284" w:rsidR="00704723" w:rsidRPr="00F321FC" w:rsidRDefault="00704723" w:rsidP="00704723">
            <w:pPr>
              <w:rPr>
                <w:rFonts w:cs="Arial"/>
              </w:rPr>
            </w:pPr>
            <w:r>
              <w:rPr>
                <w:rFonts w:eastAsia="Times New Roman" w:cs="Arial"/>
                <w:szCs w:val="24"/>
                <w:lang w:eastAsia="en-GB"/>
              </w:rPr>
              <w:t>Contact specialist team for advice, which may include input from endocrinology services.</w:t>
            </w:r>
          </w:p>
        </w:tc>
      </w:tr>
      <w:tr w:rsidR="00704723" w:rsidRPr="00F321FC" w14:paraId="38F6C6F9" w14:textId="77777777" w:rsidTr="00704723">
        <w:trPr>
          <w:cantSplit/>
          <w:trHeight w:val="48"/>
        </w:trPr>
        <w:tc>
          <w:tcPr>
            <w:tcW w:w="4253" w:type="dxa"/>
          </w:tcPr>
          <w:p w14:paraId="7C9C872E" w14:textId="77777777" w:rsidR="00704723" w:rsidRDefault="00704723" w:rsidP="00704723">
            <w:pPr>
              <w:rPr>
                <w:rFonts w:cs="Arial"/>
                <w:b/>
                <w:bCs/>
                <w:szCs w:val="24"/>
              </w:rPr>
            </w:pPr>
            <w:r>
              <w:rPr>
                <w:rFonts w:cs="Arial"/>
                <w:b/>
                <w:bCs/>
                <w:szCs w:val="24"/>
              </w:rPr>
              <w:t>Renal function</w:t>
            </w:r>
          </w:p>
          <w:p w14:paraId="1BFAD8C3" w14:textId="77777777" w:rsidR="00704723" w:rsidRDefault="00704723" w:rsidP="00704723">
            <w:pPr>
              <w:rPr>
                <w:rFonts w:eastAsia="Times New Roman" w:cs="Arial"/>
                <w:szCs w:val="24"/>
                <w:lang w:eastAsia="en-GB"/>
              </w:rPr>
            </w:pPr>
            <w:r>
              <w:rPr>
                <w:rFonts w:cs="Arial"/>
                <w:bCs/>
                <w:szCs w:val="24"/>
              </w:rPr>
              <w:t>Polyuria and polydipsia</w:t>
            </w:r>
          </w:p>
          <w:p w14:paraId="254FB770" w14:textId="2AB4E827" w:rsidR="00704723" w:rsidRPr="00F321FC" w:rsidRDefault="00704723" w:rsidP="00704723">
            <w:pPr>
              <w:rPr>
                <w:rFonts w:cs="Arial"/>
              </w:rPr>
            </w:pPr>
          </w:p>
        </w:tc>
        <w:tc>
          <w:tcPr>
            <w:tcW w:w="6237" w:type="dxa"/>
            <w:vAlign w:val="center"/>
          </w:tcPr>
          <w:p w14:paraId="015A7DCC" w14:textId="77777777" w:rsidR="00704723" w:rsidRDefault="00704723" w:rsidP="00704723">
            <w:pPr>
              <w:rPr>
                <w:rFonts w:eastAsia="Times New Roman" w:cs="Arial"/>
                <w:szCs w:val="24"/>
                <w:lang w:eastAsia="en-GB"/>
              </w:rPr>
            </w:pPr>
            <w:r>
              <w:rPr>
                <w:rFonts w:eastAsia="Times New Roman" w:cs="Arial"/>
                <w:szCs w:val="24"/>
                <w:lang w:eastAsia="en-GB"/>
              </w:rPr>
              <w:t xml:space="preserve">Polyuria is common with lithium and often well tolerated. Advise the patient to maintain adequate fluid intake and advocate excellent oral hygiene. </w:t>
            </w:r>
          </w:p>
          <w:p w14:paraId="3EC57A6F" w14:textId="07989D21" w:rsidR="00704723" w:rsidRPr="00F321FC" w:rsidRDefault="00704723" w:rsidP="00704723">
            <w:pPr>
              <w:rPr>
                <w:rFonts w:cs="Arial"/>
              </w:rPr>
            </w:pPr>
            <w:r>
              <w:rPr>
                <w:rFonts w:eastAsia="Times New Roman" w:cs="Arial"/>
                <w:szCs w:val="24"/>
                <w:lang w:eastAsia="en-GB"/>
              </w:rPr>
              <w:t>Contact specialist team for advice, which may include input from nephrology services. In some instances, dose adjustment or specific treatments may be advocated.</w:t>
            </w:r>
          </w:p>
        </w:tc>
      </w:tr>
      <w:tr w:rsidR="00704723" w:rsidRPr="00F321FC" w14:paraId="6C0FFF07" w14:textId="77777777" w:rsidTr="00704723">
        <w:trPr>
          <w:cantSplit/>
          <w:trHeight w:val="48"/>
        </w:trPr>
        <w:tc>
          <w:tcPr>
            <w:tcW w:w="4253" w:type="dxa"/>
          </w:tcPr>
          <w:p w14:paraId="3A14071F" w14:textId="04D0C04D" w:rsidR="00704723" w:rsidRPr="00F321FC" w:rsidRDefault="00704723" w:rsidP="00704723">
            <w:pPr>
              <w:rPr>
                <w:rFonts w:cs="Arial"/>
              </w:rPr>
            </w:pPr>
            <w:r>
              <w:rPr>
                <w:rFonts w:cs="Arial"/>
                <w:bCs/>
                <w:szCs w:val="24"/>
              </w:rPr>
              <w:t>U&amp;Es or calcium out of range</w:t>
            </w:r>
          </w:p>
        </w:tc>
        <w:tc>
          <w:tcPr>
            <w:tcW w:w="6237" w:type="dxa"/>
            <w:vAlign w:val="center"/>
          </w:tcPr>
          <w:p w14:paraId="576E09A0" w14:textId="77777777" w:rsidR="00704723" w:rsidRDefault="00704723" w:rsidP="00704723">
            <w:pPr>
              <w:rPr>
                <w:rFonts w:eastAsia="Times New Roman" w:cs="Arial"/>
                <w:szCs w:val="24"/>
                <w:lang w:eastAsia="en-GB"/>
              </w:rPr>
            </w:pPr>
            <w:r>
              <w:rPr>
                <w:rFonts w:eastAsia="Times New Roman" w:cs="Arial"/>
                <w:szCs w:val="24"/>
                <w:lang w:eastAsia="en-GB"/>
              </w:rPr>
              <w:t xml:space="preserve">Check that the most recent 12-hour plasma lithium level is in the desired range and act accordingly if not. </w:t>
            </w:r>
          </w:p>
          <w:p w14:paraId="3374116F" w14:textId="77777777" w:rsidR="00704723" w:rsidRDefault="00704723" w:rsidP="00704723">
            <w:pPr>
              <w:rPr>
                <w:rFonts w:eastAsia="Times New Roman" w:cs="Arial"/>
                <w:szCs w:val="24"/>
                <w:lang w:eastAsia="en-GB"/>
              </w:rPr>
            </w:pPr>
            <w:r>
              <w:rPr>
                <w:rFonts w:eastAsia="Times New Roman" w:cs="Arial"/>
                <w:szCs w:val="24"/>
                <w:lang w:eastAsia="en-GB"/>
              </w:rPr>
              <w:t>Determine whether there are symptoms and signs related to the electrolyte disturbance or lithium toxicity.</w:t>
            </w:r>
          </w:p>
          <w:p w14:paraId="06CDAA71" w14:textId="77777777" w:rsidR="00704723" w:rsidRDefault="00704723" w:rsidP="00704723">
            <w:pPr>
              <w:rPr>
                <w:rFonts w:eastAsia="Times New Roman" w:cs="Arial"/>
                <w:szCs w:val="24"/>
                <w:lang w:eastAsia="en-GB"/>
              </w:rPr>
            </w:pPr>
            <w:r>
              <w:rPr>
                <w:rFonts w:eastAsia="Times New Roman" w:cs="Arial"/>
                <w:szCs w:val="24"/>
                <w:lang w:eastAsia="en-GB"/>
              </w:rPr>
              <w:t>Consider arranging an ECG in those at risk for QT prolongation.</w:t>
            </w:r>
          </w:p>
          <w:p w14:paraId="0EBFB85A" w14:textId="1B105FBC" w:rsidR="00704723" w:rsidRPr="00F321FC" w:rsidRDefault="00704723" w:rsidP="00704723">
            <w:pPr>
              <w:rPr>
                <w:rFonts w:cs="Arial"/>
              </w:rPr>
            </w:pPr>
            <w:r>
              <w:rPr>
                <w:rFonts w:eastAsia="Times New Roman" w:cs="Arial"/>
                <w:szCs w:val="24"/>
                <w:lang w:eastAsia="en-GB"/>
              </w:rPr>
              <w:t>Contact specialist team for advice. Changes in calcium levels may reflect parathyroid dysfunction and input from endocrinology services may be indicated.</w:t>
            </w:r>
          </w:p>
        </w:tc>
      </w:tr>
      <w:tr w:rsidR="00704723" w:rsidRPr="00F321FC" w14:paraId="32C58BB9" w14:textId="77777777" w:rsidTr="00704723">
        <w:trPr>
          <w:cantSplit/>
          <w:trHeight w:val="48"/>
        </w:trPr>
        <w:tc>
          <w:tcPr>
            <w:tcW w:w="4253" w:type="dxa"/>
            <w:vAlign w:val="center"/>
          </w:tcPr>
          <w:p w14:paraId="5E3568FD" w14:textId="3E27DCAB" w:rsidR="00704723" w:rsidRDefault="00704723" w:rsidP="00704723">
            <w:pPr>
              <w:rPr>
                <w:rFonts w:cs="Arial"/>
                <w:bCs/>
                <w:szCs w:val="24"/>
              </w:rPr>
            </w:pPr>
            <w:r>
              <w:rPr>
                <w:rFonts w:cs="Arial"/>
                <w:bCs/>
                <w:szCs w:val="24"/>
              </w:rPr>
              <w:lastRenderedPageBreak/>
              <w:t>eGFR less than 45ml/min, or</w:t>
            </w:r>
          </w:p>
          <w:p w14:paraId="4209ACDE" w14:textId="642CC418" w:rsidR="00704723" w:rsidRDefault="00704723" w:rsidP="00704723">
            <w:pPr>
              <w:rPr>
                <w:rFonts w:cs="Arial"/>
                <w:bCs/>
                <w:szCs w:val="24"/>
              </w:rPr>
            </w:pPr>
            <w:r>
              <w:rPr>
                <w:rFonts w:cs="Arial"/>
                <w:bCs/>
                <w:szCs w:val="24"/>
              </w:rPr>
              <w:t>rapidly falling eGFR, or</w:t>
            </w:r>
          </w:p>
          <w:p w14:paraId="4B6DB15E" w14:textId="08399D43" w:rsidR="00704723" w:rsidRPr="00F321FC" w:rsidRDefault="00704723" w:rsidP="00704723">
            <w:pPr>
              <w:rPr>
                <w:rFonts w:cs="Arial"/>
              </w:rPr>
            </w:pPr>
            <w:r>
              <w:rPr>
                <w:rFonts w:cs="Arial"/>
                <w:bCs/>
                <w:szCs w:val="24"/>
              </w:rPr>
              <w:t xml:space="preserve">gradual decline in eGFR </w:t>
            </w:r>
          </w:p>
        </w:tc>
        <w:tc>
          <w:tcPr>
            <w:tcW w:w="6237" w:type="dxa"/>
            <w:vAlign w:val="center"/>
          </w:tcPr>
          <w:p w14:paraId="2552DA4D" w14:textId="77777777" w:rsidR="00704723" w:rsidRDefault="00704723" w:rsidP="00704723">
            <w:pPr>
              <w:rPr>
                <w:rFonts w:eastAsia="Times New Roman" w:cs="Arial"/>
                <w:szCs w:val="24"/>
                <w:lang w:eastAsia="en-GB"/>
              </w:rPr>
            </w:pPr>
            <w:r>
              <w:rPr>
                <w:rFonts w:eastAsia="Times New Roman" w:cs="Arial"/>
                <w:szCs w:val="24"/>
                <w:lang w:eastAsia="en-GB"/>
              </w:rPr>
              <w:t xml:space="preserve">The response to impaired or deteriorating renal function should be individualised. </w:t>
            </w:r>
          </w:p>
          <w:p w14:paraId="768D6FF8" w14:textId="77777777" w:rsidR="00704723" w:rsidRDefault="00704723" w:rsidP="00704723">
            <w:pPr>
              <w:rPr>
                <w:rFonts w:eastAsia="Times New Roman" w:cs="Arial"/>
                <w:szCs w:val="24"/>
                <w:lang w:eastAsia="en-GB"/>
              </w:rPr>
            </w:pPr>
            <w:r>
              <w:rPr>
                <w:rFonts w:eastAsia="Times New Roman" w:cs="Arial"/>
                <w:szCs w:val="24"/>
                <w:lang w:eastAsia="en-GB"/>
              </w:rPr>
              <w:t>Contact specialist team for advice, which may include input from nephrology services. A cardiovascular risk profile may guide specialist advice and should be provided if available. Use clinical judgement to determine the urgency of consultation.</w:t>
            </w:r>
          </w:p>
          <w:p w14:paraId="2B0D7F8C" w14:textId="77777777" w:rsidR="00704723" w:rsidRDefault="00704723" w:rsidP="00704723">
            <w:pPr>
              <w:rPr>
                <w:rFonts w:eastAsia="Times New Roman" w:cs="Arial"/>
                <w:szCs w:val="24"/>
                <w:lang w:eastAsia="en-GB"/>
              </w:rPr>
            </w:pPr>
            <w:r>
              <w:rPr>
                <w:rFonts w:eastAsia="Times New Roman" w:cs="Arial"/>
                <w:szCs w:val="24"/>
                <w:lang w:eastAsia="en-GB"/>
              </w:rPr>
              <w:t xml:space="preserve">Anticipate the need for increased monitoring as trends in renal function are more useful than absolute values. In the elderly or those at the extremes of muscle mass, creatinine clearance provides a better estimate of renal function than eGFR. </w:t>
            </w:r>
          </w:p>
          <w:p w14:paraId="6BB8FCC2" w14:textId="3FE2DA7A" w:rsidR="00704723" w:rsidRPr="00F321FC" w:rsidRDefault="00704723" w:rsidP="00704723">
            <w:pPr>
              <w:rPr>
                <w:rFonts w:cs="Arial"/>
              </w:rPr>
            </w:pPr>
            <w:r>
              <w:rPr>
                <w:rFonts w:eastAsia="Times New Roman" w:cs="Arial"/>
                <w:szCs w:val="24"/>
                <w:lang w:eastAsia="en-GB"/>
              </w:rPr>
              <w:t>Adjustments to dose may be advised. If renal function is significantly compromised, lithium may no longer be an appropriate treatment and specialists will advise accordingly.</w:t>
            </w:r>
          </w:p>
        </w:tc>
      </w:tr>
      <w:tr w:rsidR="00704723" w:rsidRPr="00F321FC" w14:paraId="438CD57B" w14:textId="77777777" w:rsidTr="00704723">
        <w:trPr>
          <w:cantSplit/>
          <w:trHeight w:val="48"/>
        </w:trPr>
        <w:tc>
          <w:tcPr>
            <w:tcW w:w="4253" w:type="dxa"/>
          </w:tcPr>
          <w:p w14:paraId="7CE45222" w14:textId="7BBC570D" w:rsidR="00704723" w:rsidRDefault="00704723" w:rsidP="00704723">
            <w:pPr>
              <w:rPr>
                <w:rFonts w:eastAsia="Times New Roman" w:cs="Arial"/>
                <w:b/>
                <w:szCs w:val="24"/>
                <w:lang w:eastAsia="en-GB"/>
              </w:rPr>
            </w:pPr>
            <w:r>
              <w:rPr>
                <w:rFonts w:cs="Arial"/>
                <w:b/>
                <w:bCs/>
                <w:szCs w:val="24"/>
              </w:rPr>
              <w:t xml:space="preserve">Weight </w:t>
            </w:r>
            <w:r w:rsidR="007D1D2D">
              <w:rPr>
                <w:rFonts w:cs="Arial"/>
                <w:b/>
                <w:bCs/>
                <w:szCs w:val="24"/>
              </w:rPr>
              <w:t xml:space="preserve">or </w:t>
            </w:r>
            <w:r>
              <w:rPr>
                <w:rFonts w:cs="Arial"/>
                <w:b/>
                <w:bCs/>
                <w:szCs w:val="24"/>
              </w:rPr>
              <w:t>BMI</w:t>
            </w:r>
          </w:p>
          <w:p w14:paraId="17B4C112" w14:textId="5E2FDE0F" w:rsidR="00704723" w:rsidRPr="00F321FC" w:rsidRDefault="00704723" w:rsidP="00704723">
            <w:pPr>
              <w:rPr>
                <w:rFonts w:cs="Arial"/>
              </w:rPr>
            </w:pPr>
            <w:r>
              <w:rPr>
                <w:rFonts w:cs="Arial"/>
                <w:bCs/>
                <w:szCs w:val="24"/>
              </w:rPr>
              <w:t>Outside healthy range</w:t>
            </w:r>
          </w:p>
        </w:tc>
        <w:tc>
          <w:tcPr>
            <w:tcW w:w="6237" w:type="dxa"/>
          </w:tcPr>
          <w:p w14:paraId="6D66BB17" w14:textId="77777777" w:rsidR="00704723" w:rsidRDefault="00704723" w:rsidP="00704723">
            <w:pPr>
              <w:rPr>
                <w:rFonts w:eastAsia="Times New Roman" w:cs="Arial"/>
                <w:szCs w:val="24"/>
                <w:lang w:eastAsia="en-GB"/>
              </w:rPr>
            </w:pPr>
            <w:r>
              <w:rPr>
                <w:rFonts w:eastAsia="Times New Roman" w:cs="Arial"/>
                <w:szCs w:val="24"/>
                <w:lang w:eastAsia="en-GB"/>
              </w:rPr>
              <w:t xml:space="preserve">Provide appropriate support on multicomponent interventions to increase physical activity levels, improve eating behaviour and quality of diet. Remind patient of the importance of maintaining adequate fluid intake and avoiding dehydration while exercising. </w:t>
            </w:r>
          </w:p>
          <w:p w14:paraId="192452CD" w14:textId="77777777" w:rsidR="00704723" w:rsidRDefault="00704723" w:rsidP="00704723">
            <w:pPr>
              <w:rPr>
                <w:rFonts w:eastAsia="Times New Roman" w:cs="Arial"/>
                <w:szCs w:val="24"/>
                <w:lang w:eastAsia="en-GB"/>
              </w:rPr>
            </w:pPr>
            <w:r>
              <w:rPr>
                <w:rFonts w:eastAsia="Times New Roman" w:cs="Arial"/>
                <w:szCs w:val="24"/>
                <w:lang w:eastAsia="en-GB"/>
              </w:rPr>
              <w:t>Consider measuring waist circumference for individualised monitoring.</w:t>
            </w:r>
          </w:p>
          <w:p w14:paraId="6765B2E4" w14:textId="21893640" w:rsidR="00704723" w:rsidRPr="00F321FC" w:rsidRDefault="00704723" w:rsidP="00704723">
            <w:pPr>
              <w:rPr>
                <w:rFonts w:cs="Arial"/>
              </w:rPr>
            </w:pPr>
            <w:r>
              <w:rPr>
                <w:rFonts w:eastAsia="Times New Roman" w:cs="Arial"/>
                <w:szCs w:val="24"/>
                <w:lang w:eastAsia="en-GB"/>
              </w:rPr>
              <w:t>Patients should be instructed to avoid sudden changes in diet, especially avoiding low sodium diets. Lithium levels are influenced by body weight and so for patients being supported to lose weight, lithium levels may need to be checked more frequently (akin to other situations of caution). Use clinical judgement, lithium levels and the rate of weight loss when determining the frequency of blood tests.</w:t>
            </w:r>
          </w:p>
        </w:tc>
      </w:tr>
      <w:tr w:rsidR="00704723" w:rsidRPr="00F321FC" w14:paraId="37BD85F9" w14:textId="77777777" w:rsidTr="00704723">
        <w:trPr>
          <w:cantSplit/>
          <w:trHeight w:val="48"/>
        </w:trPr>
        <w:tc>
          <w:tcPr>
            <w:tcW w:w="4253" w:type="dxa"/>
          </w:tcPr>
          <w:p w14:paraId="27F2FC6F" w14:textId="047FBEC6" w:rsidR="00704723" w:rsidRDefault="00704723" w:rsidP="00704723">
            <w:pPr>
              <w:rPr>
                <w:rFonts w:eastAsia="Times New Roman" w:cs="Arial"/>
                <w:b/>
                <w:szCs w:val="24"/>
                <w:lang w:eastAsia="en-GB"/>
              </w:rPr>
            </w:pPr>
            <w:r>
              <w:rPr>
                <w:rFonts w:cs="Arial"/>
                <w:b/>
                <w:bCs/>
                <w:szCs w:val="24"/>
              </w:rPr>
              <w:t>Signs of toxicity</w:t>
            </w:r>
          </w:p>
          <w:p w14:paraId="65F1D0DE" w14:textId="33C65B71" w:rsidR="00704723" w:rsidRPr="00F321FC" w:rsidRDefault="00704723" w:rsidP="00704723">
            <w:pPr>
              <w:rPr>
                <w:rFonts w:cs="Arial"/>
              </w:rPr>
            </w:pPr>
            <w:r>
              <w:rPr>
                <w:rFonts w:cs="Arial"/>
                <w:bCs/>
                <w:szCs w:val="24"/>
              </w:rPr>
              <w:t>Typical signs and symptoms include diarrhoea, vomiting, loss of appetite, muscle weakness, lethargy, dizziness, ataxia, lack of coordination, tinnitus, blurred vision, coarse tremor of the extremities and lower jaw, muscle hyper-irritability, choreoathetoid movements, dysarthria, and drowsiness</w:t>
            </w:r>
          </w:p>
        </w:tc>
        <w:tc>
          <w:tcPr>
            <w:tcW w:w="6237" w:type="dxa"/>
          </w:tcPr>
          <w:p w14:paraId="187B6229" w14:textId="14940614" w:rsidR="00704723" w:rsidRDefault="00704723" w:rsidP="00704723">
            <w:pPr>
              <w:rPr>
                <w:rFonts w:eastAsia="Times New Roman" w:cs="Arial"/>
                <w:szCs w:val="24"/>
                <w:lang w:eastAsia="en-GB"/>
              </w:rPr>
            </w:pPr>
            <w:r>
              <w:rPr>
                <w:rFonts w:eastAsia="Times New Roman" w:cs="Arial"/>
                <w:szCs w:val="24"/>
                <w:lang w:eastAsia="en-GB"/>
              </w:rPr>
              <w:t xml:space="preserve">If lithium toxicity is suspected, do an urgent lithium level immediately and seek specialist advice. </w:t>
            </w:r>
          </w:p>
          <w:p w14:paraId="074D3381" w14:textId="0DB9D967" w:rsidR="00704723" w:rsidRPr="00F321FC" w:rsidRDefault="00704723" w:rsidP="00704723">
            <w:pPr>
              <w:rPr>
                <w:rFonts w:cs="Arial"/>
              </w:rPr>
            </w:pPr>
            <w:r>
              <w:rPr>
                <w:rFonts w:eastAsia="Times New Roman" w:cs="Arial"/>
                <w:szCs w:val="24"/>
                <w:lang w:eastAsia="en-GB"/>
              </w:rPr>
              <w:t>Referral to secondary care may be required depending on the severity of symptoms and the certainty of toxicity. Use clinical judgement to determine the urgency of referral.</w:t>
            </w:r>
          </w:p>
        </w:tc>
      </w:tr>
      <w:tr w:rsidR="00704723" w:rsidRPr="00F321FC" w14:paraId="214ED6F5" w14:textId="77777777" w:rsidTr="00704723">
        <w:trPr>
          <w:cantSplit/>
          <w:trHeight w:val="48"/>
        </w:trPr>
        <w:tc>
          <w:tcPr>
            <w:tcW w:w="4253" w:type="dxa"/>
          </w:tcPr>
          <w:p w14:paraId="7E88643E" w14:textId="2BDEC1CD" w:rsidR="00704723" w:rsidRPr="00F321FC" w:rsidRDefault="00704723" w:rsidP="00704723">
            <w:pPr>
              <w:rPr>
                <w:rFonts w:cs="Arial"/>
              </w:rPr>
            </w:pPr>
            <w:r>
              <w:rPr>
                <w:rFonts w:cs="Arial"/>
                <w:b/>
                <w:bCs/>
                <w:szCs w:val="24"/>
              </w:rPr>
              <w:t>Physical health check (</w:t>
            </w:r>
            <w:r w:rsidR="007D1D2D">
              <w:rPr>
                <w:rFonts w:cs="Arial"/>
                <w:b/>
                <w:bCs/>
                <w:szCs w:val="24"/>
              </w:rPr>
              <w:t xml:space="preserve">applicable to those taking lithium for </w:t>
            </w:r>
            <w:r w:rsidR="00B515FA">
              <w:rPr>
                <w:rFonts w:cs="Arial"/>
                <w:b/>
                <w:bCs/>
                <w:szCs w:val="24"/>
              </w:rPr>
              <w:t>bi</w:t>
            </w:r>
            <w:r>
              <w:rPr>
                <w:rFonts w:cs="Arial"/>
                <w:b/>
                <w:bCs/>
                <w:szCs w:val="24"/>
              </w:rPr>
              <w:t>polar disorder)</w:t>
            </w:r>
          </w:p>
        </w:tc>
        <w:tc>
          <w:tcPr>
            <w:tcW w:w="6237" w:type="dxa"/>
          </w:tcPr>
          <w:p w14:paraId="59049ED9" w14:textId="05A0BD99" w:rsidR="00704723" w:rsidRPr="00F321FC" w:rsidRDefault="00704723" w:rsidP="00704723">
            <w:pPr>
              <w:rPr>
                <w:rFonts w:cs="Arial"/>
              </w:rPr>
            </w:pPr>
            <w:r>
              <w:rPr>
                <w:rFonts w:eastAsia="Times New Roman" w:cs="Arial"/>
                <w:szCs w:val="24"/>
                <w:lang w:eastAsia="en-GB"/>
              </w:rPr>
              <w:t>Any physical health problems should be treated by the appropriate primary care health professional and communicated to the specialist team within 14 days.</w:t>
            </w:r>
          </w:p>
        </w:tc>
      </w:tr>
    </w:tbl>
    <w:p w14:paraId="3D78272D" w14:textId="77777777" w:rsidR="0051526F" w:rsidRDefault="0051526F"/>
    <w:p w14:paraId="09F0CA29"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268"/>
        <w:gridCol w:w="8193"/>
      </w:tblGrid>
      <w:tr w:rsidR="00F132AA" w:rsidRPr="00F321FC" w14:paraId="399D38CB" w14:textId="77777777" w:rsidTr="00BF174A">
        <w:tc>
          <w:tcPr>
            <w:tcW w:w="2268" w:type="dxa"/>
          </w:tcPr>
          <w:p w14:paraId="139BFC3E" w14:textId="77777777" w:rsidR="00F132AA" w:rsidRDefault="001860C1" w:rsidP="001860C1">
            <w:pPr>
              <w:pStyle w:val="Heading2"/>
              <w:outlineLvl w:val="1"/>
              <w:rPr>
                <w:rFonts w:cs="Arial"/>
              </w:rPr>
            </w:pPr>
            <w:bookmarkStart w:id="19" w:name="eleven_patient_advice"/>
            <w:bookmarkStart w:id="20" w:name="_Toc149231795"/>
            <w:r w:rsidRPr="00F321FC">
              <w:rPr>
                <w:rFonts w:cs="Arial"/>
              </w:rPr>
              <w:lastRenderedPageBreak/>
              <w:t>Advice to patients and carers</w:t>
            </w:r>
            <w:bookmarkEnd w:id="19"/>
            <w:bookmarkEnd w:id="20"/>
          </w:p>
          <w:p w14:paraId="4928E953" w14:textId="77777777" w:rsidR="005D79FA" w:rsidRDefault="005D79FA" w:rsidP="005D79FA"/>
          <w:p w14:paraId="7E51F76A" w14:textId="42531282" w:rsidR="005D79FA" w:rsidRPr="005D79FA" w:rsidRDefault="005D79FA" w:rsidP="005D79FA">
            <w:r w:rsidRPr="00F321FC">
              <w:rPr>
                <w:rFonts w:cs="Arial"/>
              </w:rPr>
              <w:t>The specialist will counsel the patient with regard to the benefits and risks of treatment and will provide the patient with any relevant information and advice, including patient information leaflets on individual drugs.</w:t>
            </w:r>
          </w:p>
        </w:tc>
        <w:tc>
          <w:tcPr>
            <w:tcW w:w="8193" w:type="dxa"/>
          </w:tcPr>
          <w:p w14:paraId="2A122FAB" w14:textId="77777777" w:rsidR="00704723" w:rsidRPr="00704723" w:rsidRDefault="00704723" w:rsidP="00704723">
            <w:pPr>
              <w:pStyle w:val="Heading4"/>
              <w:spacing w:before="60" w:after="60"/>
              <w:outlineLvl w:val="3"/>
              <w:rPr>
                <w:rFonts w:cs="Arial"/>
              </w:rPr>
            </w:pPr>
            <w:r w:rsidRPr="00704723">
              <w:rPr>
                <w:rFonts w:cs="Arial"/>
              </w:rPr>
              <w:t xml:space="preserve">The patient should be advised to report any of the following signs or symptoms to their GP without delay:           </w:t>
            </w:r>
          </w:p>
          <w:p w14:paraId="16BB8193" w14:textId="0364840A" w:rsidR="00704723" w:rsidRPr="00704723" w:rsidRDefault="00704723" w:rsidP="00093D5F">
            <w:pPr>
              <w:pStyle w:val="Heading4"/>
              <w:numPr>
                <w:ilvl w:val="0"/>
                <w:numId w:val="18"/>
              </w:numPr>
              <w:spacing w:before="60" w:after="60"/>
              <w:outlineLvl w:val="3"/>
              <w:rPr>
                <w:rFonts w:cs="Arial"/>
                <w:b w:val="0"/>
                <w:bCs/>
              </w:rPr>
            </w:pPr>
            <w:r w:rsidRPr="00704723">
              <w:rPr>
                <w:rFonts w:cs="Arial"/>
                <w:b w:val="0"/>
                <w:bCs/>
              </w:rPr>
              <w:t>Lithium toxicity (diarrhoea, vomiting, loss of appetite, muscle weakness or twitching, clumsiness or poor coordination, dizziness, confusion, tinnitus, blurred vision, coarse tremor, writhing movements, change in speech, lethargy and/or drowsiness, incontinence, restlessness, confusion, seizures/fits).</w:t>
            </w:r>
          </w:p>
          <w:p w14:paraId="3BBEF76C" w14:textId="68182784" w:rsidR="00E02EB3" w:rsidRPr="00704723" w:rsidRDefault="00704723" w:rsidP="00093D5F">
            <w:pPr>
              <w:pStyle w:val="ListParagraph"/>
              <w:numPr>
                <w:ilvl w:val="0"/>
                <w:numId w:val="18"/>
              </w:numPr>
              <w:rPr>
                <w:rFonts w:cs="Arial"/>
              </w:rPr>
            </w:pPr>
            <w:r w:rsidRPr="00704723">
              <w:rPr>
                <w:rFonts w:cs="Arial"/>
                <w:bCs/>
              </w:rPr>
              <w:t>Signs of hypothyroidism</w:t>
            </w:r>
            <w:r w:rsidRPr="00704723">
              <w:rPr>
                <w:rFonts w:cs="Arial"/>
              </w:rPr>
              <w:t xml:space="preserve"> (e.g. fatigue, cold intolerance, weight gain, constipation and depression), renal dysfunction (including polyuria and polydipsia), and benign intracranial hypertension (persistent headache and visual disturbance).</w:t>
            </w:r>
          </w:p>
          <w:p w14:paraId="36544749" w14:textId="77777777" w:rsidR="00F34C5E" w:rsidRPr="00704723" w:rsidRDefault="00F34C5E" w:rsidP="00704723">
            <w:pPr>
              <w:rPr>
                <w:rFonts w:cs="Arial"/>
              </w:rPr>
            </w:pPr>
          </w:p>
          <w:p w14:paraId="4BD31D77" w14:textId="5F03CBAE" w:rsidR="00704723" w:rsidRPr="00704723" w:rsidRDefault="00704723" w:rsidP="00704723">
            <w:pPr>
              <w:autoSpaceDE w:val="0"/>
              <w:autoSpaceDN w:val="0"/>
              <w:adjustRightInd w:val="0"/>
              <w:rPr>
                <w:rFonts w:eastAsia="Calibri" w:cs="Arial"/>
                <w:b/>
                <w:bCs/>
              </w:rPr>
            </w:pPr>
            <w:r w:rsidRPr="00704723">
              <w:rPr>
                <w:rFonts w:eastAsia="Calibri" w:cs="Arial"/>
                <w:b/>
                <w:bCs/>
              </w:rPr>
              <w:t xml:space="preserve">At the start of treatment patients should be given suitable information on lithium and means to keep a record of their plasma lithium levels, such as a </w:t>
            </w:r>
            <w:r w:rsidRPr="00704723">
              <w:rPr>
                <w:rFonts w:eastAsia="Calibri" w:cs="Arial"/>
                <w:color w:val="000000"/>
              </w:rPr>
              <w:t>purple lithium pack</w:t>
            </w:r>
            <w:r w:rsidR="004D6BB2">
              <w:rPr>
                <w:rFonts w:eastAsia="Calibri" w:cs="Arial"/>
                <w:color w:val="000000"/>
              </w:rPr>
              <w:t xml:space="preserve"> containing a patient information booklet, record booklet, and lithium alert card. S</w:t>
            </w:r>
            <w:r w:rsidRPr="00704723">
              <w:rPr>
                <w:rFonts w:eastAsia="Calibri" w:cs="Arial"/>
                <w:color w:val="000000"/>
              </w:rPr>
              <w:t xml:space="preserve">upplies can be ordered from </w:t>
            </w:r>
            <w:hyperlink r:id="rId20" w:history="1">
              <w:r w:rsidRPr="00704723">
                <w:rPr>
                  <w:rFonts w:eastAsia="Calibri" w:cs="Arial"/>
                  <w:color w:val="0000FF"/>
                  <w:u w:val="single"/>
                </w:rPr>
                <w:t>nhsforms@mmm.com</w:t>
              </w:r>
            </w:hyperlink>
            <w:r w:rsidRPr="00704723">
              <w:rPr>
                <w:rFonts w:eastAsia="Calibri" w:cs="Arial"/>
                <w:color w:val="000000"/>
              </w:rPr>
              <w:t xml:space="preserve"> or accessible at </w:t>
            </w:r>
            <w:hyperlink r:id="rId21" w:history="1">
              <w:r w:rsidRPr="00704723">
                <w:rPr>
                  <w:rFonts w:eastAsia="Calibri" w:cs="Arial"/>
                  <w:color w:val="0000FF"/>
                  <w:u w:val="single"/>
                </w:rPr>
                <w:t>Safer lithium therapy</w:t>
              </w:r>
            </w:hyperlink>
            <w:r w:rsidRPr="00704723">
              <w:rPr>
                <w:rFonts w:eastAsia="Calibri" w:cs="Arial"/>
                <w:b/>
                <w:bCs/>
              </w:rPr>
              <w:t xml:space="preserve">. </w:t>
            </w:r>
          </w:p>
          <w:p w14:paraId="2DF6DF74" w14:textId="77777777" w:rsidR="00704723" w:rsidRPr="00704723" w:rsidRDefault="00704723" w:rsidP="00704723">
            <w:pPr>
              <w:rPr>
                <w:rFonts w:cs="Arial"/>
              </w:rPr>
            </w:pPr>
          </w:p>
          <w:p w14:paraId="7B8A5B8C" w14:textId="77777777" w:rsidR="00704723" w:rsidRPr="00704723" w:rsidRDefault="00704723" w:rsidP="00704723">
            <w:pPr>
              <w:pStyle w:val="Default"/>
              <w:spacing w:before="60" w:after="60"/>
              <w:rPr>
                <w:rFonts w:ascii="Arial" w:hAnsi="Arial" w:cs="Arial"/>
                <w:b/>
                <w:bCs/>
                <w:color w:val="auto"/>
                <w:sz w:val="22"/>
                <w:szCs w:val="22"/>
              </w:rPr>
            </w:pPr>
            <w:r w:rsidRPr="00704723">
              <w:rPr>
                <w:rFonts w:ascii="Arial" w:hAnsi="Arial" w:cs="Arial"/>
                <w:b/>
                <w:bCs/>
                <w:color w:val="auto"/>
                <w:sz w:val="22"/>
                <w:szCs w:val="22"/>
              </w:rPr>
              <w:t>Additional advice for patients/carers:</w:t>
            </w:r>
          </w:p>
          <w:p w14:paraId="05E70F76" w14:textId="77777777" w:rsidR="00704723" w:rsidRDefault="00704723" w:rsidP="00093D5F">
            <w:pPr>
              <w:pStyle w:val="Default"/>
              <w:numPr>
                <w:ilvl w:val="0"/>
                <w:numId w:val="12"/>
              </w:numPr>
              <w:spacing w:before="60" w:after="60"/>
              <w:rPr>
                <w:rFonts w:ascii="Arial" w:hAnsi="Arial" w:cs="Arial"/>
                <w:bCs/>
                <w:color w:val="auto"/>
                <w:sz w:val="22"/>
                <w:szCs w:val="22"/>
              </w:rPr>
            </w:pPr>
            <w:r w:rsidRPr="00704723">
              <w:rPr>
                <w:rFonts w:ascii="Arial" w:hAnsi="Arial" w:cs="Arial"/>
                <w:bCs/>
                <w:color w:val="auto"/>
                <w:sz w:val="22"/>
                <w:szCs w:val="22"/>
              </w:rPr>
              <w:t xml:space="preserve">Patients must attend regularly for monitoring and review appointments to ensure their lithium dose remains safe and effective, and bring their purple lithium pack to keep a record of their lithium levels. </w:t>
            </w:r>
          </w:p>
          <w:p w14:paraId="6B1030C1" w14:textId="373545B6" w:rsidR="004D6BB2" w:rsidRPr="00704723" w:rsidRDefault="004D6BB2" w:rsidP="00093D5F">
            <w:pPr>
              <w:pStyle w:val="Default"/>
              <w:numPr>
                <w:ilvl w:val="0"/>
                <w:numId w:val="12"/>
              </w:numPr>
              <w:spacing w:before="60" w:after="60"/>
              <w:rPr>
                <w:rFonts w:ascii="Arial" w:hAnsi="Arial" w:cs="Arial"/>
                <w:bCs/>
                <w:color w:val="auto"/>
                <w:sz w:val="22"/>
                <w:szCs w:val="22"/>
              </w:rPr>
            </w:pPr>
            <w:r>
              <w:rPr>
                <w:rFonts w:ascii="Arial" w:hAnsi="Arial" w:cs="Arial"/>
                <w:bCs/>
                <w:color w:val="auto"/>
                <w:sz w:val="22"/>
                <w:szCs w:val="22"/>
              </w:rPr>
              <w:t xml:space="preserve">Patients should always carry their lithium alert card. </w:t>
            </w:r>
          </w:p>
          <w:p w14:paraId="0C48D040" w14:textId="2FA9BD23" w:rsidR="00704723" w:rsidRPr="00704723" w:rsidRDefault="00704723" w:rsidP="00093D5F">
            <w:pPr>
              <w:pStyle w:val="Default"/>
              <w:numPr>
                <w:ilvl w:val="0"/>
                <w:numId w:val="12"/>
              </w:numPr>
              <w:spacing w:before="60" w:after="60"/>
              <w:rPr>
                <w:rFonts w:ascii="Arial" w:hAnsi="Arial" w:cs="Arial"/>
                <w:bCs/>
                <w:color w:val="auto"/>
                <w:sz w:val="22"/>
                <w:szCs w:val="22"/>
              </w:rPr>
            </w:pPr>
            <w:r w:rsidRPr="00704723">
              <w:rPr>
                <w:rFonts w:ascii="Arial" w:hAnsi="Arial" w:cs="Arial"/>
                <w:bCs/>
                <w:color w:val="auto"/>
                <w:sz w:val="22"/>
                <w:szCs w:val="22"/>
              </w:rPr>
              <w:t xml:space="preserve">Patients should notify their primary care prescriber </w:t>
            </w:r>
            <w:r w:rsidRPr="00B515FA">
              <w:rPr>
                <w:rFonts w:ascii="Arial" w:hAnsi="Arial" w:cs="Arial"/>
                <w:bCs/>
                <w:color w:val="auto"/>
                <w:sz w:val="22"/>
                <w:szCs w:val="22"/>
                <w:u w:val="single"/>
              </w:rPr>
              <w:t>straight away</w:t>
            </w:r>
            <w:r w:rsidRPr="00704723">
              <w:rPr>
                <w:rFonts w:ascii="Arial" w:hAnsi="Arial" w:cs="Arial"/>
                <w:bCs/>
                <w:color w:val="auto"/>
                <w:sz w:val="22"/>
                <w:szCs w:val="22"/>
              </w:rPr>
              <w:t xml:space="preserve"> if there is any change in their health, e.g. an infection, </w:t>
            </w:r>
            <w:r w:rsidR="004D6BB2">
              <w:rPr>
                <w:rFonts w:ascii="Arial" w:hAnsi="Arial" w:cs="Arial"/>
                <w:bCs/>
                <w:color w:val="auto"/>
                <w:sz w:val="22"/>
                <w:szCs w:val="22"/>
              </w:rPr>
              <w:t xml:space="preserve">diarrhoea or vomiting, </w:t>
            </w:r>
            <w:r w:rsidRPr="00704723">
              <w:rPr>
                <w:rFonts w:ascii="Arial" w:hAnsi="Arial" w:cs="Arial"/>
                <w:bCs/>
                <w:color w:val="auto"/>
                <w:sz w:val="22"/>
                <w:szCs w:val="22"/>
              </w:rPr>
              <w:t>significant weight loss</w:t>
            </w:r>
            <w:r w:rsidR="004D6BB2">
              <w:rPr>
                <w:rFonts w:ascii="Arial" w:hAnsi="Arial" w:cs="Arial"/>
                <w:bCs/>
                <w:color w:val="auto"/>
                <w:sz w:val="22"/>
                <w:szCs w:val="22"/>
              </w:rPr>
              <w:t>, or if they become acutely unwell for any other reason</w:t>
            </w:r>
            <w:r w:rsidRPr="00704723">
              <w:rPr>
                <w:rFonts w:ascii="Arial" w:hAnsi="Arial" w:cs="Arial"/>
                <w:bCs/>
                <w:color w:val="auto"/>
                <w:sz w:val="22"/>
                <w:szCs w:val="22"/>
              </w:rPr>
              <w:t xml:space="preserve">. Additional lithium monitoring may be required. </w:t>
            </w:r>
          </w:p>
          <w:p w14:paraId="6069EB6F" w14:textId="1DC9A2E9" w:rsidR="00704723" w:rsidRPr="00704723" w:rsidRDefault="00704723" w:rsidP="00093D5F">
            <w:pPr>
              <w:pStyle w:val="Default"/>
              <w:numPr>
                <w:ilvl w:val="0"/>
                <w:numId w:val="12"/>
              </w:numPr>
              <w:spacing w:before="60" w:after="60"/>
              <w:rPr>
                <w:rFonts w:ascii="Arial" w:hAnsi="Arial" w:cs="Arial"/>
                <w:bCs/>
                <w:color w:val="auto"/>
                <w:sz w:val="22"/>
                <w:szCs w:val="22"/>
              </w:rPr>
            </w:pPr>
            <w:r w:rsidRPr="00704723">
              <w:rPr>
                <w:rFonts w:ascii="Arial" w:hAnsi="Arial" w:cs="Arial"/>
                <w:bCs/>
                <w:color w:val="auto"/>
                <w:sz w:val="22"/>
                <w:szCs w:val="22"/>
              </w:rPr>
              <w:t>Lithium should be taken regularly, as prescribed.</w:t>
            </w:r>
            <w:r w:rsidR="004D6BB2">
              <w:rPr>
                <w:rFonts w:ascii="Arial" w:hAnsi="Arial" w:cs="Arial"/>
                <w:bCs/>
                <w:color w:val="auto"/>
                <w:sz w:val="22"/>
                <w:szCs w:val="22"/>
              </w:rPr>
              <w:t xml:space="preserve"> </w:t>
            </w:r>
            <w:r w:rsidR="004D6BB2" w:rsidRPr="004D6BB2">
              <w:rPr>
                <w:rFonts w:ascii="Arial" w:hAnsi="Arial" w:cs="Arial"/>
                <w:bCs/>
                <w:color w:val="auto"/>
                <w:sz w:val="22"/>
                <w:szCs w:val="22"/>
              </w:rPr>
              <w:t xml:space="preserve">If a dose is missed, then the next scheduled dose should be taken as usual if remembered within 6 </w:t>
            </w:r>
            <w:proofErr w:type="gramStart"/>
            <w:r w:rsidR="004D6BB2" w:rsidRPr="004D6BB2">
              <w:rPr>
                <w:rFonts w:ascii="Arial" w:hAnsi="Arial" w:cs="Arial"/>
                <w:bCs/>
                <w:color w:val="auto"/>
                <w:sz w:val="22"/>
                <w:szCs w:val="22"/>
              </w:rPr>
              <w:t>hours;</w:t>
            </w:r>
            <w:r w:rsidRPr="00704723">
              <w:rPr>
                <w:rFonts w:ascii="Arial" w:hAnsi="Arial" w:cs="Arial"/>
                <w:bCs/>
                <w:color w:val="auto"/>
                <w:sz w:val="22"/>
                <w:szCs w:val="22"/>
              </w:rPr>
              <w:t>,</w:t>
            </w:r>
            <w:proofErr w:type="gramEnd"/>
            <w:r w:rsidRPr="00704723">
              <w:rPr>
                <w:rFonts w:ascii="Arial" w:hAnsi="Arial" w:cs="Arial"/>
                <w:bCs/>
                <w:color w:val="auto"/>
                <w:sz w:val="22"/>
                <w:szCs w:val="22"/>
              </w:rPr>
              <w:t xml:space="preserve"> patients should not attempt to catch up or double dose.</w:t>
            </w:r>
          </w:p>
          <w:p w14:paraId="5A79E667" w14:textId="77777777" w:rsidR="00704723" w:rsidRPr="00704723" w:rsidRDefault="00704723" w:rsidP="00093D5F">
            <w:pPr>
              <w:pStyle w:val="Default"/>
              <w:numPr>
                <w:ilvl w:val="0"/>
                <w:numId w:val="12"/>
              </w:numPr>
              <w:spacing w:before="60" w:after="60"/>
              <w:rPr>
                <w:rFonts w:ascii="Arial" w:hAnsi="Arial" w:cs="Arial"/>
                <w:bCs/>
                <w:color w:val="auto"/>
                <w:sz w:val="22"/>
                <w:szCs w:val="22"/>
              </w:rPr>
            </w:pPr>
            <w:r w:rsidRPr="00704723">
              <w:rPr>
                <w:rFonts w:ascii="Arial" w:hAnsi="Arial" w:cs="Arial"/>
                <w:bCs/>
                <w:color w:val="auto"/>
                <w:sz w:val="22"/>
                <w:szCs w:val="22"/>
              </w:rPr>
              <w:t>Patients should not stop taking lithium suddenly – doing so increases the chance of relapse. If lithium is to be stopped, it should be reduced over at least four weeks and preferably three months.</w:t>
            </w:r>
          </w:p>
          <w:p w14:paraId="1188D889" w14:textId="77777777" w:rsidR="00704723" w:rsidRPr="00704723" w:rsidRDefault="00704723" w:rsidP="00093D5F">
            <w:pPr>
              <w:pStyle w:val="Default"/>
              <w:numPr>
                <w:ilvl w:val="0"/>
                <w:numId w:val="12"/>
              </w:numPr>
              <w:spacing w:before="60" w:after="60"/>
              <w:rPr>
                <w:rFonts w:ascii="Arial" w:hAnsi="Arial" w:cs="Arial"/>
                <w:bCs/>
                <w:color w:val="auto"/>
                <w:sz w:val="22"/>
                <w:szCs w:val="22"/>
              </w:rPr>
            </w:pPr>
            <w:r w:rsidRPr="00704723">
              <w:rPr>
                <w:rFonts w:ascii="Arial" w:hAnsi="Arial" w:cs="Arial"/>
                <w:bCs/>
                <w:color w:val="auto"/>
                <w:sz w:val="22"/>
                <w:szCs w:val="22"/>
              </w:rPr>
              <w:t xml:space="preserve">The same brand of lithium should always be taken unless otherwise instructed. Patients should become familiar with their brand and check they have received the correct one before taking.  </w:t>
            </w:r>
          </w:p>
          <w:p w14:paraId="49E7AE73" w14:textId="77777777" w:rsidR="00704723" w:rsidRPr="00704723" w:rsidRDefault="00704723" w:rsidP="00093D5F">
            <w:pPr>
              <w:pStyle w:val="Default"/>
              <w:numPr>
                <w:ilvl w:val="0"/>
                <w:numId w:val="12"/>
              </w:numPr>
              <w:spacing w:before="60" w:after="60"/>
              <w:rPr>
                <w:rFonts w:ascii="Arial" w:hAnsi="Arial" w:cs="Arial"/>
                <w:bCs/>
                <w:color w:val="auto"/>
                <w:sz w:val="22"/>
                <w:szCs w:val="22"/>
              </w:rPr>
            </w:pPr>
            <w:r w:rsidRPr="00704723">
              <w:rPr>
                <w:rFonts w:ascii="Arial" w:hAnsi="Arial" w:cs="Arial"/>
                <w:bCs/>
                <w:color w:val="auto"/>
                <w:sz w:val="22"/>
                <w:szCs w:val="22"/>
              </w:rPr>
              <w:t>Changes in hydration and sodium balance can affect plasma lithium levels. Patients should maintain adequate fluid intake, particularly in hot weather or when activity levels change (such as increases in exercise or immobility). Large changes in dietary sodium should be avoided – changing dietary regime may inadvertently alter sodium intake.</w:t>
            </w:r>
          </w:p>
          <w:p w14:paraId="517C5356" w14:textId="77777777" w:rsidR="00704723" w:rsidRPr="00704723" w:rsidRDefault="00704723" w:rsidP="00093D5F">
            <w:pPr>
              <w:pStyle w:val="ListParagraph"/>
              <w:numPr>
                <w:ilvl w:val="0"/>
                <w:numId w:val="12"/>
              </w:numPr>
              <w:rPr>
                <w:rFonts w:cs="Arial"/>
                <w:bCs/>
              </w:rPr>
            </w:pPr>
            <w:r w:rsidRPr="00704723">
              <w:rPr>
                <w:rFonts w:cs="Arial"/>
                <w:bCs/>
              </w:rPr>
              <w:t>Excessive alcohol consumption should be avoided as it can lead to dehydration, increasing plasma lithium levels and so risk of toxicity.</w:t>
            </w:r>
          </w:p>
          <w:p w14:paraId="2995E6DB" w14:textId="77777777" w:rsidR="00704723" w:rsidRPr="00704723" w:rsidRDefault="00704723" w:rsidP="00093D5F">
            <w:pPr>
              <w:pStyle w:val="ListParagraph"/>
              <w:numPr>
                <w:ilvl w:val="0"/>
                <w:numId w:val="12"/>
              </w:numPr>
              <w:rPr>
                <w:rFonts w:cs="Arial"/>
                <w:bCs/>
              </w:rPr>
            </w:pPr>
            <w:r w:rsidRPr="00704723">
              <w:rPr>
                <w:rFonts w:cs="Arial"/>
                <w:bCs/>
              </w:rPr>
              <w:t xml:space="preserve">Patients should be warned about common drug interactions and advised to present their ‘Lithium alert card’ whenever they redeem a new prescription. They should specifically be advised not to take OTC NSAIDs as these can increase plasma lithium levels and so risk toxicity. </w:t>
            </w:r>
          </w:p>
          <w:p w14:paraId="76C62683" w14:textId="6C072743" w:rsidR="00704723" w:rsidRPr="00704723" w:rsidRDefault="00704723" w:rsidP="00093D5F">
            <w:pPr>
              <w:pStyle w:val="ListParagraph"/>
              <w:numPr>
                <w:ilvl w:val="0"/>
                <w:numId w:val="12"/>
              </w:numPr>
              <w:rPr>
                <w:rFonts w:cs="Arial"/>
                <w:bCs/>
              </w:rPr>
            </w:pPr>
            <w:r w:rsidRPr="00704723">
              <w:rPr>
                <w:rFonts w:cs="Arial"/>
                <w:bCs/>
              </w:rPr>
              <w:t xml:space="preserve">Lithium may impair performance of skilled tasks (e.g. driving, operating machinery). Patients with a diagnosis of bipolar disorder must notify the Driver </w:t>
            </w:r>
            <w:r w:rsidRPr="00704723">
              <w:rPr>
                <w:rFonts w:cs="Arial"/>
                <w:bCs/>
              </w:rPr>
              <w:lastRenderedPageBreak/>
              <w:t xml:space="preserve">and Vehicle Licensing Agency (DVLA); see </w:t>
            </w:r>
            <w:hyperlink r:id="rId22" w:history="1">
              <w:r w:rsidR="00756BF5" w:rsidRPr="005948AD">
                <w:rPr>
                  <w:rStyle w:val="Hyperlink"/>
                  <w:rFonts w:cs="Arial"/>
                  <w:bCs/>
                </w:rPr>
                <w:t>https://www.gov.uk/bipolar-disorder-and-driving</w:t>
              </w:r>
            </w:hyperlink>
            <w:r w:rsidRPr="00704723">
              <w:rPr>
                <w:rFonts w:cs="Arial"/>
                <w:bCs/>
              </w:rPr>
              <w:t>.</w:t>
            </w:r>
          </w:p>
          <w:p w14:paraId="2AC07051" w14:textId="2D962E16" w:rsidR="00704723" w:rsidRPr="00704723" w:rsidRDefault="00704723" w:rsidP="00093D5F">
            <w:pPr>
              <w:pStyle w:val="ListParagraph"/>
              <w:numPr>
                <w:ilvl w:val="0"/>
                <w:numId w:val="12"/>
              </w:numPr>
              <w:rPr>
                <w:rFonts w:cs="Arial"/>
                <w:bCs/>
              </w:rPr>
            </w:pPr>
            <w:r w:rsidRPr="00704723">
              <w:rPr>
                <w:rFonts w:cs="Arial"/>
                <w:bCs/>
              </w:rPr>
              <w:t xml:space="preserve">Patients of childbearing potential should be advised that lithium carries additional risks in pregnancy and is a potential teratogen. They should be aware of the need to use reliable contraception. If they become pregnant </w:t>
            </w:r>
            <w:r w:rsidR="004D6BB2">
              <w:rPr>
                <w:rFonts w:cs="Arial"/>
                <w:bCs/>
              </w:rPr>
              <w:t xml:space="preserve">or are planning a pregnancy </w:t>
            </w:r>
            <w:r w:rsidRPr="00704723">
              <w:rPr>
                <w:rFonts w:cs="Arial"/>
                <w:bCs/>
              </w:rPr>
              <w:t xml:space="preserve">while taking lithium they should not stop taking it, but should tell their doctor straight away. Breastfeeding should be avoided during treatment with lithium. </w:t>
            </w:r>
          </w:p>
          <w:p w14:paraId="33A1AFAA" w14:textId="77777777" w:rsidR="00704723" w:rsidRPr="00704723" w:rsidRDefault="00704723" w:rsidP="00093D5F">
            <w:pPr>
              <w:pStyle w:val="ListParagraph"/>
              <w:numPr>
                <w:ilvl w:val="0"/>
                <w:numId w:val="12"/>
              </w:numPr>
              <w:ind w:left="357" w:hanging="357"/>
              <w:rPr>
                <w:rFonts w:cs="Arial"/>
                <w:bCs/>
              </w:rPr>
            </w:pPr>
            <w:r w:rsidRPr="00704723">
              <w:rPr>
                <w:rFonts w:cs="Arial"/>
                <w:bCs/>
              </w:rPr>
              <w:t>For acute indications such as mania or augmentation, patients may respond within days to weeks of starting lithium. Depending on episode frequency, it may take months or even years to determine whether lithium has proven effective for relapse prevention.</w:t>
            </w:r>
          </w:p>
          <w:p w14:paraId="299BDD97" w14:textId="77777777" w:rsidR="00704723" w:rsidRPr="00704723" w:rsidRDefault="00704723" w:rsidP="00704723">
            <w:pPr>
              <w:rPr>
                <w:rFonts w:cs="Arial"/>
                <w:bCs/>
              </w:rPr>
            </w:pPr>
          </w:p>
          <w:p w14:paraId="5CDCD73C" w14:textId="77777777" w:rsidR="00704723" w:rsidRPr="00704723" w:rsidRDefault="00704723" w:rsidP="00704723">
            <w:pPr>
              <w:autoSpaceDE w:val="0"/>
              <w:autoSpaceDN w:val="0"/>
              <w:adjustRightInd w:val="0"/>
              <w:rPr>
                <w:rFonts w:eastAsia="Times New Roman" w:cs="Arial"/>
                <w:b/>
                <w:color w:val="000000"/>
                <w:u w:val="single"/>
                <w:lang w:eastAsia="en-GB"/>
              </w:rPr>
            </w:pPr>
            <w:r w:rsidRPr="00704723">
              <w:rPr>
                <w:rFonts w:eastAsia="Times New Roman" w:cs="Arial"/>
                <w:b/>
                <w:color w:val="000000"/>
                <w:u w:val="single"/>
                <w:lang w:eastAsia="en-GB"/>
              </w:rPr>
              <w:t xml:space="preserve">Patient information on </w:t>
            </w:r>
            <w:r w:rsidRPr="00704723">
              <w:rPr>
                <w:rFonts w:eastAsia="Times New Roman" w:cs="Arial"/>
                <w:b/>
                <w:u w:val="single"/>
              </w:rPr>
              <w:t xml:space="preserve">this medicine </w:t>
            </w:r>
            <w:r w:rsidRPr="00704723">
              <w:rPr>
                <w:rFonts w:eastAsia="Times New Roman" w:cs="Arial"/>
                <w:b/>
                <w:color w:val="000000"/>
                <w:u w:val="single"/>
                <w:lang w:eastAsia="en-GB"/>
              </w:rPr>
              <w:t>can be found at the following links:</w:t>
            </w:r>
          </w:p>
          <w:p w14:paraId="1F3A07C5" w14:textId="53FECB9C" w:rsidR="00704723" w:rsidRPr="00704723" w:rsidRDefault="00704723" w:rsidP="00093D5F">
            <w:pPr>
              <w:pStyle w:val="ListParagraph"/>
              <w:numPr>
                <w:ilvl w:val="0"/>
                <w:numId w:val="19"/>
              </w:numPr>
              <w:rPr>
                <w:rFonts w:eastAsia="Times New Roman" w:cs="Arial"/>
                <w:lang w:eastAsia="en-GB"/>
              </w:rPr>
            </w:pPr>
            <w:r w:rsidRPr="00704723">
              <w:rPr>
                <w:rFonts w:eastAsia="Times New Roman" w:cs="Arial"/>
                <w:lang w:eastAsia="en-GB"/>
              </w:rPr>
              <w:t xml:space="preserve">NHS: </w:t>
            </w:r>
            <w:hyperlink r:id="rId23" w:history="1">
              <w:r w:rsidRPr="00704723">
                <w:rPr>
                  <w:rStyle w:val="Hyperlink"/>
                  <w:rFonts w:eastAsia="Times New Roman" w:cs="Arial"/>
                  <w:lang w:eastAsia="en-GB"/>
                </w:rPr>
                <w:t>NHS website</w:t>
              </w:r>
            </w:hyperlink>
            <w:r w:rsidRPr="00704723">
              <w:rPr>
                <w:rFonts w:eastAsia="Times New Roman" w:cs="Arial"/>
                <w:lang w:eastAsia="en-GB"/>
              </w:rPr>
              <w:t xml:space="preserve"> </w:t>
            </w:r>
          </w:p>
          <w:p w14:paraId="1048C46C" w14:textId="7B5E0AAB" w:rsidR="00704723" w:rsidRPr="00704723" w:rsidRDefault="00704723" w:rsidP="00093D5F">
            <w:pPr>
              <w:pStyle w:val="ListParagraph"/>
              <w:numPr>
                <w:ilvl w:val="0"/>
                <w:numId w:val="19"/>
              </w:numPr>
              <w:rPr>
                <w:rFonts w:eastAsia="Times New Roman" w:cs="Arial"/>
                <w:b/>
                <w:color w:val="000000"/>
                <w:u w:val="single"/>
                <w:lang w:eastAsia="en-GB"/>
              </w:rPr>
            </w:pPr>
            <w:r w:rsidRPr="00704723">
              <w:rPr>
                <w:rFonts w:cs="Arial"/>
              </w:rPr>
              <w:t xml:space="preserve">MIND: </w:t>
            </w:r>
            <w:hyperlink r:id="rId24" w:history="1">
              <w:r w:rsidRPr="00704723">
                <w:rPr>
                  <w:rStyle w:val="Hyperlink"/>
                  <w:rFonts w:eastAsia="Times New Roman" w:cs="Arial"/>
                  <w:lang w:eastAsia="en-GB"/>
                </w:rPr>
                <w:t>MIND</w:t>
              </w:r>
            </w:hyperlink>
            <w:r w:rsidRPr="00704723">
              <w:rPr>
                <w:rFonts w:eastAsia="Times New Roman" w:cs="Arial"/>
                <w:lang w:eastAsia="en-GB"/>
              </w:rPr>
              <w:t xml:space="preserve"> </w:t>
            </w:r>
          </w:p>
          <w:p w14:paraId="298DA26F" w14:textId="03B96E4A" w:rsidR="00F132AA" w:rsidRPr="00704723" w:rsidRDefault="00704723" w:rsidP="00704723">
            <w:pPr>
              <w:rPr>
                <w:rFonts w:cs="Arial"/>
              </w:rPr>
            </w:pPr>
            <w:r w:rsidRPr="00704723">
              <w:rPr>
                <w:rFonts w:cs="Arial"/>
              </w:rPr>
              <w:t>National Patient Safety Agency purple lithium pack: Supplies of the</w:t>
            </w:r>
            <w:r w:rsidR="00B418AD">
              <w:rPr>
                <w:rFonts w:cs="Arial"/>
              </w:rPr>
              <w:t xml:space="preserve"> patient information</w:t>
            </w:r>
            <w:r w:rsidRPr="00704723">
              <w:rPr>
                <w:rFonts w:cs="Arial"/>
              </w:rPr>
              <w:t xml:space="preserve"> booklets can be ordered from </w:t>
            </w:r>
            <w:hyperlink r:id="rId25" w:history="1">
              <w:r w:rsidRPr="00704723">
                <w:rPr>
                  <w:rStyle w:val="Hyperlink"/>
                  <w:rFonts w:cs="Arial"/>
                </w:rPr>
                <w:t>nhsforms@mmm.com</w:t>
              </w:r>
            </w:hyperlink>
            <w:r w:rsidR="004D6BB2">
              <w:rPr>
                <w:rStyle w:val="Hyperlink"/>
                <w:rFonts w:cs="Arial"/>
              </w:rPr>
              <w:t xml:space="preserve"> </w:t>
            </w:r>
            <w:r w:rsidR="004D6BB2">
              <w:rPr>
                <w:rStyle w:val="Hyperlink"/>
              </w:rPr>
              <w:t xml:space="preserve">or </w:t>
            </w:r>
            <w:hyperlink r:id="rId26" w:history="1">
              <w:r w:rsidR="00B418AD" w:rsidRPr="00B418AD">
                <w:rPr>
                  <w:rStyle w:val="Hyperlink"/>
                </w:rPr>
                <w:t>available online</w:t>
              </w:r>
            </w:hyperlink>
            <w:r w:rsidRPr="00704723">
              <w:rPr>
                <w:rFonts w:cs="Arial"/>
              </w:rPr>
              <w:t xml:space="preserve">. </w:t>
            </w:r>
          </w:p>
        </w:tc>
      </w:tr>
      <w:tr w:rsidR="001860C1" w:rsidRPr="00F321FC" w14:paraId="317161E6" w14:textId="77777777" w:rsidTr="00BF174A">
        <w:tc>
          <w:tcPr>
            <w:tcW w:w="2268" w:type="dxa"/>
          </w:tcPr>
          <w:p w14:paraId="7BADD8F8" w14:textId="77777777" w:rsidR="001860C1" w:rsidRDefault="009F106E" w:rsidP="009F106E">
            <w:pPr>
              <w:pStyle w:val="Heading2"/>
              <w:outlineLvl w:val="1"/>
              <w:rPr>
                <w:rFonts w:cs="Arial"/>
              </w:rPr>
            </w:pPr>
            <w:bookmarkStart w:id="21" w:name="twelve_pregnancy"/>
            <w:bookmarkStart w:id="22" w:name="_Toc149231796"/>
            <w:r w:rsidRPr="00F321FC">
              <w:rPr>
                <w:rFonts w:cs="Arial"/>
              </w:rPr>
              <w:lastRenderedPageBreak/>
              <w:t>Pregnancy</w:t>
            </w:r>
            <w:r w:rsidR="00FB404F">
              <w:rPr>
                <w:rFonts w:cs="Arial"/>
              </w:rPr>
              <w:t>, paternal exposure</w:t>
            </w:r>
            <w:r w:rsidRPr="00F321FC">
              <w:rPr>
                <w:rFonts w:cs="Arial"/>
              </w:rPr>
              <w:t xml:space="preserve"> and breastfeeding</w:t>
            </w:r>
            <w:bookmarkEnd w:id="21"/>
            <w:bookmarkEnd w:id="22"/>
          </w:p>
          <w:p w14:paraId="0AE00B39" w14:textId="77777777" w:rsidR="005D79FA" w:rsidRDefault="005D79FA" w:rsidP="005D79FA"/>
          <w:p w14:paraId="4C3ACC97" w14:textId="3495C602" w:rsidR="005D79FA" w:rsidRPr="005D79FA" w:rsidRDefault="005D79FA" w:rsidP="0051526F"/>
        </w:tc>
        <w:tc>
          <w:tcPr>
            <w:tcW w:w="8193" w:type="dxa"/>
          </w:tcPr>
          <w:p w14:paraId="588B71AB" w14:textId="77777777" w:rsidR="0051526F" w:rsidRPr="00704723" w:rsidRDefault="0051526F" w:rsidP="00704723">
            <w:pPr>
              <w:rPr>
                <w:rFonts w:cs="Arial"/>
              </w:rPr>
            </w:pPr>
            <w:r w:rsidRPr="00704723">
              <w:rPr>
                <w:rFonts w:cs="Arial"/>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p w14:paraId="7F5D565C" w14:textId="77777777" w:rsidR="0051526F" w:rsidRPr="00704723" w:rsidRDefault="0051526F" w:rsidP="00704723">
            <w:pPr>
              <w:rPr>
                <w:rFonts w:cs="Arial"/>
              </w:rPr>
            </w:pPr>
          </w:p>
          <w:p w14:paraId="0D2D79EB" w14:textId="77777777" w:rsidR="00704723" w:rsidRDefault="00704723" w:rsidP="00704723">
            <w:pPr>
              <w:autoSpaceDE w:val="0"/>
              <w:autoSpaceDN w:val="0"/>
              <w:adjustRightInd w:val="0"/>
              <w:rPr>
                <w:rFonts w:cs="Arial"/>
                <w:b/>
                <w:color w:val="000000"/>
                <w:lang w:eastAsia="en-GB"/>
              </w:rPr>
            </w:pPr>
            <w:r w:rsidRPr="00704723">
              <w:rPr>
                <w:rFonts w:cs="Arial"/>
                <w:b/>
                <w:color w:val="000000"/>
                <w:lang w:eastAsia="en-GB"/>
              </w:rPr>
              <w:t xml:space="preserve">All patients should be informed of the risks and benefits of taking this medicine during pregnancy and breastfeeding. </w:t>
            </w:r>
          </w:p>
          <w:p w14:paraId="1A2199A1" w14:textId="77777777" w:rsidR="00704723" w:rsidRPr="00704723" w:rsidRDefault="00704723" w:rsidP="00704723">
            <w:pPr>
              <w:autoSpaceDE w:val="0"/>
              <w:autoSpaceDN w:val="0"/>
              <w:adjustRightInd w:val="0"/>
              <w:rPr>
                <w:rFonts w:eastAsia="Times New Roman" w:cs="Arial"/>
                <w:b/>
                <w:color w:val="000000"/>
                <w:u w:val="single"/>
                <w:lang w:eastAsia="en-GB"/>
              </w:rPr>
            </w:pPr>
          </w:p>
          <w:p w14:paraId="24AAF102" w14:textId="77777777" w:rsidR="00704723" w:rsidRPr="00704723" w:rsidRDefault="00704723" w:rsidP="00704723">
            <w:pPr>
              <w:autoSpaceDE w:val="0"/>
              <w:autoSpaceDN w:val="0"/>
              <w:adjustRightInd w:val="0"/>
              <w:rPr>
                <w:rFonts w:eastAsia="Times New Roman" w:cs="Arial"/>
                <w:b/>
                <w:color w:val="000000"/>
                <w:lang w:eastAsia="en-GB"/>
              </w:rPr>
            </w:pPr>
            <w:r w:rsidRPr="00704723">
              <w:rPr>
                <w:rFonts w:eastAsia="Times New Roman" w:cs="Arial"/>
                <w:b/>
                <w:color w:val="000000"/>
                <w:u w:val="single"/>
                <w:lang w:eastAsia="en-GB"/>
              </w:rPr>
              <w:t>Pregnancy</w:t>
            </w:r>
            <w:r w:rsidRPr="00704723">
              <w:rPr>
                <w:rFonts w:eastAsia="Times New Roman" w:cs="Arial"/>
                <w:b/>
                <w:color w:val="000000"/>
                <w:lang w:eastAsia="en-GB"/>
              </w:rPr>
              <w:t xml:space="preserve">: </w:t>
            </w:r>
          </w:p>
          <w:p w14:paraId="4CEC9BE3" w14:textId="77777777" w:rsidR="00704723" w:rsidRPr="00704723" w:rsidRDefault="00704723" w:rsidP="00704723">
            <w:pPr>
              <w:autoSpaceDE w:val="0"/>
              <w:autoSpaceDN w:val="0"/>
              <w:adjustRightInd w:val="0"/>
              <w:rPr>
                <w:rFonts w:eastAsia="Times New Roman" w:cs="Arial"/>
                <w:color w:val="000000"/>
                <w:lang w:eastAsia="en-GB"/>
              </w:rPr>
            </w:pPr>
            <w:r w:rsidRPr="00704723">
              <w:rPr>
                <w:rFonts w:eastAsia="Times New Roman" w:cs="Arial"/>
                <w:color w:val="000000"/>
                <w:lang w:eastAsia="en-GB"/>
              </w:rPr>
              <w:t xml:space="preserve">If a patient becomes pregnant whilst on lithium, the specialist team should be informed immediately (but do not stop the lithium). </w:t>
            </w:r>
          </w:p>
          <w:p w14:paraId="2C253C37" w14:textId="7530CA74" w:rsidR="00704723" w:rsidRPr="00704723" w:rsidRDefault="00704723" w:rsidP="00704723">
            <w:pPr>
              <w:autoSpaceDE w:val="0"/>
              <w:autoSpaceDN w:val="0"/>
              <w:adjustRightInd w:val="0"/>
              <w:rPr>
                <w:rFonts w:eastAsia="Times New Roman" w:cs="Arial"/>
                <w:color w:val="000000"/>
                <w:lang w:eastAsia="en-GB"/>
              </w:rPr>
            </w:pPr>
            <w:r w:rsidRPr="00704723">
              <w:rPr>
                <w:rFonts w:eastAsia="Times New Roman" w:cs="Arial"/>
                <w:color w:val="000000"/>
                <w:lang w:eastAsia="en-GB"/>
              </w:rPr>
              <w:t xml:space="preserve">Lithium should not be used during pregnancy where possible, especially in the first trimester </w:t>
            </w:r>
            <w:r w:rsidR="00694194">
              <w:rPr>
                <w:rFonts w:eastAsia="Times New Roman" w:cs="Arial"/>
                <w:color w:val="000000"/>
                <w:lang w:eastAsia="en-GB"/>
              </w:rPr>
              <w:t xml:space="preserve">due to </w:t>
            </w:r>
            <w:r w:rsidRPr="00704723">
              <w:rPr>
                <w:rFonts w:eastAsia="Times New Roman" w:cs="Arial"/>
                <w:color w:val="000000"/>
                <w:lang w:eastAsia="en-GB"/>
              </w:rPr>
              <w:t xml:space="preserve">risk of </w:t>
            </w:r>
            <w:r w:rsidR="00694194">
              <w:rPr>
                <w:rFonts w:eastAsia="Times New Roman" w:cs="Arial"/>
                <w:color w:val="000000"/>
                <w:lang w:eastAsia="en-GB"/>
              </w:rPr>
              <w:t xml:space="preserve">congenital </w:t>
            </w:r>
            <w:r w:rsidRPr="00704723">
              <w:rPr>
                <w:rFonts w:eastAsia="Times New Roman" w:cs="Arial"/>
                <w:color w:val="000000"/>
                <w:lang w:eastAsia="en-GB"/>
              </w:rPr>
              <w:t>cardiac abnormalities. In certain cases where a severe risk to the patient could exist if treatment were stopped, lithium has been continued during pregnancy; under these circumstances prescribing is the responsibility of the specialist team.</w:t>
            </w:r>
          </w:p>
          <w:p w14:paraId="2B83E146" w14:textId="6BD3AC4A" w:rsidR="00704723" w:rsidRPr="00704723" w:rsidRDefault="00704723" w:rsidP="00704723">
            <w:pPr>
              <w:autoSpaceDE w:val="0"/>
              <w:autoSpaceDN w:val="0"/>
              <w:adjustRightInd w:val="0"/>
              <w:rPr>
                <w:rFonts w:eastAsia="Times New Roman" w:cs="Arial"/>
                <w:color w:val="000000"/>
                <w:lang w:eastAsia="en-GB"/>
              </w:rPr>
            </w:pPr>
            <w:r w:rsidRPr="00704723">
              <w:rPr>
                <w:rFonts w:eastAsia="Times New Roman" w:cs="Arial"/>
                <w:color w:val="000000"/>
                <w:lang w:eastAsia="en-GB"/>
              </w:rPr>
              <w:t xml:space="preserve">There is a risk of relapse if lithium is withdrawn, particularly in </w:t>
            </w:r>
            <w:r w:rsidR="00694194">
              <w:rPr>
                <w:rFonts w:eastAsia="Times New Roman" w:cs="Arial"/>
                <w:color w:val="000000"/>
                <w:lang w:eastAsia="en-GB"/>
              </w:rPr>
              <w:t xml:space="preserve">pregnancy and </w:t>
            </w:r>
            <w:r w:rsidRPr="00704723">
              <w:rPr>
                <w:rFonts w:eastAsia="Times New Roman" w:cs="Arial"/>
                <w:color w:val="000000"/>
                <w:lang w:eastAsia="en-GB"/>
              </w:rPr>
              <w:t xml:space="preserve">the postnatal period. </w:t>
            </w:r>
          </w:p>
          <w:p w14:paraId="7D66055B" w14:textId="77777777" w:rsidR="00704723" w:rsidRPr="00704723" w:rsidRDefault="00704723" w:rsidP="00704723">
            <w:pPr>
              <w:autoSpaceDE w:val="0"/>
              <w:autoSpaceDN w:val="0"/>
              <w:adjustRightInd w:val="0"/>
              <w:jc w:val="both"/>
              <w:rPr>
                <w:rFonts w:eastAsia="Times New Roman" w:cs="Arial"/>
                <w:color w:val="000000"/>
                <w:lang w:eastAsia="en-GB"/>
              </w:rPr>
            </w:pPr>
            <w:r w:rsidRPr="00704723">
              <w:rPr>
                <w:rFonts w:eastAsia="Times New Roman" w:cs="Arial"/>
                <w:b/>
                <w:color w:val="000000"/>
                <w:lang w:eastAsia="en-GB"/>
              </w:rPr>
              <w:t>Patients of child</w:t>
            </w:r>
            <w:r w:rsidRPr="00704723">
              <w:rPr>
                <w:rFonts w:ascii="Cambria Math" w:eastAsia="Times New Roman" w:hAnsi="Cambria Math" w:cs="Cambria Math"/>
                <w:b/>
                <w:color w:val="000000"/>
                <w:lang w:eastAsia="en-GB"/>
              </w:rPr>
              <w:t>‐</w:t>
            </w:r>
            <w:r w:rsidRPr="00704723">
              <w:rPr>
                <w:rFonts w:eastAsia="Times New Roman" w:cs="Arial"/>
                <w:b/>
                <w:color w:val="000000"/>
                <w:lang w:eastAsia="en-GB"/>
              </w:rPr>
              <w:t>bearing potential should be advised to use a reliable form of contraception.</w:t>
            </w:r>
            <w:r w:rsidRPr="00704723">
              <w:rPr>
                <w:rFonts w:eastAsia="Times New Roman" w:cs="Arial"/>
                <w:color w:val="000000"/>
                <w:lang w:eastAsia="en-GB"/>
              </w:rPr>
              <w:t xml:space="preserve"> It is the responsibility of the specialist to provide advice on the need for contraception to patients on initiation of lithium, and at each review. Under shared care agreements, the ongoing responsibility for providing this advice rests with both the GP and the specialist.</w:t>
            </w:r>
          </w:p>
          <w:p w14:paraId="4DE86679" w14:textId="31FD1A86" w:rsidR="00704723" w:rsidRPr="00704723" w:rsidRDefault="00704723" w:rsidP="00704723">
            <w:pPr>
              <w:autoSpaceDE w:val="0"/>
              <w:autoSpaceDN w:val="0"/>
              <w:adjustRightInd w:val="0"/>
              <w:rPr>
                <w:rFonts w:eastAsia="Times New Roman" w:cs="Arial"/>
                <w:color w:val="FF0000"/>
                <w:lang w:eastAsia="en-GB"/>
              </w:rPr>
            </w:pPr>
            <w:r w:rsidRPr="00704723">
              <w:rPr>
                <w:rFonts w:eastAsia="Times New Roman" w:cs="Arial"/>
                <w:color w:val="000000"/>
                <w:lang w:eastAsia="en-GB"/>
              </w:rPr>
              <w:t xml:space="preserve">Information for healthcare professionals: </w:t>
            </w:r>
            <w:hyperlink r:id="rId27" w:history="1">
              <w:r>
                <w:rPr>
                  <w:rStyle w:val="Hyperlink"/>
                  <w:rFonts w:eastAsia="Times New Roman" w:cs="Arial"/>
                  <w:lang w:eastAsia="en-GB"/>
                </w:rPr>
                <w:t>UK Teratology Information Service (UKTIS)</w:t>
              </w:r>
            </w:hyperlink>
            <w:r w:rsidRPr="00704723">
              <w:rPr>
                <w:rFonts w:eastAsia="Times New Roman" w:cs="Arial"/>
                <w:color w:val="000000"/>
                <w:lang w:eastAsia="en-GB"/>
              </w:rPr>
              <w:t xml:space="preserve"> </w:t>
            </w:r>
          </w:p>
          <w:p w14:paraId="67B017E1" w14:textId="7C645F55" w:rsidR="00704723" w:rsidRPr="00704723" w:rsidRDefault="00704723" w:rsidP="00704723">
            <w:pPr>
              <w:autoSpaceDE w:val="0"/>
              <w:autoSpaceDN w:val="0"/>
              <w:adjustRightInd w:val="0"/>
              <w:rPr>
                <w:rFonts w:eastAsia="Times New Roman" w:cs="Arial"/>
                <w:color w:val="FF0000"/>
                <w:lang w:eastAsia="en-GB"/>
              </w:rPr>
            </w:pPr>
            <w:r w:rsidRPr="00704723">
              <w:rPr>
                <w:rFonts w:eastAsia="Times New Roman" w:cs="Arial"/>
                <w:color w:val="000000"/>
                <w:lang w:eastAsia="en-GB"/>
              </w:rPr>
              <w:t xml:space="preserve">Information for patients and carers: </w:t>
            </w:r>
            <w:hyperlink r:id="rId28" w:history="1">
              <w:r>
                <w:rPr>
                  <w:rStyle w:val="Hyperlink"/>
                  <w:rFonts w:eastAsia="Times New Roman" w:cs="Arial"/>
                  <w:lang w:eastAsia="en-GB"/>
                </w:rPr>
                <w:t>Best Use of Medicines in Pregnancy (BUMPs)</w:t>
              </w:r>
            </w:hyperlink>
            <w:r w:rsidRPr="00704723">
              <w:rPr>
                <w:rFonts w:eastAsia="Times New Roman" w:cs="Arial"/>
                <w:color w:val="000000"/>
                <w:lang w:eastAsia="en-GB"/>
              </w:rPr>
              <w:t xml:space="preserve"> </w:t>
            </w:r>
          </w:p>
          <w:p w14:paraId="69911077" w14:textId="77777777" w:rsidR="00704723" w:rsidRPr="00704723" w:rsidRDefault="00704723" w:rsidP="00704723">
            <w:pPr>
              <w:autoSpaceDE w:val="0"/>
              <w:autoSpaceDN w:val="0"/>
              <w:adjustRightInd w:val="0"/>
              <w:rPr>
                <w:rFonts w:eastAsia="Times New Roman" w:cs="Arial"/>
                <w:color w:val="000000"/>
                <w:u w:val="single"/>
                <w:lang w:eastAsia="en-GB"/>
              </w:rPr>
            </w:pPr>
          </w:p>
          <w:p w14:paraId="7D319D7D" w14:textId="77777777" w:rsidR="00704723" w:rsidRPr="00704723" w:rsidRDefault="00704723" w:rsidP="00704723">
            <w:pPr>
              <w:autoSpaceDE w:val="0"/>
              <w:autoSpaceDN w:val="0"/>
              <w:adjustRightInd w:val="0"/>
              <w:rPr>
                <w:rFonts w:eastAsia="Times New Roman" w:cs="Arial"/>
                <w:b/>
                <w:color w:val="000000"/>
                <w:lang w:eastAsia="en-GB"/>
              </w:rPr>
            </w:pPr>
            <w:r w:rsidRPr="00704723">
              <w:rPr>
                <w:rFonts w:eastAsia="Times New Roman" w:cs="Arial"/>
                <w:b/>
                <w:color w:val="000000"/>
                <w:u w:val="single"/>
                <w:lang w:eastAsia="en-GB"/>
              </w:rPr>
              <w:t>Breastfeeding</w:t>
            </w:r>
            <w:r w:rsidRPr="00704723">
              <w:rPr>
                <w:rFonts w:eastAsia="Times New Roman" w:cs="Arial"/>
                <w:b/>
                <w:color w:val="000000"/>
                <w:lang w:eastAsia="en-GB"/>
              </w:rPr>
              <w:t>:</w:t>
            </w:r>
          </w:p>
          <w:p w14:paraId="7373B2B4" w14:textId="4CAD1D17" w:rsidR="00704723" w:rsidRPr="00704723" w:rsidRDefault="00704723" w:rsidP="00704723">
            <w:pPr>
              <w:autoSpaceDE w:val="0"/>
              <w:autoSpaceDN w:val="0"/>
              <w:adjustRightInd w:val="0"/>
              <w:rPr>
                <w:rFonts w:eastAsia="Times New Roman" w:cs="Arial"/>
                <w:color w:val="000000"/>
                <w:lang w:eastAsia="en-GB"/>
              </w:rPr>
            </w:pPr>
            <w:r w:rsidRPr="00704723">
              <w:rPr>
                <w:rFonts w:eastAsia="Times New Roman" w:cs="Arial"/>
                <w:color w:val="000000"/>
                <w:lang w:eastAsia="en-GB"/>
              </w:rPr>
              <w:t xml:space="preserve">Lithium is secreted in breast milk and there have been case reports of neonates showing signs of lithium toxicity. Breastfeeding should be avoided during </w:t>
            </w:r>
            <w:r w:rsidRPr="00704723">
              <w:rPr>
                <w:rFonts w:eastAsia="Times New Roman" w:cs="Arial"/>
                <w:color w:val="000000"/>
                <w:lang w:eastAsia="en-GB"/>
              </w:rPr>
              <w:lastRenderedPageBreak/>
              <w:t>treatment with lithium.</w:t>
            </w:r>
            <w:r w:rsidR="00694194">
              <w:rPr>
                <w:rFonts w:eastAsia="Times New Roman" w:cs="Arial"/>
                <w:color w:val="000000"/>
                <w:lang w:eastAsia="en-GB"/>
              </w:rPr>
              <w:t xml:space="preserve"> If the decision is made to breasted lithium must be used with extreme caution, under specialist supervision and with strict infant monitoring conditions. </w:t>
            </w:r>
          </w:p>
          <w:p w14:paraId="389B8B9E" w14:textId="2AE6925E" w:rsidR="00704723" w:rsidRPr="00704723" w:rsidRDefault="00704723" w:rsidP="00704723">
            <w:pPr>
              <w:autoSpaceDE w:val="0"/>
              <w:autoSpaceDN w:val="0"/>
              <w:adjustRightInd w:val="0"/>
              <w:rPr>
                <w:rFonts w:eastAsia="Times New Roman" w:cs="Arial"/>
                <w:color w:val="FF0000"/>
                <w:lang w:eastAsia="en-GB"/>
              </w:rPr>
            </w:pPr>
            <w:r w:rsidRPr="00704723">
              <w:rPr>
                <w:rFonts w:eastAsia="Times New Roman" w:cs="Arial"/>
                <w:color w:val="000000"/>
                <w:lang w:eastAsia="en-GB"/>
              </w:rPr>
              <w:t xml:space="preserve">Information for healthcare professionals: </w:t>
            </w:r>
            <w:hyperlink r:id="rId29" w:history="1">
              <w:r>
                <w:rPr>
                  <w:rStyle w:val="Hyperlink"/>
                  <w:rFonts w:eastAsia="Times New Roman" w:cs="Arial"/>
                  <w:lang w:eastAsia="en-GB"/>
                </w:rPr>
                <w:t>UK Drugs in Lactation Advisory Service (UKDiLAS)</w:t>
              </w:r>
            </w:hyperlink>
            <w:r w:rsidRPr="00704723">
              <w:rPr>
                <w:rFonts w:eastAsia="Times New Roman" w:cs="Arial"/>
                <w:color w:val="000000"/>
                <w:lang w:eastAsia="en-GB"/>
              </w:rPr>
              <w:t xml:space="preserve"> </w:t>
            </w:r>
          </w:p>
          <w:p w14:paraId="4247F95A" w14:textId="77777777" w:rsidR="00704723" w:rsidRPr="00704723" w:rsidRDefault="00704723" w:rsidP="00704723">
            <w:pPr>
              <w:autoSpaceDE w:val="0"/>
              <w:autoSpaceDN w:val="0"/>
              <w:adjustRightInd w:val="0"/>
              <w:rPr>
                <w:rFonts w:eastAsia="Times New Roman" w:cs="Arial"/>
                <w:color w:val="000000"/>
                <w:lang w:eastAsia="en-GB"/>
              </w:rPr>
            </w:pPr>
          </w:p>
          <w:p w14:paraId="5E35BA13" w14:textId="77777777" w:rsidR="00704723" w:rsidRPr="00704723" w:rsidRDefault="00704723" w:rsidP="00704723">
            <w:pPr>
              <w:autoSpaceDE w:val="0"/>
              <w:autoSpaceDN w:val="0"/>
              <w:adjustRightInd w:val="0"/>
              <w:rPr>
                <w:rFonts w:eastAsia="Times New Roman" w:cs="Arial"/>
                <w:color w:val="000000"/>
                <w:lang w:eastAsia="en-GB"/>
              </w:rPr>
            </w:pPr>
            <w:r w:rsidRPr="00704723">
              <w:rPr>
                <w:rFonts w:eastAsia="Times New Roman" w:cs="Arial"/>
                <w:b/>
                <w:color w:val="000000"/>
                <w:u w:val="single"/>
                <w:lang w:eastAsia="en-GB"/>
              </w:rPr>
              <w:t>Paternal exposure</w:t>
            </w:r>
            <w:r w:rsidRPr="00704723">
              <w:rPr>
                <w:rFonts w:eastAsia="Times New Roman" w:cs="Arial"/>
                <w:color w:val="000000"/>
                <w:lang w:eastAsia="en-GB"/>
              </w:rPr>
              <w:t>:</w:t>
            </w:r>
          </w:p>
          <w:p w14:paraId="06C7937A" w14:textId="4E305693" w:rsidR="007A56FB" w:rsidRPr="00704723" w:rsidRDefault="00704723" w:rsidP="00704723">
            <w:pPr>
              <w:rPr>
                <w:rFonts w:cs="Arial"/>
              </w:rPr>
            </w:pPr>
            <w:r w:rsidRPr="00704723">
              <w:rPr>
                <w:rFonts w:eastAsia="Times New Roman" w:cs="Arial"/>
                <w:color w:val="000000"/>
                <w:lang w:eastAsia="en-GB"/>
              </w:rPr>
              <w:t>Animal studies have reported spermatogenesis abnormalities that may lead to impairment of fertility. It is unknown if this risk applies to humans.</w:t>
            </w:r>
          </w:p>
        </w:tc>
      </w:tr>
      <w:tr w:rsidR="00767B99" w:rsidRPr="00F321FC" w14:paraId="6398E15E" w14:textId="77777777" w:rsidTr="00BF174A">
        <w:tc>
          <w:tcPr>
            <w:tcW w:w="2268" w:type="dxa"/>
          </w:tcPr>
          <w:p w14:paraId="6BB398C7" w14:textId="6C037366" w:rsidR="00767B99" w:rsidRPr="00F321FC" w:rsidRDefault="00767B99" w:rsidP="00767B99">
            <w:pPr>
              <w:pStyle w:val="Heading2"/>
              <w:outlineLvl w:val="1"/>
              <w:rPr>
                <w:rFonts w:cs="Arial"/>
              </w:rPr>
            </w:pPr>
            <w:bookmarkStart w:id="23" w:name="thirteen_specialist_contact"/>
            <w:bookmarkStart w:id="24" w:name="_Toc149231797"/>
            <w:r w:rsidRPr="00F321FC">
              <w:rPr>
                <w:rFonts w:cs="Arial"/>
              </w:rPr>
              <w:lastRenderedPageBreak/>
              <w:t>Specialist contact information</w:t>
            </w:r>
            <w:r>
              <w:rPr>
                <w:rFonts w:cs="Arial"/>
              </w:rPr>
              <w:t xml:space="preserve"> and arrangements for referral</w:t>
            </w:r>
            <w:bookmarkEnd w:id="23"/>
            <w:bookmarkEnd w:id="24"/>
          </w:p>
        </w:tc>
        <w:tc>
          <w:tcPr>
            <w:tcW w:w="8193" w:type="dxa"/>
          </w:tcPr>
          <w:p w14:paraId="63F90746" w14:textId="7C118FE8" w:rsidR="00767B99" w:rsidRPr="005C4899" w:rsidRDefault="005C4899" w:rsidP="00FB404F">
            <w:pPr>
              <w:rPr>
                <w:rFonts w:cs="Arial"/>
              </w:rPr>
            </w:pPr>
            <w:r w:rsidRPr="005C4899">
              <w:rPr>
                <w:rFonts w:cs="Arial"/>
              </w:rPr>
              <w:t>Details for contacting specialist must be included on the clinic letter.</w:t>
            </w:r>
          </w:p>
        </w:tc>
      </w:tr>
      <w:tr w:rsidR="00767B99" w:rsidRPr="00F321FC" w14:paraId="207E7612" w14:textId="77777777" w:rsidTr="00BF174A">
        <w:tc>
          <w:tcPr>
            <w:tcW w:w="2268" w:type="dxa"/>
          </w:tcPr>
          <w:p w14:paraId="1F87C246" w14:textId="316BF7A3" w:rsidR="00767B99" w:rsidRPr="00F321FC" w:rsidRDefault="00767B99" w:rsidP="00767B99">
            <w:pPr>
              <w:pStyle w:val="Heading2"/>
              <w:outlineLvl w:val="1"/>
              <w:rPr>
                <w:rFonts w:cs="Arial"/>
              </w:rPr>
            </w:pPr>
            <w:bookmarkStart w:id="25" w:name="fourteen_additional_info"/>
            <w:bookmarkStart w:id="26" w:name="_Toc149231798"/>
            <w:r w:rsidRPr="00F321FC">
              <w:rPr>
                <w:rFonts w:cs="Arial"/>
              </w:rPr>
              <w:t>Additional information</w:t>
            </w:r>
            <w:bookmarkEnd w:id="25"/>
            <w:bookmarkEnd w:id="26"/>
          </w:p>
        </w:tc>
        <w:tc>
          <w:tcPr>
            <w:tcW w:w="8193" w:type="dxa"/>
          </w:tcPr>
          <w:p w14:paraId="3634BE8A" w14:textId="5D969788" w:rsidR="00767B99" w:rsidRPr="00F321FC" w:rsidRDefault="005D79FA" w:rsidP="00FB404F">
            <w:pPr>
              <w:rPr>
                <w:rFonts w:cs="Arial"/>
              </w:rPr>
            </w:pPr>
            <w:r w:rsidRPr="005D79FA">
              <w:rPr>
                <w:rFonts w:cs="Arial"/>
              </w:rPr>
              <w:t>Where patient care is transferred from one specialist service or GP practice to another, a new shared care agreement must be completed. Ensure that the specialist is informed in writing of any changes to the patient’s GP or their contact details.</w:t>
            </w:r>
          </w:p>
        </w:tc>
      </w:tr>
      <w:tr w:rsidR="00767B99" w:rsidRPr="00F321FC" w14:paraId="6B6F9FF7" w14:textId="77777777" w:rsidTr="00BF174A">
        <w:tc>
          <w:tcPr>
            <w:tcW w:w="2268" w:type="dxa"/>
          </w:tcPr>
          <w:p w14:paraId="4580613D" w14:textId="3D2EB4DF" w:rsidR="00767B99" w:rsidRPr="00F321FC" w:rsidRDefault="00767B99" w:rsidP="00767B99">
            <w:pPr>
              <w:pStyle w:val="Heading2"/>
              <w:outlineLvl w:val="1"/>
              <w:rPr>
                <w:rFonts w:cs="Arial"/>
              </w:rPr>
            </w:pPr>
            <w:bookmarkStart w:id="27" w:name="fifteen_references"/>
            <w:bookmarkStart w:id="28" w:name="_Toc149231799"/>
            <w:r w:rsidRPr="00F321FC">
              <w:rPr>
                <w:rFonts w:cs="Arial"/>
              </w:rPr>
              <w:t>References</w:t>
            </w:r>
            <w:bookmarkEnd w:id="27"/>
            <w:bookmarkEnd w:id="28"/>
          </w:p>
        </w:tc>
        <w:tc>
          <w:tcPr>
            <w:tcW w:w="8193" w:type="dxa"/>
          </w:tcPr>
          <w:p w14:paraId="3930FBED" w14:textId="1F0C97B9" w:rsidR="00093D5F" w:rsidRPr="00093D5F" w:rsidRDefault="00E6244A" w:rsidP="001E2D3F">
            <w:pPr>
              <w:pStyle w:val="ListParagraph"/>
              <w:numPr>
                <w:ilvl w:val="0"/>
                <w:numId w:val="21"/>
              </w:numPr>
              <w:rPr>
                <w:rFonts w:eastAsia="Times New Roman" w:cs="Arial"/>
                <w:szCs w:val="24"/>
                <w:lang w:eastAsia="en-GB"/>
              </w:rPr>
            </w:pPr>
            <w:r>
              <w:rPr>
                <w:rFonts w:eastAsia="Times New Roman" w:cs="Arial"/>
                <w:szCs w:val="24"/>
                <w:lang w:eastAsia="en-GB"/>
              </w:rPr>
              <w:t>British National Formula</w:t>
            </w:r>
            <w:r w:rsidR="001E2D3F">
              <w:rPr>
                <w:rFonts w:eastAsia="Times New Roman" w:cs="Arial"/>
                <w:szCs w:val="24"/>
                <w:lang w:eastAsia="en-GB"/>
              </w:rPr>
              <w:t>r</w:t>
            </w:r>
            <w:r>
              <w:rPr>
                <w:rFonts w:eastAsia="Times New Roman" w:cs="Arial"/>
                <w:szCs w:val="24"/>
                <w:lang w:eastAsia="en-GB"/>
              </w:rPr>
              <w:t>y</w:t>
            </w:r>
            <w:r w:rsidRPr="00093D5F">
              <w:rPr>
                <w:rFonts w:eastAsia="Times New Roman" w:cs="Arial"/>
                <w:szCs w:val="24"/>
                <w:lang w:eastAsia="en-GB"/>
              </w:rPr>
              <w:t xml:space="preserve"> </w:t>
            </w:r>
            <w:r w:rsidR="00093D5F" w:rsidRPr="00093D5F">
              <w:rPr>
                <w:rFonts w:eastAsia="Times New Roman" w:cs="Arial"/>
                <w:szCs w:val="24"/>
                <w:lang w:eastAsia="en-GB"/>
              </w:rPr>
              <w:t xml:space="preserve">accessed via </w:t>
            </w:r>
            <w:hyperlink r:id="rId30" w:history="1">
              <w:r w:rsidR="00093D5F" w:rsidRPr="00093D5F">
                <w:rPr>
                  <w:rStyle w:val="Hyperlink"/>
                  <w:rFonts w:eastAsia="Times New Roman" w:cs="Arial"/>
                  <w:szCs w:val="24"/>
                  <w:lang w:eastAsia="en-GB"/>
                </w:rPr>
                <w:t>https://bnf.nice.org.uk/</w:t>
              </w:r>
            </w:hyperlink>
            <w:r w:rsidR="00093D5F" w:rsidRPr="00093D5F">
              <w:rPr>
                <w:rFonts w:eastAsia="Times New Roman" w:cs="Arial"/>
                <w:szCs w:val="24"/>
                <w:lang w:eastAsia="en-GB"/>
              </w:rPr>
              <w:t xml:space="preserve"> on </w:t>
            </w:r>
            <w:r w:rsidR="00912E9A">
              <w:rPr>
                <w:rFonts w:eastAsia="Times New Roman" w:cs="Arial"/>
                <w:szCs w:val="24"/>
                <w:lang w:eastAsia="en-GB"/>
              </w:rPr>
              <w:t>07/12/23</w:t>
            </w:r>
            <w:r w:rsidR="00093D5F" w:rsidRPr="00093D5F">
              <w:rPr>
                <w:rFonts w:eastAsia="Times New Roman" w:cs="Arial"/>
                <w:szCs w:val="24"/>
                <w:lang w:eastAsia="en-GB"/>
              </w:rPr>
              <w:t>.</w:t>
            </w:r>
          </w:p>
          <w:p w14:paraId="7CBF999B" w14:textId="64CAD81D" w:rsid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Summary of Product Characteristics. </w:t>
            </w:r>
            <w:proofErr w:type="spellStart"/>
            <w:r w:rsidRPr="00093D5F">
              <w:rPr>
                <w:rFonts w:eastAsia="Times New Roman" w:cs="Arial"/>
                <w:szCs w:val="24"/>
                <w:lang w:eastAsia="en-GB"/>
              </w:rPr>
              <w:t>Priadel</w:t>
            </w:r>
            <w:proofErr w:type="spellEnd"/>
            <w:r w:rsidRPr="00093D5F">
              <w:rPr>
                <w:rFonts w:eastAsia="Times New Roman" w:cs="Arial"/>
                <w:szCs w:val="24"/>
                <w:lang w:eastAsia="en-GB"/>
              </w:rPr>
              <w:t xml:space="preserve">® 400mg prolonged release tablets. Essential Pharma. Date of revision of the text: </w:t>
            </w:r>
            <w:r w:rsidR="001E2D3F">
              <w:rPr>
                <w:rFonts w:eastAsia="Times New Roman" w:cs="Arial"/>
                <w:szCs w:val="24"/>
                <w:lang w:eastAsia="en-GB"/>
              </w:rPr>
              <w:t>26/09/2022</w:t>
            </w:r>
            <w:r w:rsidRPr="00093D5F">
              <w:rPr>
                <w:rFonts w:eastAsia="Times New Roman" w:cs="Arial"/>
                <w:szCs w:val="24"/>
                <w:lang w:eastAsia="en-GB"/>
              </w:rPr>
              <w:t xml:space="preserve">. Accessed via </w:t>
            </w:r>
            <w:hyperlink w:history="1"/>
            <w:r w:rsidR="001E2D3F">
              <w:rPr>
                <w:rFonts w:eastAsia="Times New Roman" w:cs="Arial"/>
                <w:szCs w:val="24"/>
                <w:lang w:eastAsia="en-GB"/>
              </w:rPr>
              <w:t xml:space="preserve"> </w:t>
            </w:r>
            <w:r w:rsidR="001E2D3F" w:rsidRPr="001E2D3F">
              <w:rPr>
                <w:rStyle w:val="Hyperlink"/>
                <w:rFonts w:eastAsia="Times New Roman" w:cs="Arial"/>
                <w:szCs w:val="24"/>
                <w:lang w:eastAsia="en-GB"/>
              </w:rPr>
              <w:t>https://www.medicines.org.uk/emc/product/13163/</w:t>
            </w:r>
            <w:r w:rsidRPr="00093D5F">
              <w:rPr>
                <w:rFonts w:eastAsia="Times New Roman" w:cs="Arial"/>
                <w:szCs w:val="24"/>
                <w:lang w:eastAsia="en-GB"/>
              </w:rPr>
              <w:t xml:space="preserve"> on </w:t>
            </w:r>
            <w:r w:rsidR="001E2D3F">
              <w:rPr>
                <w:rFonts w:eastAsia="Times New Roman" w:cs="Arial"/>
                <w:szCs w:val="24"/>
                <w:lang w:eastAsia="en-GB"/>
              </w:rPr>
              <w:t>07/12/23</w:t>
            </w:r>
            <w:r w:rsidRPr="00093D5F">
              <w:rPr>
                <w:rFonts w:eastAsia="Times New Roman" w:cs="Arial"/>
                <w:szCs w:val="24"/>
                <w:lang w:eastAsia="en-GB"/>
              </w:rPr>
              <w:t>.</w:t>
            </w:r>
          </w:p>
          <w:p w14:paraId="4EC776AF" w14:textId="5600ECAA" w:rsidR="001E2D3F" w:rsidRPr="00093D5F" w:rsidRDefault="00A0352C" w:rsidP="00A0352C">
            <w:pPr>
              <w:pStyle w:val="ListParagraph"/>
              <w:numPr>
                <w:ilvl w:val="0"/>
                <w:numId w:val="21"/>
              </w:numPr>
              <w:rPr>
                <w:rFonts w:eastAsia="Times New Roman" w:cs="Arial"/>
                <w:szCs w:val="24"/>
                <w:lang w:eastAsia="en-GB"/>
              </w:rPr>
            </w:pPr>
            <w:r>
              <w:rPr>
                <w:rFonts w:eastAsia="Times New Roman" w:cs="Arial"/>
                <w:szCs w:val="24"/>
                <w:lang w:eastAsia="en-GB"/>
              </w:rPr>
              <w:t xml:space="preserve">Patient information leaflet: </w:t>
            </w:r>
            <w:proofErr w:type="spellStart"/>
            <w:r>
              <w:rPr>
                <w:rFonts w:eastAsia="Times New Roman" w:cs="Arial"/>
                <w:szCs w:val="24"/>
                <w:lang w:eastAsia="en-GB"/>
              </w:rPr>
              <w:t>Priadel</w:t>
            </w:r>
            <w:proofErr w:type="spellEnd"/>
            <w:r>
              <w:rPr>
                <w:rFonts w:eastAsia="Times New Roman" w:cs="Arial"/>
                <w:szCs w:val="24"/>
                <w:lang w:eastAsia="en-GB"/>
              </w:rPr>
              <w:t xml:space="preserve"> 200 mg and 400 mg prolonged-release tablets. Essential Pharma. Last revised July 2022. Accessed via </w:t>
            </w:r>
            <w:hyperlink r:id="rId31" w:history="1">
              <w:r w:rsidR="00096896" w:rsidRPr="00B72B18">
                <w:rPr>
                  <w:rStyle w:val="Hyperlink"/>
                  <w:rFonts w:eastAsia="Times New Roman" w:cs="Arial"/>
                  <w:szCs w:val="24"/>
                  <w:lang w:eastAsia="en-GB"/>
                </w:rPr>
                <w:t>https://www.medicines.org.uk/emc/files/pil.13163.pdf</w:t>
              </w:r>
            </w:hyperlink>
            <w:r w:rsidR="00096896">
              <w:rPr>
                <w:rFonts w:eastAsia="Times New Roman" w:cs="Arial"/>
                <w:szCs w:val="24"/>
                <w:lang w:eastAsia="en-GB"/>
              </w:rPr>
              <w:t xml:space="preserve">. </w:t>
            </w:r>
          </w:p>
          <w:p w14:paraId="5D74BAC1" w14:textId="6B022280" w:rsidR="00093D5F" w:rsidRPr="00093D5F" w:rsidRDefault="00093D5F" w:rsidP="00B87EF0">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Summary of Product Characteristics. </w:t>
            </w:r>
            <w:proofErr w:type="spellStart"/>
            <w:r w:rsidRPr="00093D5F">
              <w:rPr>
                <w:rFonts w:eastAsia="Times New Roman" w:cs="Arial"/>
                <w:szCs w:val="24"/>
                <w:lang w:eastAsia="en-GB"/>
              </w:rPr>
              <w:t>Priadel</w:t>
            </w:r>
            <w:proofErr w:type="spellEnd"/>
            <w:r w:rsidRPr="00093D5F">
              <w:rPr>
                <w:rFonts w:eastAsia="Times New Roman" w:cs="Arial"/>
                <w:szCs w:val="24"/>
                <w:lang w:eastAsia="en-GB"/>
              </w:rPr>
              <w:t xml:space="preserve">® 520mg/5mL liquid. Essential Pharma.  Date of revision of the text: </w:t>
            </w:r>
            <w:r w:rsidR="00B87EF0">
              <w:rPr>
                <w:rFonts w:eastAsia="Times New Roman" w:cs="Arial"/>
                <w:szCs w:val="24"/>
                <w:lang w:eastAsia="en-GB"/>
              </w:rPr>
              <w:t>26/09/2022</w:t>
            </w:r>
            <w:r w:rsidRPr="00093D5F">
              <w:rPr>
                <w:rFonts w:eastAsia="Times New Roman" w:cs="Arial"/>
                <w:szCs w:val="24"/>
                <w:lang w:eastAsia="en-GB"/>
              </w:rPr>
              <w:t xml:space="preserve">. Accessed via </w:t>
            </w:r>
            <w:r w:rsidR="00B87EF0">
              <w:rPr>
                <w:rFonts w:eastAsia="Times New Roman" w:cs="Arial"/>
                <w:szCs w:val="24"/>
                <w:lang w:eastAsia="en-GB"/>
              </w:rPr>
              <w:t xml:space="preserve"> </w:t>
            </w:r>
            <w:hyperlink r:id="rId32" w:history="1">
              <w:r w:rsidR="00B87EF0" w:rsidRPr="00B72B18">
                <w:rPr>
                  <w:rStyle w:val="Hyperlink"/>
                  <w:rFonts w:eastAsia="Times New Roman" w:cs="Arial"/>
                  <w:szCs w:val="24"/>
                  <w:lang w:eastAsia="en-GB"/>
                </w:rPr>
                <w:t>https://www.medicines.org.uk/emc/product/13164/</w:t>
              </w:r>
            </w:hyperlink>
            <w:r w:rsidR="00B87EF0">
              <w:rPr>
                <w:rFonts w:eastAsia="Times New Roman" w:cs="Arial"/>
                <w:szCs w:val="24"/>
                <w:lang w:eastAsia="en-GB"/>
              </w:rPr>
              <w:t xml:space="preserve"> </w:t>
            </w:r>
            <w:r w:rsidRPr="00093D5F">
              <w:rPr>
                <w:rFonts w:eastAsia="Times New Roman" w:cs="Arial"/>
                <w:szCs w:val="24"/>
                <w:lang w:eastAsia="en-GB"/>
              </w:rPr>
              <w:t xml:space="preserve">on </w:t>
            </w:r>
            <w:r w:rsidR="00B87EF0">
              <w:rPr>
                <w:rFonts w:eastAsia="Times New Roman" w:cs="Arial"/>
                <w:szCs w:val="24"/>
                <w:lang w:eastAsia="en-GB"/>
              </w:rPr>
              <w:t>07/12/23</w:t>
            </w:r>
            <w:r w:rsidRPr="00093D5F">
              <w:rPr>
                <w:rFonts w:eastAsia="Times New Roman" w:cs="Arial"/>
                <w:szCs w:val="24"/>
                <w:lang w:eastAsia="en-GB"/>
              </w:rPr>
              <w:t>.</w:t>
            </w:r>
          </w:p>
          <w:p w14:paraId="622D6A3C" w14:textId="553F2855" w:rsidR="00093D5F" w:rsidRPr="00093D5F" w:rsidRDefault="00093D5F" w:rsidP="00B87EF0">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Patient Information Leaflet. </w:t>
            </w:r>
            <w:proofErr w:type="spellStart"/>
            <w:r w:rsidRPr="00093D5F">
              <w:rPr>
                <w:rFonts w:eastAsia="Times New Roman" w:cs="Arial"/>
                <w:szCs w:val="24"/>
                <w:lang w:eastAsia="en-GB"/>
              </w:rPr>
              <w:t>Priadel</w:t>
            </w:r>
            <w:proofErr w:type="spellEnd"/>
            <w:r w:rsidRPr="00093D5F">
              <w:rPr>
                <w:rFonts w:eastAsia="Times New Roman" w:cs="Arial"/>
                <w:szCs w:val="24"/>
                <w:lang w:eastAsia="en-GB"/>
              </w:rPr>
              <w:t xml:space="preserve">® 520mg/5mL liquid. Essential Pharma. </w:t>
            </w:r>
            <w:r w:rsidR="00B87EF0">
              <w:rPr>
                <w:rFonts w:eastAsia="Times New Roman" w:cs="Arial"/>
                <w:szCs w:val="24"/>
                <w:lang w:eastAsia="en-GB"/>
              </w:rPr>
              <w:t>Last revised</w:t>
            </w:r>
            <w:r w:rsidRPr="00093D5F">
              <w:rPr>
                <w:rFonts w:eastAsia="Times New Roman" w:cs="Arial"/>
                <w:szCs w:val="24"/>
                <w:lang w:eastAsia="en-GB"/>
              </w:rPr>
              <w:t xml:space="preserve">: </w:t>
            </w:r>
            <w:r w:rsidR="00B87EF0">
              <w:rPr>
                <w:rFonts w:eastAsia="Times New Roman" w:cs="Arial"/>
                <w:szCs w:val="24"/>
                <w:lang w:eastAsia="en-GB"/>
              </w:rPr>
              <w:t>July 2022</w:t>
            </w:r>
            <w:r w:rsidRPr="00093D5F">
              <w:rPr>
                <w:rFonts w:eastAsia="Times New Roman" w:cs="Arial"/>
                <w:szCs w:val="24"/>
                <w:lang w:eastAsia="en-GB"/>
              </w:rPr>
              <w:t xml:space="preserve">. Accessed via </w:t>
            </w:r>
            <w:hyperlink r:id="rId33" w:history="1">
              <w:r w:rsidR="00B87EF0" w:rsidRPr="00B72B18">
                <w:rPr>
                  <w:rStyle w:val="Hyperlink"/>
                  <w:rFonts w:eastAsia="Times New Roman" w:cs="Arial"/>
                  <w:szCs w:val="24"/>
                  <w:lang w:eastAsia="en-GB"/>
                </w:rPr>
                <w:t>https://www.medicines.org.uk/emc/files/pil.13164.pdf</w:t>
              </w:r>
            </w:hyperlink>
            <w:hyperlink r:id="rId34" w:history="1"/>
            <w:r w:rsidRPr="00093D5F">
              <w:rPr>
                <w:rFonts w:eastAsia="Times New Roman" w:cs="Arial"/>
                <w:szCs w:val="24"/>
                <w:lang w:eastAsia="en-GB"/>
              </w:rPr>
              <w:t>.</w:t>
            </w:r>
          </w:p>
          <w:p w14:paraId="03515DC3" w14:textId="69B4A4C6" w:rsidR="00093D5F" w:rsidRPr="00093D5F" w:rsidRDefault="00093D5F" w:rsidP="003C6793">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Summary of Product Characteristics. </w:t>
            </w:r>
            <w:proofErr w:type="spellStart"/>
            <w:r w:rsidRPr="00093D5F">
              <w:rPr>
                <w:rFonts w:eastAsia="Times New Roman" w:cs="Arial"/>
                <w:szCs w:val="24"/>
                <w:lang w:eastAsia="en-GB"/>
              </w:rPr>
              <w:t>Camcolit</w:t>
            </w:r>
            <w:proofErr w:type="spellEnd"/>
            <w:r w:rsidRPr="00093D5F">
              <w:rPr>
                <w:rFonts w:eastAsia="Times New Roman" w:cs="Arial"/>
                <w:szCs w:val="24"/>
                <w:lang w:eastAsia="en-GB"/>
              </w:rPr>
              <w:t xml:space="preserve"> 400 mg, controlled release Lithium Carbonate. Essential Pharma. Date of revision of the text: </w:t>
            </w:r>
            <w:r w:rsidR="003C6793">
              <w:rPr>
                <w:rFonts w:eastAsia="Times New Roman" w:cs="Arial"/>
                <w:szCs w:val="24"/>
                <w:lang w:eastAsia="en-GB"/>
              </w:rPr>
              <w:t>05/10/23</w:t>
            </w:r>
            <w:r w:rsidRPr="00093D5F">
              <w:rPr>
                <w:rFonts w:eastAsia="Times New Roman" w:cs="Arial"/>
                <w:szCs w:val="24"/>
                <w:lang w:eastAsia="en-GB"/>
              </w:rPr>
              <w:t xml:space="preserve">. Accessed via </w:t>
            </w:r>
            <w:hyperlink r:id="rId35" w:history="1">
              <w:r w:rsidR="003C6793" w:rsidRPr="00B72B18">
                <w:rPr>
                  <w:rStyle w:val="Hyperlink"/>
                </w:rPr>
                <w:t>https://www.medicines.org.uk/emc/product/10829</w:t>
              </w:r>
            </w:hyperlink>
            <w:r w:rsidR="003C6793">
              <w:rPr>
                <w:rFonts w:eastAsia="Times New Roman" w:cs="Arial"/>
                <w:szCs w:val="24"/>
                <w:lang w:eastAsia="en-GB"/>
              </w:rPr>
              <w:t xml:space="preserve"> </w:t>
            </w:r>
            <w:r w:rsidRPr="00093D5F">
              <w:rPr>
                <w:rFonts w:eastAsia="Times New Roman" w:cs="Arial"/>
                <w:szCs w:val="24"/>
                <w:lang w:eastAsia="en-GB"/>
              </w:rPr>
              <w:t xml:space="preserve">on </w:t>
            </w:r>
            <w:r w:rsidR="003C6793">
              <w:rPr>
                <w:rFonts w:eastAsia="Times New Roman" w:cs="Arial"/>
                <w:szCs w:val="24"/>
                <w:lang w:eastAsia="en-GB"/>
              </w:rPr>
              <w:t>07/12/23</w:t>
            </w:r>
            <w:r w:rsidRPr="00093D5F">
              <w:rPr>
                <w:rFonts w:eastAsia="Times New Roman" w:cs="Arial"/>
                <w:szCs w:val="24"/>
                <w:lang w:eastAsia="en-GB"/>
              </w:rPr>
              <w:t>.</w:t>
            </w:r>
          </w:p>
          <w:p w14:paraId="6386ACC6" w14:textId="75EE3A0A" w:rsidR="00093D5F" w:rsidRP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Summary of Product Characteristics. Lithium Carbonate 250mg film coated tablets. Essential Pharma. Date of revision of the text: </w:t>
            </w:r>
            <w:r w:rsidR="003C6793">
              <w:rPr>
                <w:rFonts w:eastAsia="Times New Roman" w:cs="Arial"/>
                <w:szCs w:val="24"/>
                <w:lang w:eastAsia="en-GB"/>
              </w:rPr>
              <w:t>26/09/2022</w:t>
            </w:r>
            <w:r w:rsidRPr="00093D5F">
              <w:rPr>
                <w:rFonts w:eastAsia="Times New Roman" w:cs="Arial"/>
                <w:szCs w:val="24"/>
                <w:lang w:eastAsia="en-GB"/>
              </w:rPr>
              <w:t xml:space="preserve">. Accessed via </w:t>
            </w:r>
            <w:hyperlink r:id="rId36" w:history="1">
              <w:r w:rsidR="003C6793">
                <w:rPr>
                  <w:rStyle w:val="Hyperlink"/>
                  <w:rFonts w:eastAsia="Times New Roman" w:cs="Arial"/>
                  <w:szCs w:val="24"/>
                  <w:lang w:eastAsia="en-GB"/>
                </w:rPr>
                <w:t>https://www.medicines.org.uk/emc/product/10828/</w:t>
              </w:r>
            </w:hyperlink>
            <w:r w:rsidRPr="00093D5F">
              <w:rPr>
                <w:rFonts w:eastAsia="Times New Roman" w:cs="Arial"/>
                <w:szCs w:val="24"/>
                <w:lang w:eastAsia="en-GB"/>
              </w:rPr>
              <w:t xml:space="preserve"> on </w:t>
            </w:r>
            <w:r w:rsidR="003C6793">
              <w:rPr>
                <w:rFonts w:eastAsia="Times New Roman" w:cs="Arial"/>
                <w:szCs w:val="24"/>
                <w:lang w:eastAsia="en-GB"/>
              </w:rPr>
              <w:t>07/12/23</w:t>
            </w:r>
            <w:r w:rsidRPr="00093D5F">
              <w:rPr>
                <w:rFonts w:eastAsia="Times New Roman" w:cs="Arial"/>
                <w:szCs w:val="24"/>
                <w:lang w:eastAsia="en-GB"/>
              </w:rPr>
              <w:t>.</w:t>
            </w:r>
          </w:p>
          <w:p w14:paraId="409F04D8" w14:textId="22545EEF" w:rsidR="00093D5F" w:rsidRP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Summary of Product Characteristics. </w:t>
            </w:r>
            <w:proofErr w:type="spellStart"/>
            <w:r w:rsidRPr="00093D5F">
              <w:rPr>
                <w:rFonts w:eastAsia="Times New Roman" w:cs="Arial"/>
                <w:szCs w:val="24"/>
                <w:lang w:eastAsia="en-GB"/>
              </w:rPr>
              <w:t>Liskonum</w:t>
            </w:r>
            <w:proofErr w:type="spellEnd"/>
            <w:r w:rsidRPr="00093D5F">
              <w:rPr>
                <w:rFonts w:eastAsia="Times New Roman" w:cs="Arial"/>
                <w:szCs w:val="24"/>
                <w:lang w:eastAsia="en-GB"/>
              </w:rPr>
              <w:t xml:space="preserve">® 450mg tablets. </w:t>
            </w:r>
            <w:proofErr w:type="spellStart"/>
            <w:r w:rsidRPr="00093D5F">
              <w:rPr>
                <w:rFonts w:eastAsia="Times New Roman" w:cs="Arial"/>
                <w:szCs w:val="24"/>
                <w:lang w:eastAsia="en-GB"/>
              </w:rPr>
              <w:t>Teofarma</w:t>
            </w:r>
            <w:proofErr w:type="spellEnd"/>
            <w:r w:rsidRPr="00093D5F">
              <w:rPr>
                <w:rFonts w:eastAsia="Times New Roman" w:cs="Arial"/>
                <w:szCs w:val="24"/>
                <w:lang w:eastAsia="en-GB"/>
              </w:rPr>
              <w:t xml:space="preserve"> </w:t>
            </w:r>
            <w:proofErr w:type="spellStart"/>
            <w:r w:rsidRPr="00093D5F">
              <w:rPr>
                <w:rFonts w:eastAsia="Times New Roman" w:cs="Arial"/>
                <w:szCs w:val="24"/>
                <w:lang w:eastAsia="en-GB"/>
              </w:rPr>
              <w:t>S.r.l</w:t>
            </w:r>
            <w:proofErr w:type="spellEnd"/>
            <w:r w:rsidRPr="00093D5F">
              <w:rPr>
                <w:rFonts w:eastAsia="Times New Roman" w:cs="Arial"/>
                <w:szCs w:val="24"/>
                <w:lang w:eastAsia="en-GB"/>
              </w:rPr>
              <w:t xml:space="preserve">. Date of revision of the text: </w:t>
            </w:r>
            <w:r w:rsidR="00096896">
              <w:rPr>
                <w:rFonts w:eastAsia="Times New Roman" w:cs="Arial"/>
                <w:szCs w:val="24"/>
                <w:lang w:eastAsia="en-GB"/>
              </w:rPr>
              <w:t>24/10/2022</w:t>
            </w:r>
            <w:r w:rsidRPr="00093D5F">
              <w:rPr>
                <w:rFonts w:eastAsia="Times New Roman" w:cs="Arial"/>
                <w:szCs w:val="24"/>
                <w:lang w:eastAsia="en-GB"/>
              </w:rPr>
              <w:t xml:space="preserve">. Accessed via </w:t>
            </w:r>
            <w:hyperlink r:id="rId37" w:history="1">
              <w:r w:rsidRPr="00093D5F">
                <w:rPr>
                  <w:rStyle w:val="Hyperlink"/>
                  <w:rFonts w:eastAsia="Times New Roman" w:cs="Arial"/>
                  <w:szCs w:val="24"/>
                  <w:lang w:eastAsia="en-GB"/>
                </w:rPr>
                <w:t>https://products.mhra.gov.uk/</w:t>
              </w:r>
            </w:hyperlink>
            <w:r w:rsidRPr="00093D5F">
              <w:rPr>
                <w:rFonts w:eastAsia="Times New Roman" w:cs="Arial"/>
                <w:szCs w:val="24"/>
                <w:lang w:eastAsia="en-GB"/>
              </w:rPr>
              <w:t xml:space="preserve"> on </w:t>
            </w:r>
            <w:r w:rsidR="00096896">
              <w:rPr>
                <w:rFonts w:eastAsia="Times New Roman" w:cs="Arial"/>
                <w:szCs w:val="24"/>
                <w:lang w:eastAsia="en-GB"/>
              </w:rPr>
              <w:t>07/12/23</w:t>
            </w:r>
            <w:r w:rsidRPr="00093D5F">
              <w:rPr>
                <w:rFonts w:eastAsia="Times New Roman" w:cs="Arial"/>
                <w:szCs w:val="24"/>
                <w:lang w:eastAsia="en-GB"/>
              </w:rPr>
              <w:t>.</w:t>
            </w:r>
          </w:p>
          <w:p w14:paraId="2F89A5F1" w14:textId="778F073F" w:rsidR="00093D5F" w:rsidRP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Summary of Product Characteristics. Li-Liquid 509 mg/5mL oral syrup. Rosemont. Date of revision of the text: </w:t>
            </w:r>
            <w:r w:rsidR="00096896">
              <w:rPr>
                <w:rFonts w:eastAsia="Times New Roman" w:cs="Arial"/>
                <w:szCs w:val="24"/>
                <w:lang w:eastAsia="en-GB"/>
              </w:rPr>
              <w:t>19/10/23</w:t>
            </w:r>
            <w:r w:rsidRPr="00093D5F">
              <w:rPr>
                <w:rFonts w:eastAsia="Times New Roman" w:cs="Arial"/>
                <w:szCs w:val="24"/>
                <w:lang w:eastAsia="en-GB"/>
              </w:rPr>
              <w:t xml:space="preserve">. Accessed via </w:t>
            </w:r>
            <w:hyperlink r:id="rId38" w:history="1">
              <w:r w:rsidRPr="00093D5F">
                <w:rPr>
                  <w:rStyle w:val="Hyperlink"/>
                  <w:rFonts w:eastAsia="Times New Roman" w:cs="Arial"/>
                  <w:szCs w:val="24"/>
                  <w:lang w:eastAsia="en-GB"/>
                </w:rPr>
                <w:t>https://www.medicines.org.uk/emc/</w:t>
              </w:r>
            </w:hyperlink>
            <w:r w:rsidRPr="00093D5F">
              <w:rPr>
                <w:rFonts w:eastAsia="Times New Roman" w:cs="Arial"/>
                <w:szCs w:val="24"/>
                <w:lang w:eastAsia="en-GB"/>
              </w:rPr>
              <w:t xml:space="preserve"> on </w:t>
            </w:r>
            <w:r w:rsidR="00096896">
              <w:rPr>
                <w:rFonts w:eastAsia="Times New Roman" w:cs="Arial"/>
                <w:szCs w:val="24"/>
                <w:lang w:eastAsia="en-GB"/>
              </w:rPr>
              <w:t>07/12/23</w:t>
            </w:r>
            <w:r w:rsidRPr="00093D5F">
              <w:rPr>
                <w:rFonts w:eastAsia="Times New Roman" w:cs="Arial"/>
                <w:szCs w:val="24"/>
                <w:lang w:eastAsia="en-GB"/>
              </w:rPr>
              <w:t>.</w:t>
            </w:r>
          </w:p>
          <w:p w14:paraId="4EAFCF5D" w14:textId="37EA541A" w:rsidR="00093D5F" w:rsidRP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NICE </w:t>
            </w:r>
            <w:r w:rsidR="00096896">
              <w:rPr>
                <w:rFonts w:eastAsia="Times New Roman" w:cs="Arial"/>
                <w:szCs w:val="24"/>
                <w:lang w:eastAsia="en-GB"/>
              </w:rPr>
              <w:t>NG222</w:t>
            </w:r>
            <w:r w:rsidRPr="00093D5F">
              <w:rPr>
                <w:rFonts w:eastAsia="Times New Roman" w:cs="Arial"/>
                <w:szCs w:val="24"/>
                <w:lang w:eastAsia="en-GB"/>
              </w:rPr>
              <w:t xml:space="preserve">: Depression in adults: </w:t>
            </w:r>
            <w:r w:rsidR="00096896">
              <w:rPr>
                <w:rFonts w:eastAsia="Times New Roman" w:cs="Arial"/>
                <w:szCs w:val="24"/>
                <w:lang w:eastAsia="en-GB"/>
              </w:rPr>
              <w:t>treatment</w:t>
            </w:r>
            <w:r w:rsidR="00096896" w:rsidRPr="00093D5F">
              <w:rPr>
                <w:rFonts w:eastAsia="Times New Roman" w:cs="Arial"/>
                <w:szCs w:val="24"/>
                <w:lang w:eastAsia="en-GB"/>
              </w:rPr>
              <w:t xml:space="preserve"> </w:t>
            </w:r>
            <w:r w:rsidRPr="00093D5F">
              <w:rPr>
                <w:rFonts w:eastAsia="Times New Roman" w:cs="Arial"/>
                <w:szCs w:val="24"/>
                <w:lang w:eastAsia="en-GB"/>
              </w:rPr>
              <w:t xml:space="preserve">and management. </w:t>
            </w:r>
            <w:r w:rsidR="00096896">
              <w:rPr>
                <w:rFonts w:eastAsia="Times New Roman" w:cs="Arial"/>
                <w:szCs w:val="24"/>
                <w:lang w:eastAsia="en-GB"/>
              </w:rPr>
              <w:t>June 2022</w:t>
            </w:r>
            <w:r w:rsidRPr="00093D5F">
              <w:rPr>
                <w:rFonts w:eastAsia="Times New Roman" w:cs="Arial"/>
                <w:szCs w:val="24"/>
                <w:lang w:eastAsia="en-GB"/>
              </w:rPr>
              <w:t xml:space="preserve">. Accessed via </w:t>
            </w:r>
            <w:hyperlink r:id="rId39" w:history="1">
              <w:r w:rsidR="00096896">
                <w:rPr>
                  <w:rStyle w:val="Hyperlink"/>
                  <w:rFonts w:eastAsia="Times New Roman" w:cs="Arial"/>
                  <w:szCs w:val="24"/>
                  <w:lang w:eastAsia="en-GB"/>
                </w:rPr>
                <w:t>https://www.nice.org.uk/guidance/ng222</w:t>
              </w:r>
            </w:hyperlink>
            <w:r w:rsidRPr="00093D5F">
              <w:rPr>
                <w:rFonts w:eastAsia="Times New Roman" w:cs="Arial"/>
                <w:szCs w:val="24"/>
                <w:lang w:eastAsia="en-GB"/>
              </w:rPr>
              <w:t xml:space="preserve"> on </w:t>
            </w:r>
            <w:r w:rsidR="00096896">
              <w:rPr>
                <w:rFonts w:eastAsia="Times New Roman" w:cs="Arial"/>
                <w:szCs w:val="24"/>
                <w:lang w:eastAsia="en-GB"/>
              </w:rPr>
              <w:t>07/12/23</w:t>
            </w:r>
            <w:r w:rsidRPr="00093D5F">
              <w:rPr>
                <w:rFonts w:eastAsia="Times New Roman" w:cs="Arial"/>
                <w:szCs w:val="24"/>
                <w:lang w:eastAsia="en-GB"/>
              </w:rPr>
              <w:t>.</w:t>
            </w:r>
          </w:p>
          <w:p w14:paraId="49B30132" w14:textId="323806AC" w:rsidR="00093D5F" w:rsidRP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NICE CG185: Bipolar disorder: assessment and management. September 2014 (last updated February 2020). Accessed via </w:t>
            </w:r>
            <w:hyperlink r:id="rId40" w:history="1">
              <w:r w:rsidRPr="00093D5F">
                <w:rPr>
                  <w:rStyle w:val="Hyperlink"/>
                  <w:rFonts w:eastAsia="Times New Roman" w:cs="Arial"/>
                  <w:szCs w:val="24"/>
                  <w:lang w:eastAsia="en-GB"/>
                </w:rPr>
                <w:t>https://www.nice.org.uk/guidance/cg185</w:t>
              </w:r>
            </w:hyperlink>
            <w:r w:rsidRPr="00093D5F">
              <w:rPr>
                <w:rFonts w:eastAsia="Times New Roman" w:cs="Arial"/>
                <w:szCs w:val="24"/>
                <w:lang w:eastAsia="en-GB"/>
              </w:rPr>
              <w:t xml:space="preserve"> on </w:t>
            </w:r>
            <w:r w:rsidR="00096896">
              <w:rPr>
                <w:rFonts w:eastAsia="Times New Roman" w:cs="Arial"/>
                <w:szCs w:val="24"/>
                <w:lang w:eastAsia="en-GB"/>
              </w:rPr>
              <w:t>07/12/23</w:t>
            </w:r>
          </w:p>
          <w:p w14:paraId="7341AFE8" w14:textId="2DB85838" w:rsidR="00093D5F" w:rsidRP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lastRenderedPageBreak/>
              <w:t xml:space="preserve">NICE CG192: Antenatal and postnatal mental health: clinical management and service guidance. Last updated February 2020. Accessed via </w:t>
            </w:r>
            <w:hyperlink r:id="rId41" w:history="1">
              <w:r w:rsidRPr="00093D5F">
                <w:rPr>
                  <w:rStyle w:val="Hyperlink"/>
                  <w:rFonts w:eastAsia="Times New Roman" w:cs="Arial"/>
                  <w:szCs w:val="24"/>
                  <w:lang w:eastAsia="en-GB"/>
                </w:rPr>
                <w:t>https://www.nice.org.uk/guidance/cg192/</w:t>
              </w:r>
            </w:hyperlink>
            <w:r w:rsidRPr="00093D5F">
              <w:rPr>
                <w:rFonts w:eastAsia="Times New Roman" w:cs="Arial"/>
                <w:szCs w:val="24"/>
                <w:lang w:eastAsia="en-GB"/>
              </w:rPr>
              <w:t xml:space="preserve"> on </w:t>
            </w:r>
            <w:r w:rsidR="00096896">
              <w:rPr>
                <w:rFonts w:eastAsia="Times New Roman" w:cs="Arial"/>
                <w:szCs w:val="24"/>
                <w:lang w:eastAsia="en-GB"/>
              </w:rPr>
              <w:t>07/12/23</w:t>
            </w:r>
            <w:r w:rsidRPr="00093D5F">
              <w:rPr>
                <w:rFonts w:eastAsia="Times New Roman" w:cs="Arial"/>
                <w:szCs w:val="24"/>
                <w:lang w:eastAsia="en-GB"/>
              </w:rPr>
              <w:t>.</w:t>
            </w:r>
          </w:p>
          <w:p w14:paraId="3A0641D4" w14:textId="00061FB6" w:rsidR="00093D5F" w:rsidRPr="00093D5F" w:rsidRDefault="00093D5F" w:rsidP="00912E9A">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Specialist Pharmacy Service. Medicines monitoring: Monitoring lithium. </w:t>
            </w:r>
            <w:r w:rsidR="00912E9A">
              <w:rPr>
                <w:rFonts w:eastAsia="Times New Roman" w:cs="Arial"/>
                <w:szCs w:val="24"/>
                <w:lang w:eastAsia="en-GB"/>
              </w:rPr>
              <w:t>Last updated 10/10/23</w:t>
            </w:r>
            <w:r w:rsidRPr="00093D5F">
              <w:rPr>
                <w:rFonts w:eastAsia="Times New Roman" w:cs="Arial"/>
                <w:szCs w:val="24"/>
                <w:lang w:eastAsia="en-GB"/>
              </w:rPr>
              <w:t xml:space="preserve">. Accessed via </w:t>
            </w:r>
            <w:hyperlink r:id="rId42" w:history="1">
              <w:r w:rsidR="00912E9A" w:rsidRPr="00B72B18">
                <w:rPr>
                  <w:rStyle w:val="Hyperlink"/>
                  <w:rFonts w:eastAsia="Times New Roman" w:cs="Arial"/>
                  <w:szCs w:val="24"/>
                  <w:lang w:eastAsia="en-GB"/>
                </w:rPr>
                <w:t>https://www.sps.nhs.uk/monitorings/lithium-monitoring/</w:t>
              </w:r>
            </w:hyperlink>
            <w:r w:rsidR="00912E9A">
              <w:rPr>
                <w:rFonts w:eastAsia="Times New Roman" w:cs="Arial"/>
                <w:szCs w:val="24"/>
                <w:lang w:eastAsia="en-GB"/>
              </w:rPr>
              <w:t xml:space="preserve"> </w:t>
            </w:r>
            <w:r w:rsidRPr="00093D5F">
              <w:rPr>
                <w:rFonts w:eastAsia="Times New Roman" w:cs="Arial"/>
                <w:szCs w:val="24"/>
                <w:lang w:eastAsia="en-GB"/>
              </w:rPr>
              <w:t xml:space="preserve">on </w:t>
            </w:r>
            <w:r w:rsidR="00912E9A">
              <w:rPr>
                <w:rFonts w:eastAsia="Times New Roman" w:cs="Arial"/>
                <w:szCs w:val="24"/>
                <w:lang w:eastAsia="en-GB"/>
              </w:rPr>
              <w:t>07/12/23</w:t>
            </w:r>
            <w:r w:rsidRPr="00093D5F">
              <w:rPr>
                <w:rFonts w:eastAsia="Times New Roman" w:cs="Arial"/>
                <w:szCs w:val="24"/>
                <w:lang w:eastAsia="en-GB"/>
              </w:rPr>
              <w:t xml:space="preserve">. </w:t>
            </w:r>
          </w:p>
          <w:p w14:paraId="1D18473F" w14:textId="77777777" w:rsidR="00093D5F" w:rsidRP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Taylor D, Barnes T, Young A. The Maudsley Prescribing Guidelines in Psychiatry. 13th ed. London: Wiley-Blackwell; 2018, pp. 205-213.</w:t>
            </w:r>
          </w:p>
          <w:p w14:paraId="4771FE93" w14:textId="77777777" w:rsidR="00093D5F" w:rsidRP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NICE Clinical Knowledge Summary. Bipolar disorder: Lithium. Last revised November 2020. Accessed via </w:t>
            </w:r>
            <w:hyperlink r:id="rId43" w:history="1">
              <w:r w:rsidRPr="00093D5F">
                <w:rPr>
                  <w:rStyle w:val="Hyperlink"/>
                  <w:rFonts w:eastAsia="Times New Roman" w:cs="Arial"/>
                  <w:szCs w:val="24"/>
                  <w:lang w:eastAsia="en-GB"/>
                </w:rPr>
                <w:t>https://cks.nice.org.uk/topics/bipolar-disorder/prescribing-information/lithium/</w:t>
              </w:r>
            </w:hyperlink>
            <w:r w:rsidRPr="00093D5F">
              <w:rPr>
                <w:rFonts w:eastAsia="Times New Roman" w:cs="Arial"/>
                <w:szCs w:val="24"/>
                <w:lang w:eastAsia="en-GB"/>
              </w:rPr>
              <w:t xml:space="preserve"> on 17/02/2021.</w:t>
            </w:r>
          </w:p>
          <w:p w14:paraId="7B401A33" w14:textId="36B062E0" w:rsidR="00093D5F" w:rsidRP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NHS UK leaflet: Lithium. Accessed via </w:t>
            </w:r>
            <w:hyperlink r:id="rId44" w:history="1">
              <w:r w:rsidRPr="00093D5F">
                <w:rPr>
                  <w:rStyle w:val="Hyperlink"/>
                  <w:rFonts w:cs="Arial"/>
                  <w:szCs w:val="24"/>
                </w:rPr>
                <w:t>https://www.nhs.uk/medicines/lithium/</w:t>
              </w:r>
            </w:hyperlink>
            <w:r w:rsidRPr="00093D5F">
              <w:rPr>
                <w:rFonts w:cs="Arial"/>
                <w:szCs w:val="24"/>
              </w:rPr>
              <w:t xml:space="preserve"> on </w:t>
            </w:r>
            <w:r w:rsidR="00912E9A">
              <w:rPr>
                <w:rFonts w:eastAsia="Times New Roman" w:cs="Arial"/>
                <w:szCs w:val="24"/>
                <w:lang w:eastAsia="en-GB"/>
              </w:rPr>
              <w:t>11/03/24</w:t>
            </w:r>
            <w:r w:rsidRPr="00093D5F">
              <w:rPr>
                <w:rFonts w:eastAsia="Times New Roman" w:cs="Arial"/>
                <w:szCs w:val="24"/>
                <w:lang w:eastAsia="en-GB"/>
              </w:rPr>
              <w:t>.</w:t>
            </w:r>
          </w:p>
          <w:p w14:paraId="691F28DD" w14:textId="1784FF24" w:rsidR="0085244E" w:rsidRPr="00093D5F" w:rsidRDefault="00093D5F" w:rsidP="001E2D3F">
            <w:pPr>
              <w:pStyle w:val="ListParagraph"/>
              <w:numPr>
                <w:ilvl w:val="0"/>
                <w:numId w:val="21"/>
              </w:numPr>
              <w:rPr>
                <w:rFonts w:eastAsia="Times New Roman" w:cs="Arial"/>
                <w:lang w:eastAsia="en-GB"/>
              </w:rPr>
            </w:pPr>
            <w:r w:rsidRPr="00093D5F">
              <w:rPr>
                <w:rFonts w:eastAsia="Times New Roman" w:cs="Arial"/>
                <w:lang w:eastAsia="en-GB"/>
              </w:rPr>
              <w:t xml:space="preserve">National Patient Safety Agency. Safer Lithium Therapy. 2009. Archived resources available via: </w:t>
            </w:r>
            <w:hyperlink r:id="rId45" w:history="1">
              <w:r w:rsidRPr="00B515FA">
                <w:rPr>
                  <w:rStyle w:val="Hyperlink"/>
                  <w:rFonts w:eastAsia="Times New Roman" w:cs="Arial"/>
                  <w:szCs w:val="24"/>
                  <w:lang w:eastAsia="en-GB"/>
                </w:rPr>
                <w:t>[ARCHIVED CONTENT] Safer lithium therapy (nationalarchives.gov.uk)</w:t>
              </w:r>
            </w:hyperlink>
            <w:r w:rsidRPr="00093D5F">
              <w:rPr>
                <w:rFonts w:eastAsia="Times New Roman" w:cs="Arial"/>
                <w:lang w:eastAsia="en-GB"/>
              </w:rPr>
              <w:t xml:space="preserve"> </w:t>
            </w:r>
          </w:p>
        </w:tc>
      </w:tr>
      <w:tr w:rsidR="00767B99" w:rsidRPr="00F321FC" w14:paraId="5BFC9044" w14:textId="77777777" w:rsidTr="00BF174A">
        <w:tc>
          <w:tcPr>
            <w:tcW w:w="2268" w:type="dxa"/>
          </w:tcPr>
          <w:p w14:paraId="2578110D" w14:textId="16C76C27" w:rsidR="00767B99" w:rsidRPr="00F321FC" w:rsidRDefault="00767B99" w:rsidP="00767B99">
            <w:pPr>
              <w:pStyle w:val="Heading2"/>
              <w:outlineLvl w:val="1"/>
              <w:rPr>
                <w:rFonts w:cs="Arial"/>
              </w:rPr>
            </w:pPr>
            <w:bookmarkStart w:id="29" w:name="sixteen_read_with"/>
            <w:bookmarkStart w:id="30" w:name="_Toc149231800"/>
            <w:r w:rsidRPr="00F321FC">
              <w:rPr>
                <w:rFonts w:cs="Arial"/>
              </w:rPr>
              <w:lastRenderedPageBreak/>
              <w:t>To be read in conjunction with the following documents</w:t>
            </w:r>
            <w:bookmarkEnd w:id="29"/>
            <w:bookmarkEnd w:id="30"/>
          </w:p>
        </w:tc>
        <w:tc>
          <w:tcPr>
            <w:tcW w:w="8193" w:type="dxa"/>
          </w:tcPr>
          <w:p w14:paraId="1D359FBA" w14:textId="77777777" w:rsidR="00FB404F" w:rsidRPr="00FB404F" w:rsidRDefault="00FB404F" w:rsidP="00093D5F">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Shared Care for Medicines Guidance – A Standard Approach (RMOC). Available from </w:t>
            </w:r>
            <w:hyperlink r:id="rId46" w:history="1">
              <w:r w:rsidRPr="00FB404F">
                <w:rPr>
                  <w:rStyle w:val="Hyperlink"/>
                  <w:rFonts w:eastAsia="Times New Roman" w:cs="Arial"/>
                  <w:lang w:eastAsia="en-GB"/>
                </w:rPr>
                <w:t>https://www.sps.nhs.uk/articles/rmoc-shared-care-guidance/</w:t>
              </w:r>
            </w:hyperlink>
            <w:r w:rsidRPr="00FB404F">
              <w:rPr>
                <w:rFonts w:eastAsia="Times New Roman" w:cs="Arial"/>
                <w:lang w:eastAsia="en-GB"/>
              </w:rPr>
              <w:t xml:space="preserve"> </w:t>
            </w:r>
          </w:p>
          <w:p w14:paraId="2D3D56F2" w14:textId="77777777" w:rsidR="00FB404F" w:rsidRPr="00FB404F" w:rsidRDefault="00FB404F" w:rsidP="00093D5F">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NHSE guidance – </w:t>
            </w:r>
            <w:r w:rsidRPr="00FB404F">
              <w:rPr>
                <w:rFonts w:cs="Arial"/>
              </w:rPr>
              <w:t xml:space="preserve">Responsibility for prescribing between primary &amp; secondary/tertiary care. Available from </w:t>
            </w:r>
            <w:hyperlink r:id="rId47" w:history="1">
              <w:r w:rsidRPr="00FB404F">
                <w:rPr>
                  <w:rStyle w:val="Hyperlink"/>
                  <w:rFonts w:cs="Arial"/>
                </w:rPr>
                <w:t>https://www.england.nhs.uk/publication/responsibility-for-prescribing-between-primary-and-secondary-tertiary-care/</w:t>
              </w:r>
            </w:hyperlink>
            <w:r w:rsidRPr="00FB404F">
              <w:rPr>
                <w:rFonts w:cs="Arial"/>
              </w:rPr>
              <w:t xml:space="preserve"> </w:t>
            </w:r>
          </w:p>
          <w:p w14:paraId="253D5A7B" w14:textId="77777777" w:rsidR="00FB404F" w:rsidRPr="00FB404F" w:rsidRDefault="00FB404F" w:rsidP="00093D5F">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General Medical Council. Good practice in prescribing and managing medicines and devices. Shared care. Available from </w:t>
            </w:r>
            <w:hyperlink r:id="rId48" w:history="1">
              <w:r w:rsidRPr="00FB404F">
                <w:rPr>
                  <w:rStyle w:val="Hyperlink"/>
                  <w:rFonts w:eastAsia="Times New Roman" w:cs="Arial"/>
                  <w:lang w:eastAsia="en-GB"/>
                </w:rPr>
                <w:t>https://www.gmc-uk.org/ethical-guidance/ethical-guidance-for-doctors/good-practice-in-prescribing-and-managing-medicines-and-devices/shared-care</w:t>
              </w:r>
            </w:hyperlink>
            <w:r w:rsidRPr="00FB404F">
              <w:rPr>
                <w:rFonts w:eastAsia="Times New Roman" w:cs="Arial"/>
                <w:lang w:eastAsia="en-GB"/>
              </w:rPr>
              <w:t xml:space="preserve"> </w:t>
            </w:r>
          </w:p>
          <w:p w14:paraId="0A32DAB2" w14:textId="781DB999" w:rsidR="00767B99" w:rsidRPr="00FB404F" w:rsidRDefault="00FB404F" w:rsidP="00FB404F">
            <w:pPr>
              <w:pStyle w:val="References"/>
              <w:spacing w:after="60"/>
              <w:rPr>
                <w:rFonts w:cs="Arial"/>
              </w:rPr>
            </w:pPr>
            <w:r w:rsidRPr="00FB404F">
              <w:rPr>
                <w:rFonts w:eastAsia="Times New Roman" w:cs="Arial"/>
                <w:lang w:eastAsia="en-GB"/>
              </w:rPr>
              <w:t xml:space="preserve">NICE NG197: Shared decision making. Last updated June 2021. </w:t>
            </w:r>
            <w:hyperlink r:id="rId49" w:history="1">
              <w:r w:rsidRPr="00FB404F">
                <w:rPr>
                  <w:rStyle w:val="Hyperlink"/>
                  <w:rFonts w:eastAsia="Times New Roman" w:cs="Arial"/>
                  <w:lang w:eastAsia="en-GB"/>
                </w:rPr>
                <w:t>https://www.nice.org.uk/guidance/ng197/</w:t>
              </w:r>
            </w:hyperlink>
            <w:r w:rsidRPr="00FB404F">
              <w:rPr>
                <w:rFonts w:eastAsia="Times New Roman" w:cs="Arial"/>
                <w:lang w:eastAsia="en-GB"/>
              </w:rPr>
              <w:t>.</w:t>
            </w:r>
          </w:p>
        </w:tc>
      </w:tr>
    </w:tbl>
    <w:p w14:paraId="542C2C02" w14:textId="77777777" w:rsidR="00854C79" w:rsidRPr="00C72861" w:rsidRDefault="00854C79" w:rsidP="00C72861"/>
    <w:p w14:paraId="3B0B1FF8" w14:textId="39911C27" w:rsidR="003552BC" w:rsidRDefault="003552BC" w:rsidP="00F34C5E"/>
    <w:sectPr w:rsidR="003552BC" w:rsidSect="00BF1406">
      <w:headerReference w:type="even" r:id="rId50"/>
      <w:headerReference w:type="default" r:id="rId51"/>
      <w:footerReference w:type="even" r:id="rId52"/>
      <w:footerReference w:type="default" r:id="rId53"/>
      <w:headerReference w:type="first" r:id="rId54"/>
      <w:footerReference w:type="first" r:id="rId55"/>
      <w:pgSz w:w="11906" w:h="16838"/>
      <w:pgMar w:top="851" w:right="720" w:bottom="1135"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ACDE7" w14:textId="77777777" w:rsidR="00A83941" w:rsidRDefault="00A83941" w:rsidP="00E83C66">
      <w:pPr>
        <w:spacing w:after="0" w:line="240" w:lineRule="auto"/>
      </w:pPr>
      <w:r>
        <w:separator/>
      </w:r>
    </w:p>
  </w:endnote>
  <w:endnote w:type="continuationSeparator" w:id="0">
    <w:p w14:paraId="609B9DFA" w14:textId="77777777" w:rsidR="00A83941" w:rsidRDefault="00A83941" w:rsidP="00E8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841D3" w14:textId="77777777" w:rsidR="000420B8" w:rsidRDefault="00042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288E" w14:textId="296FD806" w:rsidR="00637CD5" w:rsidRPr="00003E35" w:rsidRDefault="00637CD5" w:rsidP="00003E35">
    <w:pPr>
      <w:pStyle w:val="Footer"/>
    </w:pPr>
    <w:r w:rsidRPr="00003E35">
      <w:t xml:space="preserve">Shared care protocol: </w:t>
    </w:r>
    <w:r>
      <w:t>lithium</w:t>
    </w:r>
    <w:r w:rsidRPr="00003E35">
      <w:t xml:space="preserve"> in adults </w:t>
    </w:r>
    <w:r w:rsidRPr="00003E35">
      <w:tab/>
    </w:r>
    <w:r w:rsidRPr="00003E35">
      <w:tab/>
    </w:r>
    <w:r w:rsidR="00814428">
      <w:t>v1.0</w:t>
    </w:r>
  </w:p>
  <w:p w14:paraId="505A2D92" w14:textId="6BB411ED" w:rsidR="00637CD5" w:rsidRDefault="00637CD5" w:rsidP="00003E35">
    <w:pPr>
      <w:pStyle w:val="Footer"/>
    </w:pPr>
    <w:r w:rsidRPr="00003E35">
      <w:t xml:space="preserve">Clinical content reviewed by RDTC: </w:t>
    </w:r>
    <w:r>
      <w:t>7th December 2023</w:t>
    </w:r>
    <w:r w:rsidRPr="00003E35">
      <w:tab/>
      <w:t xml:space="preserve">Approved by </w:t>
    </w:r>
    <w:r w:rsidR="005C4899">
      <w:t xml:space="preserve">HNY </w:t>
    </w:r>
    <w:r w:rsidRPr="00003E35">
      <w:t>ICB</w:t>
    </w:r>
    <w:r w:rsidR="005C4899">
      <w:t xml:space="preserve"> APC</w:t>
    </w:r>
    <w:r w:rsidRPr="00003E35">
      <w:t>: DATE</w:t>
    </w:r>
  </w:p>
  <w:p w14:paraId="6053BF00" w14:textId="6024D01B" w:rsidR="00637CD5" w:rsidRPr="0092446D" w:rsidRDefault="00637CD5" w:rsidP="0092446D">
    <w:pPr>
      <w:pStyle w:val="Footer"/>
      <w:jc w:val="right"/>
    </w:pPr>
    <w:r w:rsidRPr="0092446D">
      <w:t xml:space="preserve">Page </w:t>
    </w:r>
    <w:r w:rsidRPr="0092446D">
      <w:fldChar w:fldCharType="begin"/>
    </w:r>
    <w:r w:rsidRPr="0092446D">
      <w:instrText xml:space="preserve"> PAGE  \* Arabic  \* MERGEFORMAT </w:instrText>
    </w:r>
    <w:r w:rsidRPr="0092446D">
      <w:fldChar w:fldCharType="separate"/>
    </w:r>
    <w:r w:rsidR="000420B8">
      <w:rPr>
        <w:noProof/>
      </w:rPr>
      <w:t>15</w:t>
    </w:r>
    <w:r w:rsidRPr="0092446D">
      <w:fldChar w:fldCharType="end"/>
    </w:r>
    <w:r w:rsidRPr="0092446D">
      <w:t xml:space="preserve"> of </w:t>
    </w:r>
    <w:r w:rsidR="000420B8">
      <w:fldChar w:fldCharType="begin"/>
    </w:r>
    <w:r w:rsidR="000420B8">
      <w:instrText xml:space="preserve"> NUMPAGES  \* Arabic  \* MERGEFORMAT </w:instrText>
    </w:r>
    <w:r w:rsidR="000420B8">
      <w:fldChar w:fldCharType="separate"/>
    </w:r>
    <w:r w:rsidR="000420B8">
      <w:rPr>
        <w:noProof/>
      </w:rPr>
      <w:t>15</w:t>
    </w:r>
    <w:r w:rsidR="000420B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BB2D" w14:textId="77777777" w:rsidR="000420B8" w:rsidRDefault="00042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FFE6C" w14:textId="77777777" w:rsidR="00A83941" w:rsidRDefault="00A83941" w:rsidP="00E83C66">
      <w:pPr>
        <w:spacing w:after="0" w:line="240" w:lineRule="auto"/>
      </w:pPr>
      <w:r>
        <w:separator/>
      </w:r>
    </w:p>
  </w:footnote>
  <w:footnote w:type="continuationSeparator" w:id="0">
    <w:p w14:paraId="59CEBCDF" w14:textId="77777777" w:rsidR="00A83941" w:rsidRDefault="00A83941" w:rsidP="00E8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E9DBA" w14:textId="1F83A735" w:rsidR="000420B8" w:rsidRDefault="000420B8">
    <w:pPr>
      <w:pStyle w:val="Header"/>
    </w:pPr>
    <w:r>
      <w:rPr>
        <w:noProof/>
      </w:rPr>
      <w:pict w14:anchorId="09FF3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7579" o:spid="_x0000_s1026" type="#_x0000_t136" style="position:absolute;margin-left:0;margin-top:0;width:527pt;height:210.8pt;rotation:315;z-index:-25165107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6650C" w14:textId="1E88E094" w:rsidR="000420B8" w:rsidRDefault="000420B8">
    <w:pPr>
      <w:pStyle w:val="Header"/>
    </w:pPr>
    <w:r>
      <w:rPr>
        <w:noProof/>
      </w:rPr>
      <w:pict w14:anchorId="003C2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7580" o:spid="_x0000_s1027" type="#_x0000_t136" style="position:absolute;margin-left:0;margin-top:0;width:527pt;height:210.8pt;rotation:315;z-index:-25164902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FAFE" w14:textId="18F97625" w:rsidR="005C4899" w:rsidRDefault="000420B8" w:rsidP="003C21D1">
    <w:pPr>
      <w:pStyle w:val="Header"/>
      <w:spacing w:after="0"/>
      <w:rPr>
        <w:b/>
        <w:bCs/>
      </w:rPr>
    </w:pPr>
    <w:r>
      <w:rPr>
        <w:noProof/>
      </w:rPr>
      <w:pict w14:anchorId="35FF2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7578" o:spid="_x0000_s1025" type="#_x0000_t136" style="position:absolute;margin-left:0;margin-top:0;width:527pt;height:210.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r w:rsidR="005C4899" w:rsidRPr="00EC13F4">
      <w:rPr>
        <w:noProof/>
        <w:lang w:eastAsia="en-GB"/>
      </w:rPr>
      <w:drawing>
        <wp:anchor distT="0" distB="0" distL="114300" distR="114300" simplePos="0" relativeHeight="251661312" behindDoc="1" locked="0" layoutInCell="1" allowOverlap="1" wp14:anchorId="5B550A24" wp14:editId="19F5D70E">
          <wp:simplePos x="0" y="0"/>
          <wp:positionH relativeFrom="margin">
            <wp:posOffset>5381625</wp:posOffset>
          </wp:positionH>
          <wp:positionV relativeFrom="paragraph">
            <wp:posOffset>-363855</wp:posOffset>
          </wp:positionV>
          <wp:extent cx="1028700" cy="625475"/>
          <wp:effectExtent l="0" t="0" r="0" b="3175"/>
          <wp:wrapTight wrapText="bothSides">
            <wp:wrapPolygon edited="0">
              <wp:start x="0" y="0"/>
              <wp:lineTo x="0" y="21052"/>
              <wp:lineTo x="21200" y="21052"/>
              <wp:lineTo x="21200" y="0"/>
              <wp:lineTo x="0" y="0"/>
            </wp:wrapPolygon>
          </wp:wrapTight>
          <wp:docPr id="18" name="Picture 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625475"/>
                  </a:xfrm>
                  <a:prstGeom prst="rect">
                    <a:avLst/>
                  </a:prstGeom>
                </pic:spPr>
              </pic:pic>
            </a:graphicData>
          </a:graphic>
          <wp14:sizeRelH relativeFrom="margin">
            <wp14:pctWidth>0</wp14:pctWidth>
          </wp14:sizeRelH>
          <wp14:sizeRelV relativeFrom="margin">
            <wp14:pctHeight>0</wp14:pctHeight>
          </wp14:sizeRelV>
        </wp:anchor>
      </w:drawing>
    </w:r>
    <w:r w:rsidR="005C4899" w:rsidRPr="00EC13F4">
      <w:rPr>
        <w:noProof/>
        <w:lang w:eastAsia="en-GB"/>
      </w:rPr>
      <w:drawing>
        <wp:anchor distT="0" distB="0" distL="114300" distR="114300" simplePos="0" relativeHeight="251659264" behindDoc="1" locked="0" layoutInCell="1" allowOverlap="1" wp14:anchorId="0D992773" wp14:editId="5F2364C1">
          <wp:simplePos x="0" y="0"/>
          <wp:positionH relativeFrom="margin">
            <wp:posOffset>-180975</wp:posOffset>
          </wp:positionH>
          <wp:positionV relativeFrom="paragraph">
            <wp:posOffset>-257810</wp:posOffset>
          </wp:positionV>
          <wp:extent cx="2209800" cy="466725"/>
          <wp:effectExtent l="0" t="0" r="0" b="9525"/>
          <wp:wrapTight wrapText="bothSides">
            <wp:wrapPolygon edited="0">
              <wp:start x="0" y="0"/>
              <wp:lineTo x="0" y="21159"/>
              <wp:lineTo x="21414" y="21159"/>
              <wp:lineTo x="21414" y="0"/>
              <wp:lineTo x="0" y="0"/>
            </wp:wrapPolygon>
          </wp:wrapTight>
          <wp:docPr id="21" name="Picture 2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AI-generated content may be incorrect."/>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7CD5">
      <w:rPr>
        <w:b/>
        <w:bCs/>
      </w:rPr>
      <w:tab/>
    </w:r>
  </w:p>
  <w:p w14:paraId="034ABC3F" w14:textId="36F3FE4C" w:rsidR="00637CD5" w:rsidRPr="003C21D1" w:rsidRDefault="005C4899" w:rsidP="005C4899">
    <w:pPr>
      <w:pStyle w:val="Header"/>
      <w:spacing w:after="0"/>
      <w:jc w:val="both"/>
    </w:pPr>
    <w:r>
      <w:rPr>
        <w:rStyle w:val="Heading1Char"/>
      </w:rPr>
      <w:tab/>
    </w:r>
    <w:r w:rsidR="00637CD5" w:rsidRPr="001179FD">
      <w:rPr>
        <w:rStyle w:val="Heading1Char"/>
      </w:rPr>
      <w:t>Shared care protocol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17A"/>
    <w:multiLevelType w:val="hybridMultilevel"/>
    <w:tmpl w:val="FCE45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E03C5D"/>
    <w:multiLevelType w:val="hybridMultilevel"/>
    <w:tmpl w:val="67E4F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0B919CF"/>
    <w:multiLevelType w:val="hybridMultilevel"/>
    <w:tmpl w:val="B8844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E041CE"/>
    <w:multiLevelType w:val="hybridMultilevel"/>
    <w:tmpl w:val="655C0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A835DD"/>
    <w:multiLevelType w:val="hybridMultilevel"/>
    <w:tmpl w:val="61184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8D6847"/>
    <w:multiLevelType w:val="hybridMultilevel"/>
    <w:tmpl w:val="70C835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FFE5701"/>
    <w:multiLevelType w:val="hybridMultilevel"/>
    <w:tmpl w:val="035AEE14"/>
    <w:lvl w:ilvl="0" w:tplc="08090003">
      <w:start w:val="1"/>
      <w:numFmt w:val="bullet"/>
      <w:lvlText w:val="o"/>
      <w:lvlJc w:val="left"/>
      <w:pPr>
        <w:ind w:left="717" w:hanging="360"/>
      </w:pPr>
      <w:rPr>
        <w:rFonts w:ascii="Courier New" w:hAnsi="Courier New" w:cs="Courier New"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7"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8A399B"/>
    <w:multiLevelType w:val="hybridMultilevel"/>
    <w:tmpl w:val="470283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E57CC0"/>
    <w:multiLevelType w:val="hybridMultilevel"/>
    <w:tmpl w:val="2A22B58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E69525D"/>
    <w:multiLevelType w:val="hybridMultilevel"/>
    <w:tmpl w:val="0986AB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0477811"/>
    <w:multiLevelType w:val="hybridMultilevel"/>
    <w:tmpl w:val="F17849AE"/>
    <w:lvl w:ilvl="0" w:tplc="2ECC905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752D6F"/>
    <w:multiLevelType w:val="hybridMultilevel"/>
    <w:tmpl w:val="5BE86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65A4498"/>
    <w:multiLevelType w:val="hybridMultilevel"/>
    <w:tmpl w:val="5DA616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FB845ED"/>
    <w:multiLevelType w:val="hybridMultilevel"/>
    <w:tmpl w:val="88046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1B7562D"/>
    <w:multiLevelType w:val="hybridMultilevel"/>
    <w:tmpl w:val="9A60E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8A3896"/>
    <w:multiLevelType w:val="hybridMultilevel"/>
    <w:tmpl w:val="2D9889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42D340F"/>
    <w:multiLevelType w:val="hybridMultilevel"/>
    <w:tmpl w:val="B6DCC59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7CB08AC"/>
    <w:multiLevelType w:val="hybridMultilevel"/>
    <w:tmpl w:val="C8D8A1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C715578"/>
    <w:multiLevelType w:val="hybridMultilevel"/>
    <w:tmpl w:val="43A48068"/>
    <w:lvl w:ilvl="0" w:tplc="32B83B1E">
      <w:start w:val="1"/>
      <w:numFmt w:val="bullet"/>
      <w:pStyle w:val="References"/>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0"/>
  </w:num>
  <w:num w:numId="3">
    <w:abstractNumId w:val="7"/>
  </w:num>
  <w:num w:numId="4">
    <w:abstractNumId w:val="4"/>
  </w:num>
  <w:num w:numId="5">
    <w:abstractNumId w:val="0"/>
  </w:num>
  <w:num w:numId="6">
    <w:abstractNumId w:val="16"/>
  </w:num>
  <w:num w:numId="7">
    <w:abstractNumId w:val="1"/>
  </w:num>
  <w:num w:numId="8">
    <w:abstractNumId w:val="15"/>
  </w:num>
  <w:num w:numId="9">
    <w:abstractNumId w:val="5"/>
  </w:num>
  <w:num w:numId="10">
    <w:abstractNumId w:val="2"/>
  </w:num>
  <w:num w:numId="11">
    <w:abstractNumId w:val="12"/>
  </w:num>
  <w:num w:numId="12">
    <w:abstractNumId w:val="14"/>
  </w:num>
  <w:num w:numId="13">
    <w:abstractNumId w:val="6"/>
  </w:num>
  <w:num w:numId="14">
    <w:abstractNumId w:val="18"/>
  </w:num>
  <w:num w:numId="15">
    <w:abstractNumId w:val="8"/>
  </w:num>
  <w:num w:numId="16">
    <w:abstractNumId w:val="10"/>
  </w:num>
  <w:num w:numId="17">
    <w:abstractNumId w:val="17"/>
  </w:num>
  <w:num w:numId="18">
    <w:abstractNumId w:val="3"/>
  </w:num>
  <w:num w:numId="19">
    <w:abstractNumId w:val="19"/>
  </w:num>
  <w:num w:numId="20">
    <w:abstractNumId w:val="13"/>
  </w:num>
  <w:num w:numId="2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zNDEwNbW0NAWS5ko6SsGpxcWZ+XkgBaa1AJeahIYsAAAA"/>
  </w:docVars>
  <w:rsids>
    <w:rsidRoot w:val="00E83C66"/>
    <w:rsid w:val="00003E35"/>
    <w:rsid w:val="00005FC7"/>
    <w:rsid w:val="00006013"/>
    <w:rsid w:val="00017F03"/>
    <w:rsid w:val="00021009"/>
    <w:rsid w:val="00023A66"/>
    <w:rsid w:val="0002435C"/>
    <w:rsid w:val="00026645"/>
    <w:rsid w:val="00032724"/>
    <w:rsid w:val="00035AE8"/>
    <w:rsid w:val="00036678"/>
    <w:rsid w:val="000420B8"/>
    <w:rsid w:val="00044DF9"/>
    <w:rsid w:val="00057CD1"/>
    <w:rsid w:val="00077A4C"/>
    <w:rsid w:val="00093D5F"/>
    <w:rsid w:val="000950C8"/>
    <w:rsid w:val="00096896"/>
    <w:rsid w:val="000A0ECA"/>
    <w:rsid w:val="000A4216"/>
    <w:rsid w:val="000B18BF"/>
    <w:rsid w:val="000D080C"/>
    <w:rsid w:val="000E2D8B"/>
    <w:rsid w:val="000F1BE5"/>
    <w:rsid w:val="000F4219"/>
    <w:rsid w:val="000F48EC"/>
    <w:rsid w:val="000F53A2"/>
    <w:rsid w:val="000F5E8F"/>
    <w:rsid w:val="000F68E2"/>
    <w:rsid w:val="001026FB"/>
    <w:rsid w:val="001123BA"/>
    <w:rsid w:val="001144AE"/>
    <w:rsid w:val="001179FD"/>
    <w:rsid w:val="001208FF"/>
    <w:rsid w:val="00122347"/>
    <w:rsid w:val="00127BC4"/>
    <w:rsid w:val="00135DDB"/>
    <w:rsid w:val="00141994"/>
    <w:rsid w:val="00142209"/>
    <w:rsid w:val="001432AE"/>
    <w:rsid w:val="00145D93"/>
    <w:rsid w:val="001479B1"/>
    <w:rsid w:val="00152265"/>
    <w:rsid w:val="00161742"/>
    <w:rsid w:val="00165BA2"/>
    <w:rsid w:val="00170656"/>
    <w:rsid w:val="00173AC1"/>
    <w:rsid w:val="0017424B"/>
    <w:rsid w:val="00180953"/>
    <w:rsid w:val="001860C1"/>
    <w:rsid w:val="00190AC9"/>
    <w:rsid w:val="001939C7"/>
    <w:rsid w:val="001946BB"/>
    <w:rsid w:val="001948E2"/>
    <w:rsid w:val="0019640D"/>
    <w:rsid w:val="001A101D"/>
    <w:rsid w:val="001A4776"/>
    <w:rsid w:val="001A51F3"/>
    <w:rsid w:val="001B0E46"/>
    <w:rsid w:val="001B1B06"/>
    <w:rsid w:val="001B5F28"/>
    <w:rsid w:val="001B694A"/>
    <w:rsid w:val="001B6C1D"/>
    <w:rsid w:val="001C246F"/>
    <w:rsid w:val="001D0EF0"/>
    <w:rsid w:val="001D2CF1"/>
    <w:rsid w:val="001D5D77"/>
    <w:rsid w:val="001E106D"/>
    <w:rsid w:val="001E2D3F"/>
    <w:rsid w:val="001E4A10"/>
    <w:rsid w:val="001E5484"/>
    <w:rsid w:val="001F2BF8"/>
    <w:rsid w:val="001F4159"/>
    <w:rsid w:val="00200BBF"/>
    <w:rsid w:val="0020740C"/>
    <w:rsid w:val="00214BDA"/>
    <w:rsid w:val="00224A5C"/>
    <w:rsid w:val="00236EDC"/>
    <w:rsid w:val="002415D5"/>
    <w:rsid w:val="0024547E"/>
    <w:rsid w:val="002470F9"/>
    <w:rsid w:val="002477FF"/>
    <w:rsid w:val="00250BA1"/>
    <w:rsid w:val="00251595"/>
    <w:rsid w:val="00251EF7"/>
    <w:rsid w:val="002523EC"/>
    <w:rsid w:val="002628FF"/>
    <w:rsid w:val="0027038D"/>
    <w:rsid w:val="00273B12"/>
    <w:rsid w:val="00274A7A"/>
    <w:rsid w:val="0028454D"/>
    <w:rsid w:val="00293045"/>
    <w:rsid w:val="002A0803"/>
    <w:rsid w:val="002B0761"/>
    <w:rsid w:val="002B318E"/>
    <w:rsid w:val="002B45DB"/>
    <w:rsid w:val="002C3506"/>
    <w:rsid w:val="002C4029"/>
    <w:rsid w:val="002C5EE8"/>
    <w:rsid w:val="002D1A25"/>
    <w:rsid w:val="002D4BB4"/>
    <w:rsid w:val="002E2BA7"/>
    <w:rsid w:val="002F2DEA"/>
    <w:rsid w:val="002F47EB"/>
    <w:rsid w:val="002F6F07"/>
    <w:rsid w:val="00302122"/>
    <w:rsid w:val="003032BA"/>
    <w:rsid w:val="00303331"/>
    <w:rsid w:val="0030335E"/>
    <w:rsid w:val="003036A6"/>
    <w:rsid w:val="00306E44"/>
    <w:rsid w:val="00310E09"/>
    <w:rsid w:val="00316F74"/>
    <w:rsid w:val="00320AAD"/>
    <w:rsid w:val="00323120"/>
    <w:rsid w:val="003249D2"/>
    <w:rsid w:val="003263E8"/>
    <w:rsid w:val="003268BD"/>
    <w:rsid w:val="00326BD8"/>
    <w:rsid w:val="003310A9"/>
    <w:rsid w:val="00333A28"/>
    <w:rsid w:val="0034160F"/>
    <w:rsid w:val="00341D88"/>
    <w:rsid w:val="00343C0A"/>
    <w:rsid w:val="00352F67"/>
    <w:rsid w:val="003552BC"/>
    <w:rsid w:val="003558F4"/>
    <w:rsid w:val="00357F6B"/>
    <w:rsid w:val="00360805"/>
    <w:rsid w:val="00360FFA"/>
    <w:rsid w:val="00361167"/>
    <w:rsid w:val="00361FB3"/>
    <w:rsid w:val="0037508C"/>
    <w:rsid w:val="00375C79"/>
    <w:rsid w:val="00386DAA"/>
    <w:rsid w:val="003931A7"/>
    <w:rsid w:val="0039379F"/>
    <w:rsid w:val="0039672B"/>
    <w:rsid w:val="003A4127"/>
    <w:rsid w:val="003A4B07"/>
    <w:rsid w:val="003B3F51"/>
    <w:rsid w:val="003B5125"/>
    <w:rsid w:val="003C21D1"/>
    <w:rsid w:val="003C2558"/>
    <w:rsid w:val="003C6793"/>
    <w:rsid w:val="003D2022"/>
    <w:rsid w:val="003D53B2"/>
    <w:rsid w:val="003E5AD7"/>
    <w:rsid w:val="003E7840"/>
    <w:rsid w:val="003F2C46"/>
    <w:rsid w:val="003F440F"/>
    <w:rsid w:val="003F646D"/>
    <w:rsid w:val="003F7161"/>
    <w:rsid w:val="00400E02"/>
    <w:rsid w:val="0040159E"/>
    <w:rsid w:val="004024D1"/>
    <w:rsid w:val="00403F47"/>
    <w:rsid w:val="0041005A"/>
    <w:rsid w:val="004113C8"/>
    <w:rsid w:val="004114D6"/>
    <w:rsid w:val="00413F90"/>
    <w:rsid w:val="0041687B"/>
    <w:rsid w:val="00420944"/>
    <w:rsid w:val="00432CCD"/>
    <w:rsid w:val="0044347D"/>
    <w:rsid w:val="004438CF"/>
    <w:rsid w:val="00447C21"/>
    <w:rsid w:val="00462329"/>
    <w:rsid w:val="00485359"/>
    <w:rsid w:val="004864D7"/>
    <w:rsid w:val="004912A2"/>
    <w:rsid w:val="004968DC"/>
    <w:rsid w:val="004A28EF"/>
    <w:rsid w:val="004A4D94"/>
    <w:rsid w:val="004A5F57"/>
    <w:rsid w:val="004B05FA"/>
    <w:rsid w:val="004B25D8"/>
    <w:rsid w:val="004B6FA7"/>
    <w:rsid w:val="004B7BBD"/>
    <w:rsid w:val="004C0D86"/>
    <w:rsid w:val="004C2598"/>
    <w:rsid w:val="004C31F8"/>
    <w:rsid w:val="004C7302"/>
    <w:rsid w:val="004D46F6"/>
    <w:rsid w:val="004D5B8A"/>
    <w:rsid w:val="004D6BB2"/>
    <w:rsid w:val="004E5EB8"/>
    <w:rsid w:val="004F2781"/>
    <w:rsid w:val="00502B61"/>
    <w:rsid w:val="00505001"/>
    <w:rsid w:val="0051526F"/>
    <w:rsid w:val="00515CB1"/>
    <w:rsid w:val="00517DC6"/>
    <w:rsid w:val="00521A7D"/>
    <w:rsid w:val="00521D64"/>
    <w:rsid w:val="005221E5"/>
    <w:rsid w:val="005228A2"/>
    <w:rsid w:val="00532444"/>
    <w:rsid w:val="0053459F"/>
    <w:rsid w:val="00535162"/>
    <w:rsid w:val="0053551A"/>
    <w:rsid w:val="00537F63"/>
    <w:rsid w:val="00541CF7"/>
    <w:rsid w:val="005432DD"/>
    <w:rsid w:val="00545443"/>
    <w:rsid w:val="00547308"/>
    <w:rsid w:val="00547AA5"/>
    <w:rsid w:val="0055256C"/>
    <w:rsid w:val="00561F39"/>
    <w:rsid w:val="00565352"/>
    <w:rsid w:val="00572DB9"/>
    <w:rsid w:val="0057400B"/>
    <w:rsid w:val="00581703"/>
    <w:rsid w:val="00592565"/>
    <w:rsid w:val="0059282E"/>
    <w:rsid w:val="005A5F28"/>
    <w:rsid w:val="005A633C"/>
    <w:rsid w:val="005A7119"/>
    <w:rsid w:val="005B4BAE"/>
    <w:rsid w:val="005B7F7A"/>
    <w:rsid w:val="005C4899"/>
    <w:rsid w:val="005D05B1"/>
    <w:rsid w:val="005D105B"/>
    <w:rsid w:val="005D27FE"/>
    <w:rsid w:val="005D416F"/>
    <w:rsid w:val="005D56F3"/>
    <w:rsid w:val="005D75B4"/>
    <w:rsid w:val="005D79FA"/>
    <w:rsid w:val="005E6901"/>
    <w:rsid w:val="005F346E"/>
    <w:rsid w:val="005F3D83"/>
    <w:rsid w:val="00613294"/>
    <w:rsid w:val="006179D7"/>
    <w:rsid w:val="0062204F"/>
    <w:rsid w:val="006247FA"/>
    <w:rsid w:val="00626457"/>
    <w:rsid w:val="00637CD5"/>
    <w:rsid w:val="00641F7D"/>
    <w:rsid w:val="00643FC9"/>
    <w:rsid w:val="00644539"/>
    <w:rsid w:val="00647492"/>
    <w:rsid w:val="0065325B"/>
    <w:rsid w:val="00656044"/>
    <w:rsid w:val="00661A75"/>
    <w:rsid w:val="006706F6"/>
    <w:rsid w:val="006837B0"/>
    <w:rsid w:val="00683C92"/>
    <w:rsid w:val="0068627A"/>
    <w:rsid w:val="006876AB"/>
    <w:rsid w:val="00691E36"/>
    <w:rsid w:val="00692AD5"/>
    <w:rsid w:val="00694194"/>
    <w:rsid w:val="00694531"/>
    <w:rsid w:val="00696EFE"/>
    <w:rsid w:val="006A333F"/>
    <w:rsid w:val="006A6B10"/>
    <w:rsid w:val="006B7253"/>
    <w:rsid w:val="006B7712"/>
    <w:rsid w:val="006C3870"/>
    <w:rsid w:val="006D277B"/>
    <w:rsid w:val="006E062E"/>
    <w:rsid w:val="006E5307"/>
    <w:rsid w:val="006F1403"/>
    <w:rsid w:val="006F2BD8"/>
    <w:rsid w:val="006F5C79"/>
    <w:rsid w:val="007015BE"/>
    <w:rsid w:val="00703459"/>
    <w:rsid w:val="007039EB"/>
    <w:rsid w:val="00704723"/>
    <w:rsid w:val="00716C9C"/>
    <w:rsid w:val="00721E7A"/>
    <w:rsid w:val="007333E4"/>
    <w:rsid w:val="0073466F"/>
    <w:rsid w:val="00743437"/>
    <w:rsid w:val="00744FE5"/>
    <w:rsid w:val="00747226"/>
    <w:rsid w:val="00747D63"/>
    <w:rsid w:val="007525E6"/>
    <w:rsid w:val="00756BF5"/>
    <w:rsid w:val="00756EF7"/>
    <w:rsid w:val="00761FA3"/>
    <w:rsid w:val="00763454"/>
    <w:rsid w:val="00767B99"/>
    <w:rsid w:val="00776295"/>
    <w:rsid w:val="0078680E"/>
    <w:rsid w:val="0079308C"/>
    <w:rsid w:val="007A0D6E"/>
    <w:rsid w:val="007A2F8D"/>
    <w:rsid w:val="007A3942"/>
    <w:rsid w:val="007A4CEB"/>
    <w:rsid w:val="007A56FB"/>
    <w:rsid w:val="007A6AB9"/>
    <w:rsid w:val="007A703C"/>
    <w:rsid w:val="007D0860"/>
    <w:rsid w:val="007D1D2D"/>
    <w:rsid w:val="007D49ED"/>
    <w:rsid w:val="007F2776"/>
    <w:rsid w:val="007F5A80"/>
    <w:rsid w:val="007F76B7"/>
    <w:rsid w:val="0080432B"/>
    <w:rsid w:val="0081160F"/>
    <w:rsid w:val="00812579"/>
    <w:rsid w:val="00813FDD"/>
    <w:rsid w:val="00814428"/>
    <w:rsid w:val="00824D10"/>
    <w:rsid w:val="00834811"/>
    <w:rsid w:val="0083681D"/>
    <w:rsid w:val="00850521"/>
    <w:rsid w:val="0085244E"/>
    <w:rsid w:val="00854C79"/>
    <w:rsid w:val="00855246"/>
    <w:rsid w:val="00857AF2"/>
    <w:rsid w:val="00857D13"/>
    <w:rsid w:val="00864066"/>
    <w:rsid w:val="00864423"/>
    <w:rsid w:val="00870582"/>
    <w:rsid w:val="008875AD"/>
    <w:rsid w:val="00887A9C"/>
    <w:rsid w:val="00890C0E"/>
    <w:rsid w:val="00891257"/>
    <w:rsid w:val="0089223A"/>
    <w:rsid w:val="00893011"/>
    <w:rsid w:val="0089560C"/>
    <w:rsid w:val="008A1C28"/>
    <w:rsid w:val="008A7289"/>
    <w:rsid w:val="008C5DE7"/>
    <w:rsid w:val="008C6935"/>
    <w:rsid w:val="008C732D"/>
    <w:rsid w:val="008C759F"/>
    <w:rsid w:val="008D52D9"/>
    <w:rsid w:val="008D6C16"/>
    <w:rsid w:val="008E223E"/>
    <w:rsid w:val="008F6069"/>
    <w:rsid w:val="008F6407"/>
    <w:rsid w:val="008F7C48"/>
    <w:rsid w:val="009017A2"/>
    <w:rsid w:val="00904B9E"/>
    <w:rsid w:val="00912E9A"/>
    <w:rsid w:val="00913319"/>
    <w:rsid w:val="00913C81"/>
    <w:rsid w:val="00914836"/>
    <w:rsid w:val="00915E09"/>
    <w:rsid w:val="00921203"/>
    <w:rsid w:val="0092446D"/>
    <w:rsid w:val="00924D4C"/>
    <w:rsid w:val="00925D95"/>
    <w:rsid w:val="009304B9"/>
    <w:rsid w:val="0093064C"/>
    <w:rsid w:val="009331B2"/>
    <w:rsid w:val="00934454"/>
    <w:rsid w:val="00934919"/>
    <w:rsid w:val="0094328F"/>
    <w:rsid w:val="00944F42"/>
    <w:rsid w:val="00946787"/>
    <w:rsid w:val="009510E4"/>
    <w:rsid w:val="00952F29"/>
    <w:rsid w:val="0095396C"/>
    <w:rsid w:val="00955587"/>
    <w:rsid w:val="0096376B"/>
    <w:rsid w:val="0096381D"/>
    <w:rsid w:val="00965517"/>
    <w:rsid w:val="00971FA7"/>
    <w:rsid w:val="009727D6"/>
    <w:rsid w:val="00974382"/>
    <w:rsid w:val="00977019"/>
    <w:rsid w:val="00977956"/>
    <w:rsid w:val="009827DB"/>
    <w:rsid w:val="00983558"/>
    <w:rsid w:val="0098487D"/>
    <w:rsid w:val="00986C24"/>
    <w:rsid w:val="00987128"/>
    <w:rsid w:val="00990069"/>
    <w:rsid w:val="0099141A"/>
    <w:rsid w:val="00997659"/>
    <w:rsid w:val="009A1A10"/>
    <w:rsid w:val="009A2B89"/>
    <w:rsid w:val="009A325F"/>
    <w:rsid w:val="009A638F"/>
    <w:rsid w:val="009B21F3"/>
    <w:rsid w:val="009C34A6"/>
    <w:rsid w:val="009C3964"/>
    <w:rsid w:val="009C64D5"/>
    <w:rsid w:val="009C7155"/>
    <w:rsid w:val="009D28E8"/>
    <w:rsid w:val="009D3C59"/>
    <w:rsid w:val="009D5234"/>
    <w:rsid w:val="009E2C50"/>
    <w:rsid w:val="009E48D1"/>
    <w:rsid w:val="009E7120"/>
    <w:rsid w:val="009E76E0"/>
    <w:rsid w:val="009F106E"/>
    <w:rsid w:val="009F147B"/>
    <w:rsid w:val="009F2FB2"/>
    <w:rsid w:val="009F3CD7"/>
    <w:rsid w:val="009F495B"/>
    <w:rsid w:val="009F58CE"/>
    <w:rsid w:val="009F60DF"/>
    <w:rsid w:val="00A00E16"/>
    <w:rsid w:val="00A0352C"/>
    <w:rsid w:val="00A07375"/>
    <w:rsid w:val="00A23014"/>
    <w:rsid w:val="00A238E8"/>
    <w:rsid w:val="00A27767"/>
    <w:rsid w:val="00A34E93"/>
    <w:rsid w:val="00A34F87"/>
    <w:rsid w:val="00A361A0"/>
    <w:rsid w:val="00A44140"/>
    <w:rsid w:val="00A51C33"/>
    <w:rsid w:val="00A62C68"/>
    <w:rsid w:val="00A72FF1"/>
    <w:rsid w:val="00A75F2A"/>
    <w:rsid w:val="00A7767F"/>
    <w:rsid w:val="00A83941"/>
    <w:rsid w:val="00A866B1"/>
    <w:rsid w:val="00A87E4E"/>
    <w:rsid w:val="00A93496"/>
    <w:rsid w:val="00AA054A"/>
    <w:rsid w:val="00AA2DB4"/>
    <w:rsid w:val="00AA77AA"/>
    <w:rsid w:val="00AB5625"/>
    <w:rsid w:val="00AB5FFA"/>
    <w:rsid w:val="00AC5C2E"/>
    <w:rsid w:val="00AD29EE"/>
    <w:rsid w:val="00AE0E89"/>
    <w:rsid w:val="00AE6B64"/>
    <w:rsid w:val="00AF3702"/>
    <w:rsid w:val="00AF6D9B"/>
    <w:rsid w:val="00B00BA2"/>
    <w:rsid w:val="00B02888"/>
    <w:rsid w:val="00B1162A"/>
    <w:rsid w:val="00B140AC"/>
    <w:rsid w:val="00B211F5"/>
    <w:rsid w:val="00B26BC0"/>
    <w:rsid w:val="00B32818"/>
    <w:rsid w:val="00B34E46"/>
    <w:rsid w:val="00B37609"/>
    <w:rsid w:val="00B418AD"/>
    <w:rsid w:val="00B448FF"/>
    <w:rsid w:val="00B515FA"/>
    <w:rsid w:val="00B5188F"/>
    <w:rsid w:val="00B57456"/>
    <w:rsid w:val="00B60303"/>
    <w:rsid w:val="00B6423F"/>
    <w:rsid w:val="00B678A9"/>
    <w:rsid w:val="00B7076B"/>
    <w:rsid w:val="00B71E59"/>
    <w:rsid w:val="00B73F57"/>
    <w:rsid w:val="00B802D9"/>
    <w:rsid w:val="00B8340C"/>
    <w:rsid w:val="00B87200"/>
    <w:rsid w:val="00B87EF0"/>
    <w:rsid w:val="00B917CE"/>
    <w:rsid w:val="00BA2628"/>
    <w:rsid w:val="00BA47E9"/>
    <w:rsid w:val="00BA5689"/>
    <w:rsid w:val="00BA59D4"/>
    <w:rsid w:val="00BB1809"/>
    <w:rsid w:val="00BB4167"/>
    <w:rsid w:val="00BB50BD"/>
    <w:rsid w:val="00BC10C0"/>
    <w:rsid w:val="00BD117A"/>
    <w:rsid w:val="00BE0C8B"/>
    <w:rsid w:val="00BE22FC"/>
    <w:rsid w:val="00BE36F4"/>
    <w:rsid w:val="00BE5563"/>
    <w:rsid w:val="00BE765E"/>
    <w:rsid w:val="00BF1406"/>
    <w:rsid w:val="00BF174A"/>
    <w:rsid w:val="00BF634E"/>
    <w:rsid w:val="00C013FB"/>
    <w:rsid w:val="00C035A7"/>
    <w:rsid w:val="00C047D6"/>
    <w:rsid w:val="00C068F7"/>
    <w:rsid w:val="00C06D95"/>
    <w:rsid w:val="00C10A49"/>
    <w:rsid w:val="00C15C81"/>
    <w:rsid w:val="00C2040F"/>
    <w:rsid w:val="00C22CC5"/>
    <w:rsid w:val="00C3123A"/>
    <w:rsid w:val="00C31FE5"/>
    <w:rsid w:val="00C3262E"/>
    <w:rsid w:val="00C54C9D"/>
    <w:rsid w:val="00C64E95"/>
    <w:rsid w:val="00C72861"/>
    <w:rsid w:val="00C77A63"/>
    <w:rsid w:val="00C85274"/>
    <w:rsid w:val="00C94B7A"/>
    <w:rsid w:val="00C95FCE"/>
    <w:rsid w:val="00CA1513"/>
    <w:rsid w:val="00CA5BD1"/>
    <w:rsid w:val="00CA706A"/>
    <w:rsid w:val="00CB0F04"/>
    <w:rsid w:val="00CB457C"/>
    <w:rsid w:val="00CB5E9C"/>
    <w:rsid w:val="00CB5ECE"/>
    <w:rsid w:val="00CB6622"/>
    <w:rsid w:val="00CC4648"/>
    <w:rsid w:val="00CC4B76"/>
    <w:rsid w:val="00CD41C1"/>
    <w:rsid w:val="00CD4583"/>
    <w:rsid w:val="00CE22D1"/>
    <w:rsid w:val="00CF1121"/>
    <w:rsid w:val="00CF2DFC"/>
    <w:rsid w:val="00CF42CA"/>
    <w:rsid w:val="00CF5D14"/>
    <w:rsid w:val="00D03A33"/>
    <w:rsid w:val="00D03FD3"/>
    <w:rsid w:val="00D04CA9"/>
    <w:rsid w:val="00D13A1C"/>
    <w:rsid w:val="00D24F9E"/>
    <w:rsid w:val="00D31D08"/>
    <w:rsid w:val="00D324D4"/>
    <w:rsid w:val="00D3299B"/>
    <w:rsid w:val="00D32FCD"/>
    <w:rsid w:val="00D435FB"/>
    <w:rsid w:val="00D4657A"/>
    <w:rsid w:val="00D5030F"/>
    <w:rsid w:val="00D51C91"/>
    <w:rsid w:val="00D5504F"/>
    <w:rsid w:val="00D565E0"/>
    <w:rsid w:val="00D61801"/>
    <w:rsid w:val="00D62E9D"/>
    <w:rsid w:val="00D6465A"/>
    <w:rsid w:val="00D6471C"/>
    <w:rsid w:val="00D6535F"/>
    <w:rsid w:val="00D73EC0"/>
    <w:rsid w:val="00D7536E"/>
    <w:rsid w:val="00D763A0"/>
    <w:rsid w:val="00D80BC7"/>
    <w:rsid w:val="00D83656"/>
    <w:rsid w:val="00D84DEF"/>
    <w:rsid w:val="00D85A4D"/>
    <w:rsid w:val="00D91957"/>
    <w:rsid w:val="00D94606"/>
    <w:rsid w:val="00DA0CD2"/>
    <w:rsid w:val="00DA207D"/>
    <w:rsid w:val="00DA43EF"/>
    <w:rsid w:val="00DA50AB"/>
    <w:rsid w:val="00DA6373"/>
    <w:rsid w:val="00DA6898"/>
    <w:rsid w:val="00DB1904"/>
    <w:rsid w:val="00DB4462"/>
    <w:rsid w:val="00DB7BE4"/>
    <w:rsid w:val="00DC56F7"/>
    <w:rsid w:val="00DC6BC1"/>
    <w:rsid w:val="00DD1964"/>
    <w:rsid w:val="00DD3EC9"/>
    <w:rsid w:val="00DD72FD"/>
    <w:rsid w:val="00DE4EDB"/>
    <w:rsid w:val="00DE5F0F"/>
    <w:rsid w:val="00DF53DC"/>
    <w:rsid w:val="00DF546B"/>
    <w:rsid w:val="00E02748"/>
    <w:rsid w:val="00E02EB3"/>
    <w:rsid w:val="00E237BF"/>
    <w:rsid w:val="00E26932"/>
    <w:rsid w:val="00E40774"/>
    <w:rsid w:val="00E41DC1"/>
    <w:rsid w:val="00E45F49"/>
    <w:rsid w:val="00E57429"/>
    <w:rsid w:val="00E57F18"/>
    <w:rsid w:val="00E6086E"/>
    <w:rsid w:val="00E6244A"/>
    <w:rsid w:val="00E67648"/>
    <w:rsid w:val="00E70B23"/>
    <w:rsid w:val="00E72BD0"/>
    <w:rsid w:val="00E768F3"/>
    <w:rsid w:val="00E83C66"/>
    <w:rsid w:val="00E933BF"/>
    <w:rsid w:val="00E95339"/>
    <w:rsid w:val="00EA5CA5"/>
    <w:rsid w:val="00EA6E66"/>
    <w:rsid w:val="00EA78BB"/>
    <w:rsid w:val="00EB33A1"/>
    <w:rsid w:val="00EB6ECF"/>
    <w:rsid w:val="00EC0326"/>
    <w:rsid w:val="00EC3273"/>
    <w:rsid w:val="00EC32AE"/>
    <w:rsid w:val="00EC60A1"/>
    <w:rsid w:val="00EC6389"/>
    <w:rsid w:val="00EC702D"/>
    <w:rsid w:val="00ED2366"/>
    <w:rsid w:val="00ED7060"/>
    <w:rsid w:val="00ED7968"/>
    <w:rsid w:val="00ED7C8A"/>
    <w:rsid w:val="00EE22F5"/>
    <w:rsid w:val="00EE3527"/>
    <w:rsid w:val="00EE3DFC"/>
    <w:rsid w:val="00EE51EC"/>
    <w:rsid w:val="00EE6A28"/>
    <w:rsid w:val="00EF0329"/>
    <w:rsid w:val="00EF0D5B"/>
    <w:rsid w:val="00EF1CF5"/>
    <w:rsid w:val="00EF31C2"/>
    <w:rsid w:val="00EF4A47"/>
    <w:rsid w:val="00EF71D5"/>
    <w:rsid w:val="00F012FE"/>
    <w:rsid w:val="00F02A8A"/>
    <w:rsid w:val="00F10F0C"/>
    <w:rsid w:val="00F12BB5"/>
    <w:rsid w:val="00F132AA"/>
    <w:rsid w:val="00F144AE"/>
    <w:rsid w:val="00F21EA2"/>
    <w:rsid w:val="00F24018"/>
    <w:rsid w:val="00F2717B"/>
    <w:rsid w:val="00F321FC"/>
    <w:rsid w:val="00F34C5E"/>
    <w:rsid w:val="00F37647"/>
    <w:rsid w:val="00F4137E"/>
    <w:rsid w:val="00F42B3C"/>
    <w:rsid w:val="00F43222"/>
    <w:rsid w:val="00F465B4"/>
    <w:rsid w:val="00F54268"/>
    <w:rsid w:val="00F556DE"/>
    <w:rsid w:val="00F57B58"/>
    <w:rsid w:val="00F66DA7"/>
    <w:rsid w:val="00F70696"/>
    <w:rsid w:val="00F71253"/>
    <w:rsid w:val="00F7127C"/>
    <w:rsid w:val="00F863CC"/>
    <w:rsid w:val="00FA1C34"/>
    <w:rsid w:val="00FA30F5"/>
    <w:rsid w:val="00FA5C0B"/>
    <w:rsid w:val="00FB404F"/>
    <w:rsid w:val="00FB49CB"/>
    <w:rsid w:val="00FD6D26"/>
    <w:rsid w:val="00FE3EEF"/>
    <w:rsid w:val="00FE6F5A"/>
    <w:rsid w:val="00FE7024"/>
    <w:rsid w:val="00FF2DA0"/>
    <w:rsid w:val="00FF2F68"/>
    <w:rsid w:val="00FF4964"/>
    <w:rsid w:val="00FF5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B3C3"/>
  <w15:docId w15:val="{0CCAE2AD-EF65-486E-A33A-A69B786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04F"/>
    <w:pPr>
      <w:spacing w:before="60" w:after="60"/>
    </w:pPr>
    <w:rPr>
      <w:rFonts w:ascii="Arial" w:hAnsi="Arial"/>
    </w:rPr>
  </w:style>
  <w:style w:type="paragraph" w:styleId="Heading1">
    <w:name w:val="heading 1"/>
    <w:basedOn w:val="Header"/>
    <w:next w:val="Normal"/>
    <w:link w:val="Heading1Char"/>
    <w:uiPriority w:val="9"/>
    <w:qFormat/>
    <w:rsid w:val="001179FD"/>
    <w:pPr>
      <w:spacing w:after="0"/>
      <w:outlineLvl w:val="0"/>
    </w:pPr>
    <w:rPr>
      <w:b/>
      <w:bCs/>
      <w:sz w:val="44"/>
      <w:szCs w:val="44"/>
    </w:rPr>
  </w:style>
  <w:style w:type="paragraph" w:styleId="Heading2">
    <w:name w:val="heading 2"/>
    <w:basedOn w:val="Normal"/>
    <w:next w:val="Normal"/>
    <w:link w:val="Heading2Char"/>
    <w:uiPriority w:val="9"/>
    <w:unhideWhenUsed/>
    <w:qFormat/>
    <w:rsid w:val="00ED2366"/>
    <w:pPr>
      <w:keepLines/>
      <w:numPr>
        <w:numId w:val="1"/>
      </w:numPr>
      <w:spacing w:before="40" w:after="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B7253"/>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6B7253"/>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07"/>
    <w:pPr>
      <w:tabs>
        <w:tab w:val="right" w:pos="10433"/>
      </w:tabs>
      <w:spacing w:after="120" w:line="240" w:lineRule="auto"/>
    </w:pPr>
  </w:style>
  <w:style w:type="character" w:customStyle="1" w:styleId="HeaderChar">
    <w:name w:val="Header Char"/>
    <w:basedOn w:val="DefaultParagraphFont"/>
    <w:link w:val="Header"/>
    <w:uiPriority w:val="99"/>
    <w:rsid w:val="008F6407"/>
  </w:style>
  <w:style w:type="paragraph" w:styleId="Footer">
    <w:name w:val="footer"/>
    <w:basedOn w:val="Normal"/>
    <w:link w:val="FooterChar"/>
    <w:uiPriority w:val="99"/>
    <w:unhideWhenUsed/>
    <w:rsid w:val="00003E35"/>
    <w:pPr>
      <w:tabs>
        <w:tab w:val="center" w:pos="8051"/>
        <w:tab w:val="right" w:pos="10433"/>
      </w:tabs>
      <w:spacing w:before="120" w:after="0" w:line="240" w:lineRule="auto"/>
      <w:contextualSpacing/>
    </w:pPr>
    <w:rPr>
      <w:sz w:val="20"/>
      <w:szCs w:val="20"/>
    </w:rPr>
  </w:style>
  <w:style w:type="character" w:customStyle="1" w:styleId="FooterChar">
    <w:name w:val="Footer Char"/>
    <w:basedOn w:val="DefaultParagraphFont"/>
    <w:link w:val="Footer"/>
    <w:uiPriority w:val="99"/>
    <w:rsid w:val="00003E35"/>
    <w:rPr>
      <w:rFonts w:ascii="Arial" w:hAnsi="Arial"/>
      <w:sz w:val="20"/>
      <w:szCs w:val="20"/>
    </w:rPr>
  </w:style>
  <w:style w:type="paragraph" w:customStyle="1" w:styleId="References">
    <w:name w:val="References"/>
    <w:basedOn w:val="ListParagraph"/>
    <w:qFormat/>
    <w:rsid w:val="00A34F87"/>
    <w:pPr>
      <w:numPr>
        <w:numId w:val="2"/>
      </w:numPr>
      <w:spacing w:after="0" w:line="240" w:lineRule="auto"/>
    </w:pPr>
  </w:style>
  <w:style w:type="character" w:styleId="Strong">
    <w:name w:val="Strong"/>
    <w:basedOn w:val="DefaultParagraphFont"/>
    <w:uiPriority w:val="22"/>
    <w:qFormat/>
    <w:rsid w:val="00E83C66"/>
    <w:rPr>
      <w:b/>
      <w:bCs/>
    </w:rPr>
  </w:style>
  <w:style w:type="character" w:styleId="FollowedHyperlink">
    <w:name w:val="FollowedHyperlink"/>
    <w:basedOn w:val="DefaultParagraphFont"/>
    <w:uiPriority w:val="99"/>
    <w:semiHidden/>
    <w:unhideWhenUsed/>
    <w:rsid w:val="00747226"/>
    <w:rPr>
      <w:color w:val="954F72" w:themeColor="followedHyperlink"/>
      <w:u w:val="single"/>
    </w:rPr>
  </w:style>
  <w:style w:type="table" w:styleId="TableGrid">
    <w:name w:val="Table Grid"/>
    <w:basedOn w:val="TableNormal"/>
    <w:uiPriority w:val="39"/>
    <w:rsid w:val="00BB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2366"/>
    <w:rPr>
      <w:rFonts w:ascii="Arial" w:eastAsiaTheme="majorEastAsia" w:hAnsi="Arial" w:cstheme="majorBidi"/>
      <w:b/>
      <w:szCs w:val="26"/>
    </w:rPr>
  </w:style>
  <w:style w:type="character" w:customStyle="1" w:styleId="Heading1Char">
    <w:name w:val="Heading 1 Char"/>
    <w:basedOn w:val="DefaultParagraphFont"/>
    <w:link w:val="Heading1"/>
    <w:uiPriority w:val="9"/>
    <w:rsid w:val="001179FD"/>
    <w:rPr>
      <w:b/>
      <w:bCs/>
      <w:sz w:val="44"/>
      <w:szCs w:val="44"/>
    </w:rPr>
  </w:style>
  <w:style w:type="character" w:customStyle="1" w:styleId="Heading3Char">
    <w:name w:val="Heading 3 Char"/>
    <w:basedOn w:val="DefaultParagraphFont"/>
    <w:link w:val="Heading3"/>
    <w:uiPriority w:val="9"/>
    <w:rsid w:val="006B7253"/>
    <w:rPr>
      <w:rFonts w:ascii="Arial" w:eastAsiaTheme="majorEastAsia" w:hAnsi="Arial" w:cstheme="majorBidi"/>
      <w:b/>
      <w:szCs w:val="24"/>
      <w:u w:val="single"/>
    </w:rPr>
  </w:style>
  <w:style w:type="paragraph" w:styleId="Title">
    <w:name w:val="Title"/>
    <w:basedOn w:val="Normal"/>
    <w:next w:val="Normal"/>
    <w:link w:val="TitleChar"/>
    <w:uiPriority w:val="10"/>
    <w:qFormat/>
    <w:rsid w:val="00152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26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D1A25"/>
    <w:rPr>
      <w:color w:val="0563C1" w:themeColor="hyperlink"/>
      <w:u w:val="single"/>
    </w:rPr>
  </w:style>
  <w:style w:type="character" w:customStyle="1" w:styleId="UnresolvedMention1">
    <w:name w:val="Unresolved Mention1"/>
    <w:basedOn w:val="DefaultParagraphFont"/>
    <w:uiPriority w:val="99"/>
    <w:semiHidden/>
    <w:unhideWhenUsed/>
    <w:rsid w:val="002D1A25"/>
    <w:rPr>
      <w:color w:val="605E5C"/>
      <w:shd w:val="clear" w:color="auto" w:fill="E1DFDD"/>
    </w:rPr>
  </w:style>
  <w:style w:type="character" w:styleId="CommentReference">
    <w:name w:val="annotation reference"/>
    <w:basedOn w:val="DefaultParagraphFont"/>
    <w:uiPriority w:val="99"/>
    <w:semiHidden/>
    <w:unhideWhenUsed/>
    <w:rsid w:val="00592565"/>
    <w:rPr>
      <w:sz w:val="16"/>
      <w:szCs w:val="16"/>
    </w:rPr>
  </w:style>
  <w:style w:type="paragraph" w:styleId="CommentText">
    <w:name w:val="annotation text"/>
    <w:basedOn w:val="Normal"/>
    <w:link w:val="CommentTextChar"/>
    <w:uiPriority w:val="99"/>
    <w:unhideWhenUsed/>
    <w:rsid w:val="00592565"/>
    <w:pPr>
      <w:spacing w:line="240" w:lineRule="auto"/>
    </w:pPr>
    <w:rPr>
      <w:sz w:val="20"/>
      <w:szCs w:val="20"/>
    </w:rPr>
  </w:style>
  <w:style w:type="character" w:customStyle="1" w:styleId="CommentTextChar">
    <w:name w:val="Comment Text Char"/>
    <w:basedOn w:val="DefaultParagraphFont"/>
    <w:link w:val="CommentText"/>
    <w:uiPriority w:val="99"/>
    <w:rsid w:val="00592565"/>
    <w:rPr>
      <w:sz w:val="20"/>
      <w:szCs w:val="20"/>
    </w:rPr>
  </w:style>
  <w:style w:type="paragraph" w:styleId="CommentSubject">
    <w:name w:val="annotation subject"/>
    <w:basedOn w:val="CommentText"/>
    <w:next w:val="CommentText"/>
    <w:link w:val="CommentSubjectChar"/>
    <w:uiPriority w:val="99"/>
    <w:semiHidden/>
    <w:unhideWhenUsed/>
    <w:rsid w:val="00592565"/>
    <w:rPr>
      <w:b/>
      <w:bCs/>
    </w:rPr>
  </w:style>
  <w:style w:type="character" w:customStyle="1" w:styleId="CommentSubjectChar">
    <w:name w:val="Comment Subject Char"/>
    <w:basedOn w:val="CommentTextChar"/>
    <w:link w:val="CommentSubject"/>
    <w:uiPriority w:val="99"/>
    <w:semiHidden/>
    <w:rsid w:val="00592565"/>
    <w:rPr>
      <w:b/>
      <w:bCs/>
      <w:sz w:val="20"/>
      <w:szCs w:val="20"/>
    </w:rPr>
  </w:style>
  <w:style w:type="paragraph" w:styleId="ListParagraph">
    <w:name w:val="List Paragraph"/>
    <w:basedOn w:val="Normal"/>
    <w:uiPriority w:val="34"/>
    <w:qFormat/>
    <w:rsid w:val="00694531"/>
    <w:pPr>
      <w:ind w:left="720"/>
    </w:pPr>
  </w:style>
  <w:style w:type="paragraph" w:customStyle="1" w:styleId="Default">
    <w:name w:val="Default"/>
    <w:rsid w:val="00DA50AB"/>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C72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7F"/>
    <w:rPr>
      <w:rFonts w:ascii="Tahoma" w:hAnsi="Tahoma" w:cs="Tahoma"/>
      <w:sz w:val="16"/>
      <w:szCs w:val="16"/>
    </w:rPr>
  </w:style>
  <w:style w:type="character" w:customStyle="1" w:styleId="UnresolvedMention2">
    <w:name w:val="Unresolved Mention2"/>
    <w:basedOn w:val="DefaultParagraphFont"/>
    <w:uiPriority w:val="99"/>
    <w:semiHidden/>
    <w:unhideWhenUsed/>
    <w:rsid w:val="00904B9E"/>
    <w:rPr>
      <w:color w:val="605E5C"/>
      <w:shd w:val="clear" w:color="auto" w:fill="E1DFDD"/>
    </w:rPr>
  </w:style>
  <w:style w:type="character" w:customStyle="1" w:styleId="Heading4Char">
    <w:name w:val="Heading 4 Char"/>
    <w:basedOn w:val="DefaultParagraphFont"/>
    <w:link w:val="Heading4"/>
    <w:uiPriority w:val="9"/>
    <w:rsid w:val="006B7253"/>
    <w:rPr>
      <w:rFonts w:ascii="Arial" w:eastAsiaTheme="majorEastAsia" w:hAnsi="Arial" w:cstheme="majorBidi"/>
      <w:b/>
      <w:iCs/>
    </w:rPr>
  </w:style>
  <w:style w:type="paragraph" w:styleId="Revision">
    <w:name w:val="Revision"/>
    <w:hidden/>
    <w:uiPriority w:val="99"/>
    <w:semiHidden/>
    <w:rsid w:val="00E41DC1"/>
    <w:pPr>
      <w:spacing w:after="0" w:line="240" w:lineRule="auto"/>
    </w:pPr>
    <w:rPr>
      <w:rFonts w:ascii="Arial" w:hAnsi="Arial"/>
    </w:rPr>
  </w:style>
  <w:style w:type="paragraph" w:styleId="TOCHeading">
    <w:name w:val="TOC Heading"/>
    <w:basedOn w:val="Heading1"/>
    <w:next w:val="Normal"/>
    <w:uiPriority w:val="39"/>
    <w:unhideWhenUsed/>
    <w:qFormat/>
    <w:rsid w:val="00BF174A"/>
    <w:pPr>
      <w:keepNext/>
      <w:keepLines/>
      <w:tabs>
        <w:tab w:val="clear" w:pos="10433"/>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BF174A"/>
    <w:pPr>
      <w:spacing w:after="100"/>
      <w:ind w:left="220"/>
    </w:pPr>
  </w:style>
  <w:style w:type="paragraph" w:styleId="TOC3">
    <w:name w:val="toc 3"/>
    <w:basedOn w:val="Normal"/>
    <w:next w:val="Normal"/>
    <w:autoRedefine/>
    <w:uiPriority w:val="39"/>
    <w:unhideWhenUsed/>
    <w:rsid w:val="00BF174A"/>
    <w:pPr>
      <w:spacing w:after="100"/>
      <w:ind w:left="440"/>
    </w:pPr>
  </w:style>
  <w:style w:type="character" w:customStyle="1" w:styleId="UnresolvedMention3">
    <w:name w:val="Unresolved Mention3"/>
    <w:basedOn w:val="DefaultParagraphFont"/>
    <w:uiPriority w:val="99"/>
    <w:semiHidden/>
    <w:unhideWhenUsed/>
    <w:rsid w:val="007A0D6E"/>
    <w:rPr>
      <w:color w:val="605E5C"/>
      <w:shd w:val="clear" w:color="auto" w:fill="E1DFDD"/>
    </w:rPr>
  </w:style>
  <w:style w:type="character" w:customStyle="1" w:styleId="UnresolvedMention4">
    <w:name w:val="Unresolved Mention4"/>
    <w:basedOn w:val="DefaultParagraphFont"/>
    <w:uiPriority w:val="99"/>
    <w:semiHidden/>
    <w:unhideWhenUsed/>
    <w:rsid w:val="00756BF5"/>
    <w:rPr>
      <w:color w:val="605E5C"/>
      <w:shd w:val="clear" w:color="auto" w:fill="E1DFDD"/>
    </w:rPr>
  </w:style>
  <w:style w:type="character" w:customStyle="1" w:styleId="UnresolvedMention">
    <w:name w:val="Unresolved Mention"/>
    <w:basedOn w:val="DefaultParagraphFont"/>
    <w:uiPriority w:val="99"/>
    <w:semiHidden/>
    <w:unhideWhenUsed/>
    <w:rsid w:val="00505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076">
      <w:bodyDiv w:val="1"/>
      <w:marLeft w:val="0"/>
      <w:marRight w:val="0"/>
      <w:marTop w:val="0"/>
      <w:marBottom w:val="0"/>
      <w:divBdr>
        <w:top w:val="none" w:sz="0" w:space="0" w:color="auto"/>
        <w:left w:val="none" w:sz="0" w:space="0" w:color="auto"/>
        <w:bottom w:val="none" w:sz="0" w:space="0" w:color="auto"/>
        <w:right w:val="none" w:sz="0" w:space="0" w:color="auto"/>
      </w:divBdr>
    </w:div>
    <w:div w:id="98724605">
      <w:bodyDiv w:val="1"/>
      <w:marLeft w:val="0"/>
      <w:marRight w:val="0"/>
      <w:marTop w:val="0"/>
      <w:marBottom w:val="0"/>
      <w:divBdr>
        <w:top w:val="none" w:sz="0" w:space="0" w:color="auto"/>
        <w:left w:val="none" w:sz="0" w:space="0" w:color="auto"/>
        <w:bottom w:val="none" w:sz="0" w:space="0" w:color="auto"/>
        <w:right w:val="none" w:sz="0" w:space="0" w:color="auto"/>
      </w:divBdr>
    </w:div>
    <w:div w:id="231164343">
      <w:bodyDiv w:val="1"/>
      <w:marLeft w:val="0"/>
      <w:marRight w:val="0"/>
      <w:marTop w:val="0"/>
      <w:marBottom w:val="0"/>
      <w:divBdr>
        <w:top w:val="none" w:sz="0" w:space="0" w:color="auto"/>
        <w:left w:val="none" w:sz="0" w:space="0" w:color="auto"/>
        <w:bottom w:val="none" w:sz="0" w:space="0" w:color="auto"/>
        <w:right w:val="none" w:sz="0" w:space="0" w:color="auto"/>
      </w:divBdr>
    </w:div>
    <w:div w:id="292951629">
      <w:bodyDiv w:val="1"/>
      <w:marLeft w:val="0"/>
      <w:marRight w:val="0"/>
      <w:marTop w:val="0"/>
      <w:marBottom w:val="0"/>
      <w:divBdr>
        <w:top w:val="none" w:sz="0" w:space="0" w:color="auto"/>
        <w:left w:val="none" w:sz="0" w:space="0" w:color="auto"/>
        <w:bottom w:val="none" w:sz="0" w:space="0" w:color="auto"/>
        <w:right w:val="none" w:sz="0" w:space="0" w:color="auto"/>
      </w:divBdr>
    </w:div>
    <w:div w:id="392434290">
      <w:bodyDiv w:val="1"/>
      <w:marLeft w:val="0"/>
      <w:marRight w:val="0"/>
      <w:marTop w:val="0"/>
      <w:marBottom w:val="0"/>
      <w:divBdr>
        <w:top w:val="none" w:sz="0" w:space="0" w:color="auto"/>
        <w:left w:val="none" w:sz="0" w:space="0" w:color="auto"/>
        <w:bottom w:val="none" w:sz="0" w:space="0" w:color="auto"/>
        <w:right w:val="none" w:sz="0" w:space="0" w:color="auto"/>
      </w:divBdr>
    </w:div>
    <w:div w:id="442118525">
      <w:bodyDiv w:val="1"/>
      <w:marLeft w:val="0"/>
      <w:marRight w:val="0"/>
      <w:marTop w:val="0"/>
      <w:marBottom w:val="0"/>
      <w:divBdr>
        <w:top w:val="none" w:sz="0" w:space="0" w:color="auto"/>
        <w:left w:val="none" w:sz="0" w:space="0" w:color="auto"/>
        <w:bottom w:val="none" w:sz="0" w:space="0" w:color="auto"/>
        <w:right w:val="none" w:sz="0" w:space="0" w:color="auto"/>
      </w:divBdr>
    </w:div>
    <w:div w:id="446463587">
      <w:bodyDiv w:val="1"/>
      <w:marLeft w:val="0"/>
      <w:marRight w:val="0"/>
      <w:marTop w:val="0"/>
      <w:marBottom w:val="0"/>
      <w:divBdr>
        <w:top w:val="none" w:sz="0" w:space="0" w:color="auto"/>
        <w:left w:val="none" w:sz="0" w:space="0" w:color="auto"/>
        <w:bottom w:val="none" w:sz="0" w:space="0" w:color="auto"/>
        <w:right w:val="none" w:sz="0" w:space="0" w:color="auto"/>
      </w:divBdr>
    </w:div>
    <w:div w:id="598830686">
      <w:bodyDiv w:val="1"/>
      <w:marLeft w:val="0"/>
      <w:marRight w:val="0"/>
      <w:marTop w:val="0"/>
      <w:marBottom w:val="0"/>
      <w:divBdr>
        <w:top w:val="none" w:sz="0" w:space="0" w:color="auto"/>
        <w:left w:val="none" w:sz="0" w:space="0" w:color="auto"/>
        <w:bottom w:val="none" w:sz="0" w:space="0" w:color="auto"/>
        <w:right w:val="none" w:sz="0" w:space="0" w:color="auto"/>
      </w:divBdr>
    </w:div>
    <w:div w:id="611598489">
      <w:bodyDiv w:val="1"/>
      <w:marLeft w:val="0"/>
      <w:marRight w:val="0"/>
      <w:marTop w:val="0"/>
      <w:marBottom w:val="0"/>
      <w:divBdr>
        <w:top w:val="none" w:sz="0" w:space="0" w:color="auto"/>
        <w:left w:val="none" w:sz="0" w:space="0" w:color="auto"/>
        <w:bottom w:val="none" w:sz="0" w:space="0" w:color="auto"/>
        <w:right w:val="none" w:sz="0" w:space="0" w:color="auto"/>
      </w:divBdr>
    </w:div>
    <w:div w:id="676615999">
      <w:bodyDiv w:val="1"/>
      <w:marLeft w:val="0"/>
      <w:marRight w:val="0"/>
      <w:marTop w:val="0"/>
      <w:marBottom w:val="0"/>
      <w:divBdr>
        <w:top w:val="none" w:sz="0" w:space="0" w:color="auto"/>
        <w:left w:val="none" w:sz="0" w:space="0" w:color="auto"/>
        <w:bottom w:val="none" w:sz="0" w:space="0" w:color="auto"/>
        <w:right w:val="none" w:sz="0" w:space="0" w:color="auto"/>
      </w:divBdr>
    </w:div>
    <w:div w:id="688070880">
      <w:bodyDiv w:val="1"/>
      <w:marLeft w:val="0"/>
      <w:marRight w:val="0"/>
      <w:marTop w:val="0"/>
      <w:marBottom w:val="0"/>
      <w:divBdr>
        <w:top w:val="none" w:sz="0" w:space="0" w:color="auto"/>
        <w:left w:val="none" w:sz="0" w:space="0" w:color="auto"/>
        <w:bottom w:val="none" w:sz="0" w:space="0" w:color="auto"/>
        <w:right w:val="none" w:sz="0" w:space="0" w:color="auto"/>
      </w:divBdr>
    </w:div>
    <w:div w:id="758213889">
      <w:bodyDiv w:val="1"/>
      <w:marLeft w:val="0"/>
      <w:marRight w:val="0"/>
      <w:marTop w:val="0"/>
      <w:marBottom w:val="0"/>
      <w:divBdr>
        <w:top w:val="none" w:sz="0" w:space="0" w:color="auto"/>
        <w:left w:val="none" w:sz="0" w:space="0" w:color="auto"/>
        <w:bottom w:val="none" w:sz="0" w:space="0" w:color="auto"/>
        <w:right w:val="none" w:sz="0" w:space="0" w:color="auto"/>
      </w:divBdr>
    </w:div>
    <w:div w:id="766854042">
      <w:bodyDiv w:val="1"/>
      <w:marLeft w:val="0"/>
      <w:marRight w:val="0"/>
      <w:marTop w:val="0"/>
      <w:marBottom w:val="0"/>
      <w:divBdr>
        <w:top w:val="none" w:sz="0" w:space="0" w:color="auto"/>
        <w:left w:val="none" w:sz="0" w:space="0" w:color="auto"/>
        <w:bottom w:val="none" w:sz="0" w:space="0" w:color="auto"/>
        <w:right w:val="none" w:sz="0" w:space="0" w:color="auto"/>
      </w:divBdr>
    </w:div>
    <w:div w:id="788476080">
      <w:bodyDiv w:val="1"/>
      <w:marLeft w:val="0"/>
      <w:marRight w:val="0"/>
      <w:marTop w:val="0"/>
      <w:marBottom w:val="0"/>
      <w:divBdr>
        <w:top w:val="none" w:sz="0" w:space="0" w:color="auto"/>
        <w:left w:val="none" w:sz="0" w:space="0" w:color="auto"/>
        <w:bottom w:val="none" w:sz="0" w:space="0" w:color="auto"/>
        <w:right w:val="none" w:sz="0" w:space="0" w:color="auto"/>
      </w:divBdr>
    </w:div>
    <w:div w:id="796293690">
      <w:bodyDiv w:val="1"/>
      <w:marLeft w:val="0"/>
      <w:marRight w:val="0"/>
      <w:marTop w:val="0"/>
      <w:marBottom w:val="0"/>
      <w:divBdr>
        <w:top w:val="none" w:sz="0" w:space="0" w:color="auto"/>
        <w:left w:val="none" w:sz="0" w:space="0" w:color="auto"/>
        <w:bottom w:val="none" w:sz="0" w:space="0" w:color="auto"/>
        <w:right w:val="none" w:sz="0" w:space="0" w:color="auto"/>
      </w:divBdr>
    </w:div>
    <w:div w:id="818577355">
      <w:bodyDiv w:val="1"/>
      <w:marLeft w:val="0"/>
      <w:marRight w:val="0"/>
      <w:marTop w:val="0"/>
      <w:marBottom w:val="0"/>
      <w:divBdr>
        <w:top w:val="none" w:sz="0" w:space="0" w:color="auto"/>
        <w:left w:val="none" w:sz="0" w:space="0" w:color="auto"/>
        <w:bottom w:val="none" w:sz="0" w:space="0" w:color="auto"/>
        <w:right w:val="none" w:sz="0" w:space="0" w:color="auto"/>
      </w:divBdr>
    </w:div>
    <w:div w:id="831526969">
      <w:bodyDiv w:val="1"/>
      <w:marLeft w:val="0"/>
      <w:marRight w:val="0"/>
      <w:marTop w:val="0"/>
      <w:marBottom w:val="0"/>
      <w:divBdr>
        <w:top w:val="none" w:sz="0" w:space="0" w:color="auto"/>
        <w:left w:val="none" w:sz="0" w:space="0" w:color="auto"/>
        <w:bottom w:val="none" w:sz="0" w:space="0" w:color="auto"/>
        <w:right w:val="none" w:sz="0" w:space="0" w:color="auto"/>
      </w:divBdr>
    </w:div>
    <w:div w:id="849566206">
      <w:bodyDiv w:val="1"/>
      <w:marLeft w:val="0"/>
      <w:marRight w:val="0"/>
      <w:marTop w:val="0"/>
      <w:marBottom w:val="0"/>
      <w:divBdr>
        <w:top w:val="none" w:sz="0" w:space="0" w:color="auto"/>
        <w:left w:val="none" w:sz="0" w:space="0" w:color="auto"/>
        <w:bottom w:val="none" w:sz="0" w:space="0" w:color="auto"/>
        <w:right w:val="none" w:sz="0" w:space="0" w:color="auto"/>
      </w:divBdr>
    </w:div>
    <w:div w:id="910238565">
      <w:bodyDiv w:val="1"/>
      <w:marLeft w:val="0"/>
      <w:marRight w:val="0"/>
      <w:marTop w:val="0"/>
      <w:marBottom w:val="0"/>
      <w:divBdr>
        <w:top w:val="none" w:sz="0" w:space="0" w:color="auto"/>
        <w:left w:val="none" w:sz="0" w:space="0" w:color="auto"/>
        <w:bottom w:val="none" w:sz="0" w:space="0" w:color="auto"/>
        <w:right w:val="none" w:sz="0" w:space="0" w:color="auto"/>
      </w:divBdr>
    </w:div>
    <w:div w:id="918517425">
      <w:bodyDiv w:val="1"/>
      <w:marLeft w:val="0"/>
      <w:marRight w:val="0"/>
      <w:marTop w:val="0"/>
      <w:marBottom w:val="0"/>
      <w:divBdr>
        <w:top w:val="none" w:sz="0" w:space="0" w:color="auto"/>
        <w:left w:val="none" w:sz="0" w:space="0" w:color="auto"/>
        <w:bottom w:val="none" w:sz="0" w:space="0" w:color="auto"/>
        <w:right w:val="none" w:sz="0" w:space="0" w:color="auto"/>
      </w:divBdr>
    </w:div>
    <w:div w:id="929390754">
      <w:bodyDiv w:val="1"/>
      <w:marLeft w:val="0"/>
      <w:marRight w:val="0"/>
      <w:marTop w:val="0"/>
      <w:marBottom w:val="0"/>
      <w:divBdr>
        <w:top w:val="none" w:sz="0" w:space="0" w:color="auto"/>
        <w:left w:val="none" w:sz="0" w:space="0" w:color="auto"/>
        <w:bottom w:val="none" w:sz="0" w:space="0" w:color="auto"/>
        <w:right w:val="none" w:sz="0" w:space="0" w:color="auto"/>
      </w:divBdr>
    </w:div>
    <w:div w:id="967393288">
      <w:bodyDiv w:val="1"/>
      <w:marLeft w:val="0"/>
      <w:marRight w:val="0"/>
      <w:marTop w:val="0"/>
      <w:marBottom w:val="0"/>
      <w:divBdr>
        <w:top w:val="none" w:sz="0" w:space="0" w:color="auto"/>
        <w:left w:val="none" w:sz="0" w:space="0" w:color="auto"/>
        <w:bottom w:val="none" w:sz="0" w:space="0" w:color="auto"/>
        <w:right w:val="none" w:sz="0" w:space="0" w:color="auto"/>
      </w:divBdr>
    </w:div>
    <w:div w:id="998466390">
      <w:bodyDiv w:val="1"/>
      <w:marLeft w:val="0"/>
      <w:marRight w:val="0"/>
      <w:marTop w:val="0"/>
      <w:marBottom w:val="0"/>
      <w:divBdr>
        <w:top w:val="none" w:sz="0" w:space="0" w:color="auto"/>
        <w:left w:val="none" w:sz="0" w:space="0" w:color="auto"/>
        <w:bottom w:val="none" w:sz="0" w:space="0" w:color="auto"/>
        <w:right w:val="none" w:sz="0" w:space="0" w:color="auto"/>
      </w:divBdr>
    </w:div>
    <w:div w:id="1046831858">
      <w:bodyDiv w:val="1"/>
      <w:marLeft w:val="0"/>
      <w:marRight w:val="0"/>
      <w:marTop w:val="0"/>
      <w:marBottom w:val="0"/>
      <w:divBdr>
        <w:top w:val="none" w:sz="0" w:space="0" w:color="auto"/>
        <w:left w:val="none" w:sz="0" w:space="0" w:color="auto"/>
        <w:bottom w:val="none" w:sz="0" w:space="0" w:color="auto"/>
        <w:right w:val="none" w:sz="0" w:space="0" w:color="auto"/>
      </w:divBdr>
    </w:div>
    <w:div w:id="1049302222">
      <w:bodyDiv w:val="1"/>
      <w:marLeft w:val="0"/>
      <w:marRight w:val="0"/>
      <w:marTop w:val="0"/>
      <w:marBottom w:val="0"/>
      <w:divBdr>
        <w:top w:val="none" w:sz="0" w:space="0" w:color="auto"/>
        <w:left w:val="none" w:sz="0" w:space="0" w:color="auto"/>
        <w:bottom w:val="none" w:sz="0" w:space="0" w:color="auto"/>
        <w:right w:val="none" w:sz="0" w:space="0" w:color="auto"/>
      </w:divBdr>
    </w:div>
    <w:div w:id="1076393283">
      <w:bodyDiv w:val="1"/>
      <w:marLeft w:val="0"/>
      <w:marRight w:val="0"/>
      <w:marTop w:val="0"/>
      <w:marBottom w:val="0"/>
      <w:divBdr>
        <w:top w:val="none" w:sz="0" w:space="0" w:color="auto"/>
        <w:left w:val="none" w:sz="0" w:space="0" w:color="auto"/>
        <w:bottom w:val="none" w:sz="0" w:space="0" w:color="auto"/>
        <w:right w:val="none" w:sz="0" w:space="0" w:color="auto"/>
      </w:divBdr>
    </w:div>
    <w:div w:id="1260218562">
      <w:bodyDiv w:val="1"/>
      <w:marLeft w:val="0"/>
      <w:marRight w:val="0"/>
      <w:marTop w:val="0"/>
      <w:marBottom w:val="0"/>
      <w:divBdr>
        <w:top w:val="none" w:sz="0" w:space="0" w:color="auto"/>
        <w:left w:val="none" w:sz="0" w:space="0" w:color="auto"/>
        <w:bottom w:val="none" w:sz="0" w:space="0" w:color="auto"/>
        <w:right w:val="none" w:sz="0" w:space="0" w:color="auto"/>
      </w:divBdr>
    </w:div>
    <w:div w:id="1312754261">
      <w:bodyDiv w:val="1"/>
      <w:marLeft w:val="0"/>
      <w:marRight w:val="0"/>
      <w:marTop w:val="0"/>
      <w:marBottom w:val="0"/>
      <w:divBdr>
        <w:top w:val="none" w:sz="0" w:space="0" w:color="auto"/>
        <w:left w:val="none" w:sz="0" w:space="0" w:color="auto"/>
        <w:bottom w:val="none" w:sz="0" w:space="0" w:color="auto"/>
        <w:right w:val="none" w:sz="0" w:space="0" w:color="auto"/>
      </w:divBdr>
    </w:div>
    <w:div w:id="1326278171">
      <w:bodyDiv w:val="1"/>
      <w:marLeft w:val="0"/>
      <w:marRight w:val="0"/>
      <w:marTop w:val="0"/>
      <w:marBottom w:val="0"/>
      <w:divBdr>
        <w:top w:val="none" w:sz="0" w:space="0" w:color="auto"/>
        <w:left w:val="none" w:sz="0" w:space="0" w:color="auto"/>
        <w:bottom w:val="none" w:sz="0" w:space="0" w:color="auto"/>
        <w:right w:val="none" w:sz="0" w:space="0" w:color="auto"/>
      </w:divBdr>
    </w:div>
    <w:div w:id="1396901186">
      <w:bodyDiv w:val="1"/>
      <w:marLeft w:val="0"/>
      <w:marRight w:val="0"/>
      <w:marTop w:val="0"/>
      <w:marBottom w:val="0"/>
      <w:divBdr>
        <w:top w:val="none" w:sz="0" w:space="0" w:color="auto"/>
        <w:left w:val="none" w:sz="0" w:space="0" w:color="auto"/>
        <w:bottom w:val="none" w:sz="0" w:space="0" w:color="auto"/>
        <w:right w:val="none" w:sz="0" w:space="0" w:color="auto"/>
      </w:divBdr>
    </w:div>
    <w:div w:id="1434281738">
      <w:bodyDiv w:val="1"/>
      <w:marLeft w:val="0"/>
      <w:marRight w:val="0"/>
      <w:marTop w:val="0"/>
      <w:marBottom w:val="0"/>
      <w:divBdr>
        <w:top w:val="none" w:sz="0" w:space="0" w:color="auto"/>
        <w:left w:val="none" w:sz="0" w:space="0" w:color="auto"/>
        <w:bottom w:val="none" w:sz="0" w:space="0" w:color="auto"/>
        <w:right w:val="none" w:sz="0" w:space="0" w:color="auto"/>
      </w:divBdr>
    </w:div>
    <w:div w:id="1468887476">
      <w:bodyDiv w:val="1"/>
      <w:marLeft w:val="0"/>
      <w:marRight w:val="0"/>
      <w:marTop w:val="0"/>
      <w:marBottom w:val="0"/>
      <w:divBdr>
        <w:top w:val="none" w:sz="0" w:space="0" w:color="auto"/>
        <w:left w:val="none" w:sz="0" w:space="0" w:color="auto"/>
        <w:bottom w:val="none" w:sz="0" w:space="0" w:color="auto"/>
        <w:right w:val="none" w:sz="0" w:space="0" w:color="auto"/>
      </w:divBdr>
      <w:divsChild>
        <w:div w:id="2101481922">
          <w:marLeft w:val="0"/>
          <w:marRight w:val="0"/>
          <w:marTop w:val="480"/>
          <w:marBottom w:val="480"/>
          <w:divBdr>
            <w:top w:val="none" w:sz="0" w:space="0" w:color="auto"/>
            <w:left w:val="none" w:sz="0" w:space="0" w:color="auto"/>
            <w:bottom w:val="none" w:sz="0" w:space="0" w:color="auto"/>
            <w:right w:val="none" w:sz="0" w:space="0" w:color="auto"/>
          </w:divBdr>
        </w:div>
      </w:divsChild>
    </w:div>
    <w:div w:id="1583103760">
      <w:bodyDiv w:val="1"/>
      <w:marLeft w:val="0"/>
      <w:marRight w:val="0"/>
      <w:marTop w:val="0"/>
      <w:marBottom w:val="0"/>
      <w:divBdr>
        <w:top w:val="none" w:sz="0" w:space="0" w:color="auto"/>
        <w:left w:val="none" w:sz="0" w:space="0" w:color="auto"/>
        <w:bottom w:val="none" w:sz="0" w:space="0" w:color="auto"/>
        <w:right w:val="none" w:sz="0" w:space="0" w:color="auto"/>
      </w:divBdr>
    </w:div>
    <w:div w:id="1600142278">
      <w:bodyDiv w:val="1"/>
      <w:marLeft w:val="0"/>
      <w:marRight w:val="0"/>
      <w:marTop w:val="0"/>
      <w:marBottom w:val="0"/>
      <w:divBdr>
        <w:top w:val="none" w:sz="0" w:space="0" w:color="auto"/>
        <w:left w:val="none" w:sz="0" w:space="0" w:color="auto"/>
        <w:bottom w:val="none" w:sz="0" w:space="0" w:color="auto"/>
        <w:right w:val="none" w:sz="0" w:space="0" w:color="auto"/>
      </w:divBdr>
    </w:div>
    <w:div w:id="1611353332">
      <w:bodyDiv w:val="1"/>
      <w:marLeft w:val="0"/>
      <w:marRight w:val="0"/>
      <w:marTop w:val="0"/>
      <w:marBottom w:val="0"/>
      <w:divBdr>
        <w:top w:val="none" w:sz="0" w:space="0" w:color="auto"/>
        <w:left w:val="none" w:sz="0" w:space="0" w:color="auto"/>
        <w:bottom w:val="none" w:sz="0" w:space="0" w:color="auto"/>
        <w:right w:val="none" w:sz="0" w:space="0" w:color="auto"/>
      </w:divBdr>
    </w:div>
    <w:div w:id="1733887725">
      <w:bodyDiv w:val="1"/>
      <w:marLeft w:val="0"/>
      <w:marRight w:val="0"/>
      <w:marTop w:val="0"/>
      <w:marBottom w:val="0"/>
      <w:divBdr>
        <w:top w:val="none" w:sz="0" w:space="0" w:color="auto"/>
        <w:left w:val="none" w:sz="0" w:space="0" w:color="auto"/>
        <w:bottom w:val="none" w:sz="0" w:space="0" w:color="auto"/>
        <w:right w:val="none" w:sz="0" w:space="0" w:color="auto"/>
      </w:divBdr>
    </w:div>
    <w:div w:id="1735853307">
      <w:bodyDiv w:val="1"/>
      <w:marLeft w:val="0"/>
      <w:marRight w:val="0"/>
      <w:marTop w:val="0"/>
      <w:marBottom w:val="0"/>
      <w:divBdr>
        <w:top w:val="none" w:sz="0" w:space="0" w:color="auto"/>
        <w:left w:val="none" w:sz="0" w:space="0" w:color="auto"/>
        <w:bottom w:val="none" w:sz="0" w:space="0" w:color="auto"/>
        <w:right w:val="none" w:sz="0" w:space="0" w:color="auto"/>
      </w:divBdr>
    </w:div>
    <w:div w:id="1811828550">
      <w:bodyDiv w:val="1"/>
      <w:marLeft w:val="0"/>
      <w:marRight w:val="0"/>
      <w:marTop w:val="0"/>
      <w:marBottom w:val="0"/>
      <w:divBdr>
        <w:top w:val="none" w:sz="0" w:space="0" w:color="auto"/>
        <w:left w:val="none" w:sz="0" w:space="0" w:color="auto"/>
        <w:bottom w:val="none" w:sz="0" w:space="0" w:color="auto"/>
        <w:right w:val="none" w:sz="0" w:space="0" w:color="auto"/>
      </w:divBdr>
    </w:div>
    <w:div w:id="1868445490">
      <w:bodyDiv w:val="1"/>
      <w:marLeft w:val="0"/>
      <w:marRight w:val="0"/>
      <w:marTop w:val="0"/>
      <w:marBottom w:val="0"/>
      <w:divBdr>
        <w:top w:val="none" w:sz="0" w:space="0" w:color="auto"/>
        <w:left w:val="none" w:sz="0" w:space="0" w:color="auto"/>
        <w:bottom w:val="none" w:sz="0" w:space="0" w:color="auto"/>
        <w:right w:val="none" w:sz="0" w:space="0" w:color="auto"/>
      </w:divBdr>
    </w:div>
    <w:div w:id="1890533152">
      <w:bodyDiv w:val="1"/>
      <w:marLeft w:val="0"/>
      <w:marRight w:val="0"/>
      <w:marTop w:val="0"/>
      <w:marBottom w:val="0"/>
      <w:divBdr>
        <w:top w:val="none" w:sz="0" w:space="0" w:color="auto"/>
        <w:left w:val="none" w:sz="0" w:space="0" w:color="auto"/>
        <w:bottom w:val="none" w:sz="0" w:space="0" w:color="auto"/>
        <w:right w:val="none" w:sz="0" w:space="0" w:color="auto"/>
      </w:divBdr>
    </w:div>
    <w:div w:id="2113821819">
      <w:bodyDiv w:val="1"/>
      <w:marLeft w:val="0"/>
      <w:marRight w:val="0"/>
      <w:marTop w:val="0"/>
      <w:marBottom w:val="0"/>
      <w:divBdr>
        <w:top w:val="none" w:sz="0" w:space="0" w:color="auto"/>
        <w:left w:val="none" w:sz="0" w:space="0" w:color="auto"/>
        <w:bottom w:val="none" w:sz="0" w:space="0" w:color="auto"/>
        <w:right w:val="none" w:sz="0" w:space="0" w:color="auto"/>
      </w:divBdr>
    </w:div>
    <w:div w:id="213884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ng222" TargetMode="External"/><Relationship Id="rId18" Type="http://schemas.openxmlformats.org/officeDocument/2006/relationships/hyperlink" Target="https://www.medicines.org.uk/emc/search?q=lithium" TargetMode="External"/><Relationship Id="rId26" Type="http://schemas.openxmlformats.org/officeDocument/2006/relationships/hyperlink" Target="https://webarchive.nationalarchives.gov.uk/ukgwa/20171030130945/http:/www.nrls.npsa.nhs.uk/resources/type/alerts/?entryid45=65426&amp;p=2" TargetMode="External"/><Relationship Id="rId39" Type="http://schemas.openxmlformats.org/officeDocument/2006/relationships/hyperlink" Target="https://www.nice.org.uk/guidance/ng222" TargetMode="External"/><Relationship Id="rId21" Type="http://schemas.openxmlformats.org/officeDocument/2006/relationships/hyperlink" Target="https://webarchive.nationalarchives.gov.uk/ukgwa/20171030130945/http:/www.nrls.npsa.nhs.uk/resources/type/alerts/?entryid45=65426&amp;p=2" TargetMode="External"/><Relationship Id="rId34" Type="http://schemas.openxmlformats.org/officeDocument/2006/relationships/hyperlink" Target="https://products.mhra.gov.uk/" TargetMode="External"/><Relationship Id="rId42" Type="http://schemas.openxmlformats.org/officeDocument/2006/relationships/hyperlink" Target="https://www.sps.nhs.uk/monitorings/lithium-monitoring/" TargetMode="External"/><Relationship Id="rId47" Type="http://schemas.openxmlformats.org/officeDocument/2006/relationships/hyperlink" Target="https://www.england.nhs.uk/publication/responsibility-for-prescribing-between-primary-and-secondary-tertiary-care/"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edicines.org.uk/emc/search?q=lithium" TargetMode="External"/><Relationship Id="rId29" Type="http://schemas.openxmlformats.org/officeDocument/2006/relationships/hyperlink" Target="https://www.sps.nhs.uk/articles/treating-bipolar-disorder-during-breastfeeding/" TargetMode="External"/><Relationship Id="rId11" Type="http://schemas.openxmlformats.org/officeDocument/2006/relationships/hyperlink" Target="https://rdtc.nhs.uk/prescribing-support-document/shared-care-protocol-lithium-in-adults/" TargetMode="External"/><Relationship Id="rId24" Type="http://schemas.openxmlformats.org/officeDocument/2006/relationships/hyperlink" Target="https://www.mind.org.uk/information-support/drugs-and-treatments/lithium-and-other-mood-stabilisers/lithium/" TargetMode="External"/><Relationship Id="rId32" Type="http://schemas.openxmlformats.org/officeDocument/2006/relationships/hyperlink" Target="https://www.medicines.org.uk/emc/product/13164/" TargetMode="External"/><Relationship Id="rId37" Type="http://schemas.openxmlformats.org/officeDocument/2006/relationships/hyperlink" Target="https://products.mhra.gov.uk/" TargetMode="External"/><Relationship Id="rId40" Type="http://schemas.openxmlformats.org/officeDocument/2006/relationships/hyperlink" Target="https://www.nice.org.uk/guidance/cg185" TargetMode="External"/><Relationship Id="rId45" Type="http://schemas.openxmlformats.org/officeDocument/2006/relationships/hyperlink" Target="https://webarchive.nationalarchives.gov.uk/ukgwa/20180501163555/http:/www.nrls.npsa.nhs.uk/resources/type/alerts/?entryid45=65426&amp;p=2" TargetMode="External"/><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www.mhra.gov.uk/yellowc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cg185" TargetMode="External"/><Relationship Id="rId22" Type="http://schemas.openxmlformats.org/officeDocument/2006/relationships/hyperlink" Target="https://www.gov.uk/bipolar-disorder-and-driving" TargetMode="External"/><Relationship Id="rId27" Type="http://schemas.openxmlformats.org/officeDocument/2006/relationships/hyperlink" Target="https://uktis.org/monographs/use-of-lithium-in-pregnancy/" TargetMode="External"/><Relationship Id="rId30" Type="http://schemas.openxmlformats.org/officeDocument/2006/relationships/hyperlink" Target="https://bnf.nice.org.uk/" TargetMode="External"/><Relationship Id="rId35" Type="http://schemas.openxmlformats.org/officeDocument/2006/relationships/hyperlink" Target="https://www.medicines.org.uk/emc/product/10829" TargetMode="External"/><Relationship Id="rId43" Type="http://schemas.openxmlformats.org/officeDocument/2006/relationships/hyperlink" Target="https://cks.nice.org.uk/topics/bipolar-disorder/prescribing-information/lithium/" TargetMode="External"/><Relationship Id="rId48" Type="http://schemas.openxmlformats.org/officeDocument/2006/relationships/hyperlink" Target="https://www.gmc-uk.org/ethical-guidance/ethical-guidance-for-doctors/good-practice-in-prescribing-and-managing-medicines-and-devices/shared-care"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nice.org.uk/guidance/ng222" TargetMode="External"/><Relationship Id="rId17" Type="http://schemas.openxmlformats.org/officeDocument/2006/relationships/hyperlink" Target="https://bnf.nice.org.uk/interactions/lithium/" TargetMode="External"/><Relationship Id="rId25" Type="http://schemas.openxmlformats.org/officeDocument/2006/relationships/hyperlink" Target="mailto:nhsforms@mmm.com" TargetMode="External"/><Relationship Id="rId33" Type="http://schemas.openxmlformats.org/officeDocument/2006/relationships/hyperlink" Target="https://www.medicines.org.uk/emc/files/pil.13164.pdf" TargetMode="External"/><Relationship Id="rId38" Type="http://schemas.openxmlformats.org/officeDocument/2006/relationships/hyperlink" Target="https://www.medicines.org.uk/emc/" TargetMode="External"/><Relationship Id="rId46" Type="http://schemas.openxmlformats.org/officeDocument/2006/relationships/hyperlink" Target="https://www.sps.nhs.uk/articles/rmoc-shared-care-guidance/" TargetMode="External"/><Relationship Id="rId20" Type="http://schemas.openxmlformats.org/officeDocument/2006/relationships/hyperlink" Target="mailto:nhsforms@mmm.com" TargetMode="External"/><Relationship Id="rId41" Type="http://schemas.openxmlformats.org/officeDocument/2006/relationships/hyperlink" Target="https://www.nice.org.uk/guidance/cg192/"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nf.nice.org.uk/drugs/lithium-carbonate/" TargetMode="External"/><Relationship Id="rId23" Type="http://schemas.openxmlformats.org/officeDocument/2006/relationships/hyperlink" Target="https://www.nhs.uk/medicines/lithium/" TargetMode="External"/><Relationship Id="rId28" Type="http://schemas.openxmlformats.org/officeDocument/2006/relationships/hyperlink" Target="https://www.medicinesinpregnancy.org/Medicine--pregnancy/Lithium/" TargetMode="External"/><Relationship Id="rId36" Type="http://schemas.openxmlformats.org/officeDocument/2006/relationships/hyperlink" Target="https://www.medicines.org.uk/emc/product/10828/" TargetMode="External"/><Relationship Id="rId49" Type="http://schemas.openxmlformats.org/officeDocument/2006/relationships/hyperlink" Target="https://www.nice.org.uk/guidance/ng197/"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medicines.org.uk/emc/files/pil.13163.pdf" TargetMode="External"/><Relationship Id="rId44" Type="http://schemas.openxmlformats.org/officeDocument/2006/relationships/hyperlink" Target="https://www.nhs.uk/medicines/lithium/" TargetMode="External"/><Relationship Id="rId52"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9" ma:contentTypeDescription="Create a new document." ma:contentTypeScope="" ma:versionID="8c534e726c896b57c82b5b99f4f319a2">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27677d382d494c3cc9cf583fe71f4b5e"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631231-6f43-4857-8242-87355a4339e9}"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f8bb99-f63a-4e33-b200-ec62ac311639" xsi:nil="true"/>
    <lcf76f155ced4ddcb4097134ff3c332f xmlns="f20c8ee1-5c4d-4fe6-a884-671ceaf5210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747E7-F589-4A77-BE0B-1750E1F6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AB882-76C8-4C3A-80F2-A88BAF8090B7}">
  <ds:schemaRefs>
    <ds:schemaRef ds:uri="http://schemas.microsoft.com/sharepoint/v3/contenttype/forms"/>
  </ds:schemaRefs>
</ds:datastoreItem>
</file>

<file path=customXml/itemProps3.xml><?xml version="1.0" encoding="utf-8"?>
<ds:datastoreItem xmlns:ds="http://schemas.openxmlformats.org/officeDocument/2006/customXml" ds:itemID="{250F89DA-698B-430F-9822-AD922465335C}">
  <ds:schemaRefs>
    <ds:schemaRef ds:uri="http://schemas.microsoft.com/office/2006/metadata/properties"/>
    <ds:schemaRef ds:uri="http://schemas.microsoft.com/office/infopath/2007/PartnerControls"/>
    <ds:schemaRef ds:uri="9ecf9374-0d71-4a51-a9c5-198dd68970ed"/>
    <ds:schemaRef ds:uri="00e1733f-933a-4135-bb08-3e6c9c4393fe"/>
    <ds:schemaRef ds:uri="daf8bb99-f63a-4e33-b200-ec62ac311639"/>
    <ds:schemaRef ds:uri="f20c8ee1-5c4d-4fe6-a884-671ceaf52101"/>
    <ds:schemaRef ds:uri="http://schemas.microsoft.com/sharepoint/v3"/>
  </ds:schemaRefs>
</ds:datastoreItem>
</file>

<file path=customXml/itemProps4.xml><?xml version="1.0" encoding="utf-8"?>
<ds:datastoreItem xmlns:ds="http://schemas.openxmlformats.org/officeDocument/2006/customXml" ds:itemID="{6383319B-02E8-4AE8-9083-891608BA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5800</Words>
  <Characters>33060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38783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Donlon Kieron (MLCSU)</dc:creator>
  <cp:lastModifiedBy>Kane, Nancy</cp:lastModifiedBy>
  <cp:revision>4</cp:revision>
  <cp:lastPrinted>2022-03-11T14:19:00Z</cp:lastPrinted>
  <dcterms:created xsi:type="dcterms:W3CDTF">2025-04-23T14:34:00Z</dcterms:created>
  <dcterms:modified xsi:type="dcterms:W3CDTF">2025-06-03T13:43:00Z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_dlc_DocIdItemGuid">
    <vt:lpwstr>51b1480d-bcbe-4409-8965-5d4ba7a1fe1a</vt:lpwstr>
  </property>
  <property fmtid="{D5CDD505-2E9C-101B-9397-08002B2CF9AE}" pid="4" name="MediaServiceImageTags">
    <vt:lpwstr/>
  </property>
</Properties>
</file>