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81F9D" w14:textId="48FD8285" w:rsidR="00C57EE9" w:rsidRDefault="007A40A9" w:rsidP="00C57EE9">
      <w:bookmarkStart w:id="0" w:name="_GoBack"/>
      <w:bookmarkEnd w:id="0"/>
      <w:ins w:id="1" w:author="Wood, Ria (Pharmacy)" w:date="2024-12-19T15:44:00Z">
        <w:r>
          <w:rPr>
            <w:rFonts w:eastAsia="Times New Roman" w:cstheme="minorHAnsi"/>
            <w:lang w:eastAsia="en-GB"/>
          </w:rPr>
          <w:t>`</w:t>
        </w:r>
      </w:ins>
    </w:p>
    <w:p w14:paraId="7261AF30" w14:textId="1DC217B3" w:rsidR="00C57EE9" w:rsidRPr="005228A2" w:rsidRDefault="00C57EE9" w:rsidP="00C57EE9">
      <w:pPr>
        <w:pStyle w:val="Heading2"/>
        <w:numPr>
          <w:ilvl w:val="0"/>
          <w:numId w:val="0"/>
        </w:numPr>
        <w:ind w:left="357" w:hanging="357"/>
        <w:jc w:val="center"/>
        <w:rPr>
          <w:sz w:val="28"/>
          <w:szCs w:val="32"/>
        </w:rPr>
      </w:pPr>
      <w:r>
        <w:rPr>
          <w:sz w:val="28"/>
          <w:szCs w:val="32"/>
        </w:rPr>
        <w:t>Lisdexamfetamine</w:t>
      </w:r>
      <w:r w:rsidRPr="005228A2">
        <w:rPr>
          <w:sz w:val="28"/>
          <w:szCs w:val="32"/>
        </w:rPr>
        <w:t xml:space="preserve"> for patients within </w:t>
      </w:r>
      <w:r w:rsidRPr="00432965">
        <w:rPr>
          <w:color w:val="0070C0"/>
          <w:sz w:val="28"/>
          <w:szCs w:val="32"/>
        </w:rPr>
        <w:t>children and</w:t>
      </w:r>
      <w:r>
        <w:rPr>
          <w:sz w:val="28"/>
          <w:szCs w:val="32"/>
        </w:rPr>
        <w:t xml:space="preserve"> </w:t>
      </w:r>
      <w:r w:rsidRPr="005228A2">
        <w:rPr>
          <w:sz w:val="28"/>
          <w:szCs w:val="32"/>
        </w:rPr>
        <w:t>adult services</w:t>
      </w:r>
    </w:p>
    <w:tbl>
      <w:tblPr>
        <w:tblStyle w:val="TableGrid"/>
        <w:tblW w:w="0" w:type="auto"/>
        <w:tblLook w:val="04A0" w:firstRow="1" w:lastRow="0" w:firstColumn="1" w:lastColumn="0" w:noHBand="0" w:noVBand="1"/>
      </w:tblPr>
      <w:tblGrid>
        <w:gridCol w:w="3256"/>
        <w:gridCol w:w="2305"/>
        <w:gridCol w:w="2447"/>
        <w:gridCol w:w="2448"/>
      </w:tblGrid>
      <w:tr w:rsidR="00C57EE9" w14:paraId="6FF6F274" w14:textId="77777777" w:rsidTr="00D87D5C">
        <w:tc>
          <w:tcPr>
            <w:tcW w:w="3256" w:type="dxa"/>
          </w:tcPr>
          <w:p w14:paraId="288AA685" w14:textId="77777777" w:rsidR="00C57EE9" w:rsidRDefault="00C57EE9" w:rsidP="00D87D5C">
            <w:pPr>
              <w:rPr>
                <w:rFonts w:cs="Arial"/>
              </w:rPr>
            </w:pPr>
            <w:r>
              <w:rPr>
                <w:rFonts w:cs="Arial"/>
              </w:rPr>
              <w:t>Version:</w:t>
            </w:r>
          </w:p>
        </w:tc>
        <w:tc>
          <w:tcPr>
            <w:tcW w:w="2305" w:type="dxa"/>
          </w:tcPr>
          <w:p w14:paraId="6A230D50" w14:textId="77777777" w:rsidR="00C57EE9" w:rsidRDefault="00C57EE9" w:rsidP="00D87D5C">
            <w:pPr>
              <w:rPr>
                <w:rFonts w:cs="Arial"/>
              </w:rPr>
            </w:pPr>
            <w:r>
              <w:rPr>
                <w:rFonts w:cs="Arial"/>
              </w:rPr>
              <w:t>RDTC v1.0</w:t>
            </w:r>
          </w:p>
        </w:tc>
        <w:tc>
          <w:tcPr>
            <w:tcW w:w="2447" w:type="dxa"/>
          </w:tcPr>
          <w:p w14:paraId="5DC29D76" w14:textId="77777777" w:rsidR="00C57EE9" w:rsidRDefault="00C57EE9" w:rsidP="00D87D5C">
            <w:pPr>
              <w:rPr>
                <w:rFonts w:cs="Arial"/>
              </w:rPr>
            </w:pPr>
            <w:r>
              <w:rPr>
                <w:rFonts w:cs="Arial"/>
              </w:rPr>
              <w:t>Replaces version:</w:t>
            </w:r>
          </w:p>
        </w:tc>
        <w:tc>
          <w:tcPr>
            <w:tcW w:w="2448" w:type="dxa"/>
          </w:tcPr>
          <w:p w14:paraId="0E1FAB2F" w14:textId="77777777" w:rsidR="00C57EE9" w:rsidRDefault="00C57EE9" w:rsidP="00D87D5C">
            <w:pPr>
              <w:rPr>
                <w:rFonts w:cs="Arial"/>
              </w:rPr>
            </w:pPr>
            <w:r>
              <w:rPr>
                <w:rFonts w:cs="Arial"/>
              </w:rPr>
              <w:t>NHSE v1.0</w:t>
            </w:r>
          </w:p>
        </w:tc>
      </w:tr>
      <w:tr w:rsidR="00C57EE9" w14:paraId="0B764189" w14:textId="77777777" w:rsidTr="00D87D5C">
        <w:tc>
          <w:tcPr>
            <w:tcW w:w="3256" w:type="dxa"/>
          </w:tcPr>
          <w:p w14:paraId="6FC037CF" w14:textId="77777777" w:rsidR="00C57EE9" w:rsidRDefault="00C57EE9" w:rsidP="00D87D5C">
            <w:pPr>
              <w:rPr>
                <w:rFonts w:cs="Arial"/>
              </w:rPr>
            </w:pPr>
            <w:r>
              <w:rPr>
                <w:rFonts w:cs="Arial"/>
              </w:rPr>
              <w:t>Clinical content last reviewed:</w:t>
            </w:r>
          </w:p>
        </w:tc>
        <w:tc>
          <w:tcPr>
            <w:tcW w:w="2305" w:type="dxa"/>
          </w:tcPr>
          <w:p w14:paraId="3C2A0127" w14:textId="77777777" w:rsidR="00C57EE9" w:rsidRDefault="00C57EE9" w:rsidP="00D87D5C">
            <w:pPr>
              <w:rPr>
                <w:rFonts w:cs="Arial"/>
              </w:rPr>
            </w:pPr>
            <w:r>
              <w:rPr>
                <w:rFonts w:cs="Arial"/>
              </w:rPr>
              <w:t>May 2024</w:t>
            </w:r>
          </w:p>
        </w:tc>
        <w:tc>
          <w:tcPr>
            <w:tcW w:w="2447" w:type="dxa"/>
          </w:tcPr>
          <w:p w14:paraId="327AFFDF" w14:textId="77777777" w:rsidR="00C57EE9" w:rsidRDefault="00C57EE9" w:rsidP="00D87D5C">
            <w:pPr>
              <w:rPr>
                <w:rFonts w:cs="Arial"/>
              </w:rPr>
            </w:pPr>
            <w:r>
              <w:rPr>
                <w:rFonts w:cs="Arial"/>
              </w:rPr>
              <w:t>Next review date:</w:t>
            </w:r>
          </w:p>
        </w:tc>
        <w:tc>
          <w:tcPr>
            <w:tcW w:w="2448" w:type="dxa"/>
          </w:tcPr>
          <w:p w14:paraId="33B6EB86" w14:textId="77777777" w:rsidR="00C57EE9" w:rsidRDefault="00C57EE9" w:rsidP="00D87D5C">
            <w:pPr>
              <w:rPr>
                <w:rFonts w:cs="Arial"/>
              </w:rPr>
            </w:pPr>
            <w:r>
              <w:rPr>
                <w:rFonts w:cs="Arial"/>
              </w:rPr>
              <w:t>May 2026</w:t>
            </w:r>
          </w:p>
        </w:tc>
      </w:tr>
    </w:tbl>
    <w:p w14:paraId="52BCCDAE" w14:textId="77777777" w:rsidR="00C57EE9" w:rsidRDefault="00C57EE9" w:rsidP="00C57EE9">
      <w:pPr>
        <w:rPr>
          <w:rFonts w:cs="Arial"/>
        </w:rPr>
      </w:pPr>
    </w:p>
    <w:tbl>
      <w:tblPr>
        <w:tblStyle w:val="TableGrid"/>
        <w:tblW w:w="0" w:type="auto"/>
        <w:tblLook w:val="04A0" w:firstRow="1" w:lastRow="0" w:firstColumn="1" w:lastColumn="0" w:noHBand="0" w:noVBand="1"/>
      </w:tblPr>
      <w:tblGrid>
        <w:gridCol w:w="1413"/>
        <w:gridCol w:w="1843"/>
        <w:gridCol w:w="7200"/>
      </w:tblGrid>
      <w:tr w:rsidR="00C57EE9" w:rsidRPr="00812579" w14:paraId="104B941B" w14:textId="77777777" w:rsidTr="00D87D5C">
        <w:tc>
          <w:tcPr>
            <w:tcW w:w="1413" w:type="dxa"/>
          </w:tcPr>
          <w:p w14:paraId="302B6CCB" w14:textId="77777777" w:rsidR="00C57EE9" w:rsidRPr="00812579" w:rsidRDefault="00C57EE9" w:rsidP="00D87D5C">
            <w:pPr>
              <w:rPr>
                <w:rFonts w:cs="Arial"/>
                <w:b/>
                <w:bCs/>
              </w:rPr>
            </w:pPr>
            <w:r w:rsidRPr="00812579">
              <w:rPr>
                <w:rFonts w:cs="Arial"/>
                <w:b/>
                <w:bCs/>
              </w:rPr>
              <w:t>Version</w:t>
            </w:r>
          </w:p>
        </w:tc>
        <w:tc>
          <w:tcPr>
            <w:tcW w:w="1843" w:type="dxa"/>
          </w:tcPr>
          <w:p w14:paraId="0CF986C2" w14:textId="77777777" w:rsidR="00C57EE9" w:rsidRPr="00812579" w:rsidRDefault="00C57EE9" w:rsidP="00D87D5C">
            <w:pPr>
              <w:rPr>
                <w:rFonts w:cs="Arial"/>
                <w:b/>
                <w:bCs/>
              </w:rPr>
            </w:pPr>
            <w:r w:rsidRPr="00812579">
              <w:rPr>
                <w:rFonts w:cs="Arial"/>
                <w:b/>
                <w:bCs/>
              </w:rPr>
              <w:t>Date published</w:t>
            </w:r>
          </w:p>
        </w:tc>
        <w:tc>
          <w:tcPr>
            <w:tcW w:w="7200" w:type="dxa"/>
          </w:tcPr>
          <w:p w14:paraId="5BB3803D" w14:textId="77777777" w:rsidR="00C57EE9" w:rsidRPr="00812579" w:rsidRDefault="00C57EE9" w:rsidP="00D87D5C">
            <w:pPr>
              <w:rPr>
                <w:rFonts w:cs="Arial"/>
                <w:b/>
                <w:bCs/>
              </w:rPr>
            </w:pPr>
            <w:r w:rsidRPr="00812579">
              <w:rPr>
                <w:rFonts w:cs="Arial"/>
                <w:b/>
                <w:bCs/>
              </w:rPr>
              <w:t>Changes</w:t>
            </w:r>
            <w:r>
              <w:rPr>
                <w:rFonts w:cs="Arial"/>
                <w:b/>
                <w:bCs/>
              </w:rPr>
              <w:t xml:space="preserve"> since previous version</w:t>
            </w:r>
          </w:p>
        </w:tc>
      </w:tr>
      <w:tr w:rsidR="00C57EE9" w14:paraId="31005AA1" w14:textId="77777777" w:rsidTr="00D87D5C">
        <w:tc>
          <w:tcPr>
            <w:tcW w:w="1413" w:type="dxa"/>
          </w:tcPr>
          <w:p w14:paraId="3E7D9185" w14:textId="77777777" w:rsidR="00C57EE9" w:rsidRDefault="00C57EE9" w:rsidP="00D87D5C">
            <w:pPr>
              <w:rPr>
                <w:rFonts w:cs="Arial"/>
              </w:rPr>
            </w:pPr>
            <w:r>
              <w:rPr>
                <w:rFonts w:cs="Arial"/>
              </w:rPr>
              <w:t>RDTC v1.0</w:t>
            </w:r>
          </w:p>
        </w:tc>
        <w:tc>
          <w:tcPr>
            <w:tcW w:w="1843" w:type="dxa"/>
          </w:tcPr>
          <w:p w14:paraId="7244809E" w14:textId="77777777" w:rsidR="00C57EE9" w:rsidRDefault="00C57EE9" w:rsidP="00D87D5C">
            <w:pPr>
              <w:rPr>
                <w:rFonts w:cs="Arial"/>
              </w:rPr>
            </w:pPr>
            <w:r>
              <w:rPr>
                <w:rFonts w:cs="Arial"/>
              </w:rPr>
              <w:t>29</w:t>
            </w:r>
            <w:r w:rsidRPr="00C36276">
              <w:rPr>
                <w:rFonts w:cs="Arial"/>
                <w:vertAlign w:val="superscript"/>
              </w:rPr>
              <w:t>th</w:t>
            </w:r>
            <w:r>
              <w:rPr>
                <w:rFonts w:cs="Arial"/>
              </w:rPr>
              <w:t xml:space="preserve"> May 2024</w:t>
            </w:r>
          </w:p>
        </w:tc>
        <w:tc>
          <w:tcPr>
            <w:tcW w:w="7200" w:type="dxa"/>
          </w:tcPr>
          <w:p w14:paraId="49071D6A" w14:textId="77777777" w:rsidR="00C57EE9" w:rsidRPr="007A56FB" w:rsidRDefault="00C57EE9" w:rsidP="00D87D5C">
            <w:pPr>
              <w:rPr>
                <w:rFonts w:cs="Arial"/>
              </w:rPr>
            </w:pPr>
            <w:r>
              <w:rPr>
                <w:rFonts w:cs="Arial"/>
              </w:rPr>
              <w:t>Additional dosing information from SPC, updated advice on use in pregnancy in line with UKTIS, hyperlinks and references updated to current versions, minor content clarifications, and alignment of content with dexamfetamine, and other ADHD SCPs.</w:t>
            </w:r>
          </w:p>
        </w:tc>
      </w:tr>
      <w:tr w:rsidR="00C57EE9" w14:paraId="47858806" w14:textId="77777777" w:rsidTr="00D87D5C">
        <w:tc>
          <w:tcPr>
            <w:tcW w:w="1413" w:type="dxa"/>
          </w:tcPr>
          <w:p w14:paraId="75A19446" w14:textId="5D91DB36" w:rsidR="00C57EE9" w:rsidRDefault="009A3F9F" w:rsidP="00D87D5C">
            <w:pPr>
              <w:rPr>
                <w:rFonts w:cs="Arial"/>
              </w:rPr>
            </w:pPr>
            <w:r>
              <w:rPr>
                <w:rFonts w:cs="Arial"/>
              </w:rPr>
              <w:t>HNY v1.1</w:t>
            </w:r>
          </w:p>
        </w:tc>
        <w:tc>
          <w:tcPr>
            <w:tcW w:w="1843" w:type="dxa"/>
          </w:tcPr>
          <w:p w14:paraId="52C22DB3" w14:textId="2ABB547F" w:rsidR="00C57EE9" w:rsidRDefault="009A3F9F" w:rsidP="00D87D5C">
            <w:pPr>
              <w:rPr>
                <w:rFonts w:cs="Arial"/>
              </w:rPr>
            </w:pPr>
            <w:r>
              <w:rPr>
                <w:rFonts w:cs="Arial"/>
              </w:rPr>
              <w:t>28</w:t>
            </w:r>
            <w:r w:rsidRPr="009A3F9F">
              <w:rPr>
                <w:rFonts w:cs="Arial"/>
                <w:vertAlign w:val="superscript"/>
              </w:rPr>
              <w:t>th</w:t>
            </w:r>
            <w:r>
              <w:rPr>
                <w:rFonts w:cs="Arial"/>
              </w:rPr>
              <w:t xml:space="preserve"> April 2025</w:t>
            </w:r>
          </w:p>
        </w:tc>
        <w:tc>
          <w:tcPr>
            <w:tcW w:w="7200" w:type="dxa"/>
          </w:tcPr>
          <w:p w14:paraId="200C616F" w14:textId="77777777" w:rsidR="009A3F9F" w:rsidRPr="009A3F9F" w:rsidRDefault="009A3F9F" w:rsidP="009A3F9F">
            <w:pPr>
              <w:rPr>
                <w:rFonts w:cs="Arial"/>
              </w:rPr>
            </w:pPr>
            <w:r w:rsidRPr="009A3F9F">
              <w:rPr>
                <w:rFonts w:cs="Arial"/>
              </w:rPr>
              <w:t>The RDTC version has been adjusted to include children as well as adults within the same document.</w:t>
            </w:r>
          </w:p>
          <w:p w14:paraId="16029041" w14:textId="77777777" w:rsidR="009A3F9F" w:rsidRPr="009A3F9F" w:rsidRDefault="009A3F9F" w:rsidP="009A3F9F">
            <w:pPr>
              <w:rPr>
                <w:rFonts w:cs="Arial"/>
              </w:rPr>
            </w:pPr>
            <w:r w:rsidRPr="009A3F9F">
              <w:rPr>
                <w:rFonts w:cs="Arial"/>
              </w:rPr>
              <w:t>Section 1: Include reference to children as well.</w:t>
            </w:r>
          </w:p>
          <w:p w14:paraId="3844E863" w14:textId="77777777" w:rsidR="00C57EE9" w:rsidRDefault="009A3F9F" w:rsidP="009A3F9F">
            <w:pPr>
              <w:rPr>
                <w:rFonts w:cs="Arial"/>
              </w:rPr>
            </w:pPr>
            <w:r w:rsidRPr="009A3F9F">
              <w:rPr>
                <w:rFonts w:cs="Arial"/>
              </w:rPr>
              <w:t>Section 2: Added in children for the ADHD indication.</w:t>
            </w:r>
          </w:p>
          <w:p w14:paraId="7328B657" w14:textId="77777777" w:rsidR="009A3F9F" w:rsidRDefault="009A3F9F" w:rsidP="009A3F9F">
            <w:pPr>
              <w:rPr>
                <w:rFonts w:cs="Arial"/>
              </w:rPr>
            </w:pPr>
            <w:r>
              <w:rPr>
                <w:rFonts w:cs="Arial"/>
              </w:rPr>
              <w:t xml:space="preserve">Section 3: </w:t>
            </w:r>
            <w:r w:rsidRPr="009A3F9F">
              <w:rPr>
                <w:rFonts w:cs="Arial"/>
              </w:rPr>
              <w:t>For the treatment of ADHD in patients from the age of 6 years</w:t>
            </w:r>
          </w:p>
          <w:p w14:paraId="72960BDF" w14:textId="77777777" w:rsidR="009A3F9F" w:rsidRDefault="009A3F9F" w:rsidP="009A3F9F">
            <w:pPr>
              <w:rPr>
                <w:rFonts w:cs="Arial"/>
              </w:rPr>
            </w:pPr>
            <w:r w:rsidRPr="009A3F9F">
              <w:rPr>
                <w:rFonts w:cs="Arial"/>
              </w:rPr>
              <w:t>Section 4: State that prescribing and monitoring should be transferred after at least 12 weeks</w:t>
            </w:r>
          </w:p>
          <w:p w14:paraId="64C92EF7" w14:textId="5FF02314" w:rsidR="009A3F9F" w:rsidRDefault="009A3F9F" w:rsidP="009A3F9F">
            <w:pPr>
              <w:rPr>
                <w:rFonts w:cs="Arial"/>
              </w:rPr>
            </w:pPr>
            <w:r>
              <w:rPr>
                <w:rFonts w:cs="Arial"/>
              </w:rPr>
              <w:t>Initial stabilisation</w:t>
            </w:r>
          </w:p>
          <w:p w14:paraId="14D2C096" w14:textId="77777777" w:rsidR="009A3F9F" w:rsidRDefault="009A3F9F" w:rsidP="009A3F9F">
            <w:pPr>
              <w:rPr>
                <w:rFonts w:cs="Arial"/>
              </w:rPr>
            </w:pPr>
            <w:r w:rsidRPr="009A3F9F">
              <w:rPr>
                <w:rFonts w:cs="Arial"/>
              </w:rPr>
              <w:t>For all patients, whether starting treatment for ADHD or switching from another medication, the starting dose is</w:t>
            </w:r>
          </w:p>
          <w:p w14:paraId="16A49CEA" w14:textId="77777777" w:rsidR="009A3F9F" w:rsidRDefault="009A3F9F" w:rsidP="009A3F9F">
            <w:pPr>
              <w:rPr>
                <w:rFonts w:cs="Arial"/>
              </w:rPr>
            </w:pPr>
          </w:p>
          <w:p w14:paraId="1A26C325" w14:textId="4A22AF6D" w:rsidR="00240B4E" w:rsidRDefault="00240B4E" w:rsidP="009A3F9F">
            <w:pPr>
              <w:rPr>
                <w:rFonts w:cs="Arial"/>
              </w:rPr>
            </w:pPr>
            <w:r>
              <w:rPr>
                <w:rFonts w:cs="Arial"/>
              </w:rPr>
              <w:t>Section 5: baseline investigations</w:t>
            </w:r>
          </w:p>
          <w:p w14:paraId="1F47A629" w14:textId="77777777" w:rsidR="00240B4E" w:rsidRPr="008F5DF3" w:rsidDel="00DC43BD" w:rsidRDefault="00240B4E" w:rsidP="00240B4E">
            <w:pPr>
              <w:numPr>
                <w:ilvl w:val="0"/>
                <w:numId w:val="4"/>
              </w:numPr>
              <w:spacing w:line="259" w:lineRule="auto"/>
              <w:rPr>
                <w:del w:id="2" w:author="HAIDER, Maymouna (TEES, ESK AND WEAR VALLEYS NHS FOUNDATION TRUST)" w:date="2024-11-15T11:40:00Z"/>
                <w:color w:val="0070C0"/>
              </w:rPr>
            </w:pPr>
            <w:r w:rsidRPr="003C26FF">
              <w:t xml:space="preserve">Blood pressure (BP) and heart </w:t>
            </w:r>
            <w:r w:rsidRPr="008F5DF3">
              <w:t>rate</w:t>
            </w:r>
            <w:r w:rsidRPr="008F5DF3">
              <w:rPr>
                <w:color w:val="0070C0"/>
              </w:rPr>
              <w:t xml:space="preserve"> – recorded on centile chart (not applicable in patients &gt; 18 years)</w:t>
            </w:r>
          </w:p>
          <w:p w14:paraId="1ABE397B" w14:textId="77777777" w:rsidR="00240B4E" w:rsidRPr="00240B4E" w:rsidRDefault="00240B4E" w:rsidP="00240B4E">
            <w:pPr>
              <w:numPr>
                <w:ilvl w:val="0"/>
                <w:numId w:val="4"/>
              </w:numPr>
              <w:rPr>
                <w:color w:val="0070C0"/>
              </w:rPr>
            </w:pPr>
            <w:r w:rsidRPr="003C26FF">
              <w:t>Height</w:t>
            </w:r>
            <w:r>
              <w:t xml:space="preserve"> </w:t>
            </w:r>
            <w:r w:rsidRPr="008F5DF3">
              <w:rPr>
                <w:color w:val="0070C0"/>
              </w:rPr>
              <w:t>–</w:t>
            </w:r>
            <w:r>
              <w:rPr>
                <w:color w:val="0070C0"/>
              </w:rPr>
              <w:t>re</w:t>
            </w:r>
            <w:r w:rsidRPr="008F5DF3">
              <w:rPr>
                <w:color w:val="0070C0"/>
              </w:rPr>
              <w:t>corded on centile chart (not applicable in patients &gt; 18 years)</w:t>
            </w:r>
          </w:p>
          <w:p w14:paraId="0EAFDB35" w14:textId="77777777" w:rsidR="00240B4E" w:rsidRPr="008F5DF3" w:rsidRDefault="00240B4E" w:rsidP="00240B4E">
            <w:pPr>
              <w:numPr>
                <w:ilvl w:val="0"/>
                <w:numId w:val="4"/>
              </w:numPr>
              <w:spacing w:line="259" w:lineRule="auto"/>
              <w:rPr>
                <w:color w:val="0070C0"/>
              </w:rPr>
            </w:pPr>
            <w:r>
              <w:t>W</w:t>
            </w:r>
            <w:r w:rsidRPr="003C26FF">
              <w:t>eight and body mass index (BMI)</w:t>
            </w:r>
            <w:r>
              <w:t xml:space="preserve"> </w:t>
            </w:r>
            <w:r w:rsidRPr="008F5DF3">
              <w:rPr>
                <w:color w:val="0070C0"/>
              </w:rPr>
              <w:t>– recorded on centile chart (not applicable in patients &gt; 18 years)</w:t>
            </w:r>
          </w:p>
          <w:p w14:paraId="3DC2A83B" w14:textId="77777777" w:rsidR="00240B4E" w:rsidRDefault="00240B4E" w:rsidP="009A3F9F">
            <w:pPr>
              <w:rPr>
                <w:rFonts w:cs="Arial"/>
              </w:rPr>
            </w:pPr>
          </w:p>
          <w:p w14:paraId="2AAFF968" w14:textId="6C92985F" w:rsidR="00240B4E" w:rsidRDefault="00240B4E" w:rsidP="009A3F9F">
            <w:pPr>
              <w:rPr>
                <w:rFonts w:cs="Arial"/>
              </w:rPr>
            </w:pPr>
            <w:r>
              <w:rPr>
                <w:rFonts w:cs="Arial"/>
              </w:rPr>
              <w:t>Initial monitoring</w:t>
            </w:r>
          </w:p>
          <w:p w14:paraId="5FF23714" w14:textId="77777777" w:rsidR="00240B4E" w:rsidRDefault="00240B4E" w:rsidP="00240B4E">
            <w:pPr>
              <w:numPr>
                <w:ilvl w:val="0"/>
                <w:numId w:val="4"/>
              </w:numPr>
            </w:pPr>
            <w:r w:rsidRPr="003C26FF">
              <w:t xml:space="preserve">Before every change of dose: assess heart rate, blood pressure, </w:t>
            </w:r>
            <w:r>
              <w:t xml:space="preserve">appetite </w:t>
            </w:r>
            <w:r w:rsidRPr="003C26FF">
              <w:t>and weight</w:t>
            </w:r>
            <w:ins w:id="3" w:author="Wood, Ria (Pharmacy)" w:date="2024-12-12T15:26:00Z">
              <w:r>
                <w:t>:</w:t>
              </w:r>
            </w:ins>
            <w:del w:id="4" w:author="Wood, Ria (Pharmacy)" w:date="2024-12-12T15:26:00Z">
              <w:r w:rsidRPr="003C26FF" w:rsidDel="0033569B">
                <w:delText>.</w:delText>
              </w:r>
            </w:del>
            <w:r w:rsidRPr="003C26FF">
              <w:t xml:space="preserve"> </w:t>
            </w:r>
          </w:p>
          <w:p w14:paraId="6A37F6DE" w14:textId="77777777" w:rsidR="00240B4E" w:rsidRPr="0014610E" w:rsidRDefault="00240B4E" w:rsidP="00240B4E">
            <w:pPr>
              <w:numPr>
                <w:ilvl w:val="0"/>
                <w:numId w:val="4"/>
              </w:numPr>
              <w:rPr>
                <w:color w:val="0070C0"/>
              </w:rPr>
            </w:pPr>
            <w:r w:rsidRPr="0014610E">
              <w:rPr>
                <w:color w:val="0070C0"/>
              </w:rPr>
              <w:t>Prior to there being a shared care agreement in place:</w:t>
            </w:r>
          </w:p>
          <w:p w14:paraId="0006A57A" w14:textId="77777777" w:rsidR="00240B4E" w:rsidRPr="00240B4E" w:rsidRDefault="00240B4E" w:rsidP="00240B4E">
            <w:pPr>
              <w:rPr>
                <w:color w:val="0070C0"/>
              </w:rPr>
            </w:pPr>
            <w:r w:rsidRPr="00240B4E">
              <w:rPr>
                <w:color w:val="0070C0"/>
              </w:rPr>
              <w:t xml:space="preserve">Height: </w:t>
            </w:r>
          </w:p>
          <w:p w14:paraId="1A06F258" w14:textId="77777777" w:rsidR="00240B4E" w:rsidRPr="0014610E" w:rsidRDefault="00240B4E" w:rsidP="00240B4E">
            <w:pPr>
              <w:numPr>
                <w:ilvl w:val="0"/>
                <w:numId w:val="4"/>
              </w:numPr>
              <w:rPr>
                <w:color w:val="0070C0"/>
              </w:rPr>
            </w:pPr>
            <w:r w:rsidRPr="0014610E">
              <w:rPr>
                <w:color w:val="0070C0"/>
              </w:rPr>
              <w:t>Children aged 6 to 17 years of age – 6-monthly</w:t>
            </w:r>
          </w:p>
          <w:p w14:paraId="178BD637" w14:textId="77777777" w:rsidR="00240B4E" w:rsidRPr="00240B4E" w:rsidRDefault="00240B4E" w:rsidP="00240B4E">
            <w:pPr>
              <w:rPr>
                <w:color w:val="0070C0"/>
              </w:rPr>
            </w:pPr>
            <w:r w:rsidRPr="00240B4E">
              <w:rPr>
                <w:color w:val="0070C0"/>
              </w:rPr>
              <w:t xml:space="preserve">Weight: </w:t>
            </w:r>
          </w:p>
          <w:p w14:paraId="6AA5BE9C" w14:textId="77777777" w:rsidR="00240B4E" w:rsidRPr="0014610E" w:rsidRDefault="00240B4E" w:rsidP="00240B4E">
            <w:pPr>
              <w:numPr>
                <w:ilvl w:val="0"/>
                <w:numId w:val="4"/>
              </w:numPr>
              <w:rPr>
                <w:color w:val="0070C0"/>
              </w:rPr>
            </w:pPr>
            <w:r w:rsidRPr="0014610E">
              <w:rPr>
                <w:color w:val="0070C0"/>
              </w:rPr>
              <w:t>Children aged 6 to 10 years of age – 3-monthly</w:t>
            </w:r>
          </w:p>
          <w:p w14:paraId="738E4B04" w14:textId="77777777" w:rsidR="00240B4E" w:rsidRPr="0014610E" w:rsidRDefault="00240B4E" w:rsidP="00240B4E">
            <w:pPr>
              <w:numPr>
                <w:ilvl w:val="0"/>
                <w:numId w:val="4"/>
              </w:numPr>
              <w:rPr>
                <w:color w:val="0070C0"/>
              </w:rPr>
            </w:pPr>
            <w:r w:rsidRPr="0014610E">
              <w:rPr>
                <w:color w:val="0070C0"/>
              </w:rPr>
              <w:t xml:space="preserve">Children aged 11 years of age – </w:t>
            </w:r>
            <w:r>
              <w:rPr>
                <w:color w:val="0070C0"/>
              </w:rPr>
              <w:t>at 3 months, 6 months, then 6-monthly thereafter</w:t>
            </w:r>
          </w:p>
          <w:p w14:paraId="34E0D91B" w14:textId="77777777" w:rsidR="00240B4E" w:rsidRPr="00BE5216" w:rsidRDefault="00240B4E" w:rsidP="00240B4E">
            <w:pPr>
              <w:numPr>
                <w:ilvl w:val="0"/>
                <w:numId w:val="4"/>
              </w:numPr>
              <w:rPr>
                <w:color w:val="0070C0"/>
              </w:rPr>
            </w:pPr>
            <w:r w:rsidRPr="0014610E">
              <w:rPr>
                <w:color w:val="0070C0"/>
              </w:rPr>
              <w:t>Adults: 6-monthly</w:t>
            </w:r>
          </w:p>
          <w:p w14:paraId="30F5B601" w14:textId="77777777" w:rsidR="00240B4E" w:rsidRPr="003C26FF" w:rsidRDefault="00240B4E" w:rsidP="00240B4E">
            <w:pPr>
              <w:ind w:left="360"/>
            </w:pPr>
          </w:p>
          <w:p w14:paraId="5D540BFE" w14:textId="77777777" w:rsidR="00240B4E" w:rsidRPr="003C26FF" w:rsidRDefault="00240B4E" w:rsidP="00240B4E">
            <w:pPr>
              <w:numPr>
                <w:ilvl w:val="0"/>
                <w:numId w:val="4"/>
              </w:numPr>
            </w:pPr>
            <w:r w:rsidRPr="003C26FF">
              <w:t>After every change of dose: assess heart rate and blood pressure, and any new or worsening psychiatric symptoms</w:t>
            </w:r>
            <w:r>
              <w:t>, including aggressive or hostile behaviour and tics</w:t>
            </w:r>
            <w:r w:rsidRPr="003C26FF">
              <w:t xml:space="preserve">. The specialist should determine the appropriate timing for this monitoring.  </w:t>
            </w:r>
            <w:r w:rsidRPr="004662D4">
              <w:rPr>
                <w:rFonts w:eastAsia="Times New Roman" w:cstheme="minorHAnsi"/>
                <w:iCs/>
                <w:color w:val="0070C0"/>
                <w:lang w:eastAsia="en-GB"/>
              </w:rPr>
              <w:t xml:space="preserve">For under 18s, </w:t>
            </w:r>
            <w:r w:rsidRPr="004662D4">
              <w:rPr>
                <w:rFonts w:eastAsia="Times New Roman" w:cstheme="minorHAnsi"/>
                <w:iCs/>
                <w:color w:val="0070C0"/>
                <w:lang w:eastAsia="en-GB"/>
              </w:rPr>
              <w:lastRenderedPageBreak/>
              <w:t>record BP, height and weight on centile charts to detect clinically important changes.</w:t>
            </w:r>
          </w:p>
          <w:p w14:paraId="5F7D2B47" w14:textId="77777777" w:rsidR="00240B4E" w:rsidRDefault="00240B4E" w:rsidP="009A3F9F">
            <w:pPr>
              <w:rPr>
                <w:rFonts w:cs="Arial"/>
              </w:rPr>
            </w:pPr>
          </w:p>
          <w:p w14:paraId="2EFF99FE" w14:textId="4907FA36" w:rsidR="00240B4E" w:rsidRDefault="00240B4E" w:rsidP="009A3F9F">
            <w:pPr>
              <w:rPr>
                <w:rFonts w:cs="Arial"/>
              </w:rPr>
            </w:pPr>
            <w:r>
              <w:rPr>
                <w:rFonts w:cs="Arial"/>
              </w:rPr>
              <w:t>Ongoing monitoring</w:t>
            </w:r>
          </w:p>
          <w:p w14:paraId="5216D1B1" w14:textId="77777777" w:rsidR="00240B4E" w:rsidRDefault="00240B4E" w:rsidP="00240B4E">
            <w:pPr>
              <w:tabs>
                <w:tab w:val="right" w:pos="2500"/>
                <w:tab w:val="left" w:pos="2600"/>
              </w:tabs>
              <w:rPr>
                <w:rFonts w:cs="Arial"/>
                <w:sz w:val="20"/>
                <w:szCs w:val="20"/>
              </w:rPr>
            </w:pPr>
            <w:r w:rsidRPr="003C26FF">
              <w:rPr>
                <w:rFonts w:cs="Arial"/>
              </w:rPr>
              <w:t xml:space="preserve">Ensure the patient receives a review at least annually with a healthcare professional with training and expertise in managing ADHD. </w:t>
            </w:r>
            <w:r w:rsidRPr="00233A3F">
              <w:rPr>
                <w:rFonts w:cs="Arial"/>
              </w:rPr>
              <w:t>This may be in primary or secondary care, depending on local arrangements, and</w:t>
            </w:r>
            <w:r w:rsidRPr="003C26FF">
              <w:rPr>
                <w:rFonts w:cs="Arial"/>
              </w:rPr>
              <w:t xml:space="preserve"> should include a review of ADHD medication, including patient preferences, benefits, adverse effects, and ongoing clinical need. Consider trial periods of stopping medication or reducing the dose when assessment of the overall balance of benefits and harms suggests this may be appropriate</w:t>
            </w:r>
            <w:r>
              <w:rPr>
                <w:rFonts w:cs="Arial"/>
              </w:rPr>
              <w:t xml:space="preserve"> </w:t>
            </w:r>
            <w:r w:rsidRPr="002107D4">
              <w:rPr>
                <w:rFonts w:cs="Arial"/>
                <w:color w:val="0070C0"/>
              </w:rPr>
              <w:t>(preferably during school holidays, for those still in education)</w:t>
            </w:r>
            <w:r w:rsidRPr="002107D4">
              <w:rPr>
                <w:rFonts w:cs="Arial"/>
              </w:rPr>
              <w:t xml:space="preserve">. If continuing medication, document the reasons why. </w:t>
            </w:r>
            <w:r w:rsidRPr="002107D4">
              <w:rPr>
                <w:rFonts w:cs="Arial"/>
                <w:color w:val="0070C0"/>
              </w:rPr>
              <w:t>If still on treatment at school-leaving age, determine if treatment needs to be continued and, if it does, arrange for transition to adult services by 18 years of age.</w:t>
            </w:r>
          </w:p>
          <w:p w14:paraId="6F31FF21" w14:textId="77777777" w:rsidR="00240B4E" w:rsidRDefault="00240B4E" w:rsidP="009A3F9F">
            <w:pPr>
              <w:rPr>
                <w:rFonts w:cs="Arial"/>
              </w:rPr>
            </w:pPr>
          </w:p>
          <w:p w14:paraId="49060889" w14:textId="77777777" w:rsidR="00240B4E" w:rsidRDefault="00240B4E" w:rsidP="009A3F9F">
            <w:pPr>
              <w:rPr>
                <w:rFonts w:cs="Arial"/>
              </w:rPr>
            </w:pPr>
            <w:r>
              <w:rPr>
                <w:rFonts w:cs="Arial"/>
              </w:rPr>
              <w:t>Section 6</w:t>
            </w:r>
          </w:p>
          <w:p w14:paraId="1DE49C77" w14:textId="77777777" w:rsidR="00240B4E" w:rsidRPr="00240B4E" w:rsidRDefault="00240B4E" w:rsidP="009A3F9F">
            <w:pPr>
              <w:rPr>
                <w:rFonts w:cs="Arial"/>
                <w:color w:val="4472C4" w:themeColor="accent1"/>
              </w:rPr>
            </w:pPr>
            <w:r>
              <w:rPr>
                <w:rFonts w:cs="Arial"/>
              </w:rPr>
              <w:t xml:space="preserve">BP/ HR: </w:t>
            </w:r>
            <w:r w:rsidRPr="00240B4E">
              <w:rPr>
                <w:rFonts w:cs="Arial"/>
                <w:color w:val="4472C4" w:themeColor="accent1"/>
              </w:rPr>
              <w:t>For under 18s, record BP, height and weight on centile charts to detect clinically important changes.</w:t>
            </w:r>
          </w:p>
          <w:p w14:paraId="2295445B" w14:textId="77777777" w:rsidR="00240B4E" w:rsidRDefault="00240B4E" w:rsidP="009A3F9F">
            <w:pPr>
              <w:rPr>
                <w:rFonts w:cs="Arial"/>
              </w:rPr>
            </w:pPr>
          </w:p>
          <w:p w14:paraId="76A02581" w14:textId="77777777" w:rsidR="00240B4E" w:rsidRDefault="00240B4E" w:rsidP="00240B4E">
            <w:pPr>
              <w:rPr>
                <w:rFonts w:cs="Arial"/>
              </w:rPr>
            </w:pPr>
            <w:r>
              <w:rPr>
                <w:rFonts w:cs="Arial"/>
              </w:rPr>
              <w:t xml:space="preserve">Weight/ appetite: </w:t>
            </w:r>
          </w:p>
          <w:p w14:paraId="7989C3D2" w14:textId="68FABFE2" w:rsidR="00240B4E" w:rsidRPr="00BE5216" w:rsidRDefault="00240B4E" w:rsidP="00240B4E">
            <w:pPr>
              <w:rPr>
                <w:rFonts w:eastAsia="Times New Roman" w:cs="Arial"/>
                <w:iCs/>
                <w:color w:val="0070C0"/>
                <w:lang w:eastAsia="en-GB"/>
              </w:rPr>
            </w:pPr>
            <w:r w:rsidRPr="00BE5216">
              <w:rPr>
                <w:rFonts w:eastAsia="Times New Roman" w:cs="Arial"/>
                <w:iCs/>
                <w:color w:val="0070C0"/>
                <w:lang w:eastAsia="en-GB"/>
              </w:rPr>
              <w:t xml:space="preserve">Children aged </w:t>
            </w:r>
            <w:r>
              <w:rPr>
                <w:rFonts w:eastAsia="Times New Roman" w:cs="Arial"/>
                <w:iCs/>
                <w:color w:val="0070C0"/>
                <w:lang w:eastAsia="en-GB"/>
              </w:rPr>
              <w:t>6 to 10 years of age - e</w:t>
            </w:r>
            <w:r w:rsidRPr="00BE5216">
              <w:rPr>
                <w:rFonts w:eastAsia="Times New Roman" w:cs="Arial"/>
                <w:iCs/>
                <w:color w:val="0070C0"/>
                <w:lang w:eastAsia="en-GB"/>
              </w:rPr>
              <w:t xml:space="preserve">very 3 months – record </w:t>
            </w:r>
            <w:r>
              <w:rPr>
                <w:rFonts w:eastAsia="Times New Roman" w:cs="Arial"/>
                <w:iCs/>
                <w:color w:val="0070C0"/>
                <w:lang w:eastAsia="en-GB"/>
              </w:rPr>
              <w:t xml:space="preserve">weight </w:t>
            </w:r>
            <w:r w:rsidRPr="00BE5216">
              <w:rPr>
                <w:rFonts w:eastAsia="Times New Roman" w:cs="Arial"/>
                <w:iCs/>
                <w:color w:val="0070C0"/>
                <w:lang w:eastAsia="en-GB"/>
              </w:rPr>
              <w:t>on a growth chart</w:t>
            </w:r>
          </w:p>
          <w:p w14:paraId="352A509E" w14:textId="77777777" w:rsidR="00240B4E" w:rsidRPr="0014610E" w:rsidRDefault="00240B4E" w:rsidP="00240B4E">
            <w:pPr>
              <w:rPr>
                <w:rFonts w:eastAsia="Times New Roman" w:cs="Arial"/>
                <w:iCs/>
                <w:color w:val="0070C0"/>
                <w:lang w:eastAsia="en-GB"/>
              </w:rPr>
            </w:pPr>
            <w:r w:rsidRPr="00BE5216">
              <w:rPr>
                <w:rFonts w:eastAsia="Times New Roman" w:cs="Arial"/>
                <w:iCs/>
                <w:color w:val="0070C0"/>
                <w:lang w:eastAsia="en-GB"/>
              </w:rPr>
              <w:t xml:space="preserve">Children aged 11 – 17: </w:t>
            </w:r>
            <w:r>
              <w:rPr>
                <w:rFonts w:eastAsia="Times New Roman" w:cs="Arial"/>
                <w:iCs/>
                <w:color w:val="0070C0"/>
                <w:lang w:eastAsia="en-GB"/>
              </w:rPr>
              <w:t>at 3 months, 6 months then e</w:t>
            </w:r>
            <w:r w:rsidRPr="0014610E">
              <w:rPr>
                <w:rFonts w:eastAsia="Times New Roman" w:cs="Arial"/>
                <w:iCs/>
                <w:color w:val="0070C0"/>
                <w:lang w:eastAsia="en-GB"/>
              </w:rPr>
              <w:t>very 6 months – record on growth chart</w:t>
            </w:r>
          </w:p>
          <w:p w14:paraId="336384A8" w14:textId="77777777" w:rsidR="00240B4E" w:rsidRDefault="00240B4E" w:rsidP="00240B4E">
            <w:pPr>
              <w:rPr>
                <w:rFonts w:eastAsia="Times New Roman" w:cs="Arial"/>
                <w:iCs/>
                <w:color w:val="0070C0"/>
                <w:lang w:eastAsia="en-GB"/>
              </w:rPr>
            </w:pPr>
            <w:r w:rsidRPr="0014610E">
              <w:rPr>
                <w:rFonts w:eastAsia="Times New Roman" w:cs="Arial"/>
                <w:iCs/>
                <w:color w:val="0070C0"/>
                <w:lang w:eastAsia="en-GB"/>
              </w:rPr>
              <w:t>Adults: very 6 months</w:t>
            </w:r>
          </w:p>
          <w:p w14:paraId="33900726" w14:textId="0BE4F0E9" w:rsidR="00240B4E" w:rsidRDefault="00240B4E" w:rsidP="009A3F9F">
            <w:pPr>
              <w:rPr>
                <w:rFonts w:cs="Arial"/>
              </w:rPr>
            </w:pPr>
          </w:p>
          <w:p w14:paraId="67612D3D" w14:textId="15961BBA" w:rsidR="00240B4E" w:rsidRDefault="00240B4E" w:rsidP="009A3F9F">
            <w:pPr>
              <w:rPr>
                <w:rFonts w:cs="Arial"/>
              </w:rPr>
            </w:pPr>
            <w:r>
              <w:rPr>
                <w:rFonts w:cs="Arial"/>
              </w:rPr>
              <w:t>Section 7</w:t>
            </w:r>
          </w:p>
          <w:p w14:paraId="6C5EEA60" w14:textId="021AA9F7" w:rsidR="00240B4E" w:rsidRPr="00240B4E" w:rsidRDefault="00240B4E" w:rsidP="009A3F9F">
            <w:pPr>
              <w:rPr>
                <w:rFonts w:cs="Arial"/>
                <w:color w:val="4472C4" w:themeColor="accent1"/>
              </w:rPr>
            </w:pPr>
            <w:r w:rsidRPr="00240B4E">
              <w:rPr>
                <w:rFonts w:cs="Arial"/>
                <w:color w:val="4472C4" w:themeColor="accent1"/>
              </w:rPr>
              <w:t>Take in the morning</w:t>
            </w:r>
          </w:p>
          <w:p w14:paraId="44611D90" w14:textId="213B2C70" w:rsidR="00240B4E" w:rsidRDefault="00240B4E" w:rsidP="009A3F9F">
            <w:pPr>
              <w:rPr>
                <w:rFonts w:cs="Arial"/>
                <w:color w:val="0070C0"/>
              </w:rPr>
            </w:pPr>
            <w:r w:rsidRPr="002107D4">
              <w:rPr>
                <w:rFonts w:cs="Arial"/>
                <w:color w:val="0070C0"/>
              </w:rPr>
              <w:t>(this does not affect the duration of action of each dose). The contents should be stirred until completely dispersed. The patient must consume the whole portion of food or drink immediately; it should not be stored. The active ingredient dissolves completely once dispersed; however, a film containing the inactive ingredients may remain in the glass or container once the mixture is consumed</w:t>
            </w:r>
          </w:p>
          <w:p w14:paraId="74E57E18" w14:textId="77777777" w:rsidR="00240B4E" w:rsidRDefault="00240B4E" w:rsidP="009A3F9F">
            <w:pPr>
              <w:rPr>
                <w:rFonts w:cs="Arial"/>
                <w:color w:val="0070C0"/>
              </w:rPr>
            </w:pPr>
          </w:p>
          <w:p w14:paraId="7F7F1622" w14:textId="6C02F27D" w:rsidR="00211F27" w:rsidRDefault="00211F27" w:rsidP="009A3F9F">
            <w:pPr>
              <w:rPr>
                <w:rFonts w:cs="Arial"/>
                <w:color w:val="0070C0"/>
              </w:rPr>
            </w:pPr>
            <w:r w:rsidRPr="00211F27">
              <w:rPr>
                <w:rFonts w:cs="Arial"/>
              </w:rPr>
              <w:t>Section 13</w:t>
            </w:r>
            <w:r>
              <w:rPr>
                <w:rFonts w:cs="Arial"/>
                <w:color w:val="0070C0"/>
              </w:rPr>
              <w:t xml:space="preserve">: </w:t>
            </w:r>
            <w:r w:rsidRPr="00211F27">
              <w:rPr>
                <w:rFonts w:cs="Arial"/>
                <w:color w:val="0070C0"/>
              </w:rPr>
              <w:t>Details for contacting specialist must be included on clinic letter.</w:t>
            </w:r>
          </w:p>
          <w:p w14:paraId="1BCCFA36" w14:textId="77777777" w:rsidR="00240B4E" w:rsidRDefault="00240B4E" w:rsidP="009A3F9F">
            <w:pPr>
              <w:rPr>
                <w:rFonts w:cs="Arial"/>
              </w:rPr>
            </w:pPr>
          </w:p>
          <w:p w14:paraId="7E6017FF" w14:textId="64CD3D73" w:rsidR="00240B4E" w:rsidRDefault="00240B4E" w:rsidP="009A3F9F">
            <w:pPr>
              <w:rPr>
                <w:rFonts w:cs="Arial"/>
              </w:rPr>
            </w:pPr>
          </w:p>
        </w:tc>
      </w:tr>
    </w:tbl>
    <w:p w14:paraId="68C027B8" w14:textId="77777777" w:rsidR="00C57EE9" w:rsidRDefault="00C57EE9" w:rsidP="00C57EE9">
      <w:pPr>
        <w:rPr>
          <w:rFonts w:cs="Arial"/>
        </w:rPr>
      </w:pPr>
    </w:p>
    <w:p w14:paraId="2EC09A02" w14:textId="77777777" w:rsidR="00C57EE9" w:rsidRPr="007815A0" w:rsidRDefault="00C57EE9" w:rsidP="00C57EE9">
      <w:pPr>
        <w:rPr>
          <w:rFonts w:cs="Arial"/>
          <w:b/>
          <w:bCs/>
        </w:rPr>
      </w:pPr>
      <w:r w:rsidRPr="007815A0">
        <w:rPr>
          <w:rFonts w:cs="Arial"/>
          <w:b/>
          <w:bCs/>
        </w:rPr>
        <w:t>Local review and adoption</w:t>
      </w:r>
    </w:p>
    <w:tbl>
      <w:tblPr>
        <w:tblStyle w:val="TableGrid"/>
        <w:tblW w:w="0" w:type="auto"/>
        <w:tblLook w:val="04A0" w:firstRow="1" w:lastRow="0" w:firstColumn="1" w:lastColumn="0" w:noHBand="0" w:noVBand="1"/>
      </w:tblPr>
      <w:tblGrid>
        <w:gridCol w:w="4248"/>
        <w:gridCol w:w="4365"/>
      </w:tblGrid>
      <w:tr w:rsidR="00C57EE9" w:rsidRPr="00812579" w14:paraId="55EBA04E" w14:textId="77777777" w:rsidTr="00D87D5C">
        <w:tc>
          <w:tcPr>
            <w:tcW w:w="4248" w:type="dxa"/>
          </w:tcPr>
          <w:p w14:paraId="2DE1023D" w14:textId="77777777" w:rsidR="00C57EE9" w:rsidRPr="00812579" w:rsidRDefault="00C57EE9" w:rsidP="00D87D5C">
            <w:pPr>
              <w:rPr>
                <w:rFonts w:cs="Arial"/>
                <w:b/>
                <w:bCs/>
              </w:rPr>
            </w:pPr>
            <w:r>
              <w:rPr>
                <w:rFonts w:cs="Arial"/>
                <w:b/>
                <w:bCs/>
              </w:rPr>
              <w:t>Local approval</w:t>
            </w:r>
          </w:p>
        </w:tc>
        <w:tc>
          <w:tcPr>
            <w:tcW w:w="4365" w:type="dxa"/>
          </w:tcPr>
          <w:p w14:paraId="2C1FAAE3" w14:textId="77777777" w:rsidR="00C57EE9" w:rsidRPr="00812579" w:rsidRDefault="00C57EE9" w:rsidP="00D87D5C">
            <w:pPr>
              <w:rPr>
                <w:rFonts w:cs="Arial"/>
                <w:b/>
                <w:bCs/>
              </w:rPr>
            </w:pPr>
            <w:r>
              <w:rPr>
                <w:rFonts w:cs="Arial"/>
                <w:b/>
                <w:bCs/>
              </w:rPr>
              <w:t>Date</w:t>
            </w:r>
          </w:p>
        </w:tc>
      </w:tr>
      <w:tr w:rsidR="00C57EE9" w14:paraId="614E4D1F" w14:textId="77777777" w:rsidTr="00D87D5C">
        <w:tc>
          <w:tcPr>
            <w:tcW w:w="4248" w:type="dxa"/>
          </w:tcPr>
          <w:p w14:paraId="4B71A202" w14:textId="77777777" w:rsidR="00C57EE9" w:rsidRDefault="00C57EE9" w:rsidP="00D87D5C">
            <w:pPr>
              <w:rPr>
                <w:rFonts w:cs="Arial"/>
              </w:rPr>
            </w:pPr>
            <w:r>
              <w:rPr>
                <w:rFonts w:cs="Arial"/>
              </w:rPr>
              <w:t>Local content added</w:t>
            </w:r>
          </w:p>
        </w:tc>
        <w:tc>
          <w:tcPr>
            <w:tcW w:w="4365" w:type="dxa"/>
          </w:tcPr>
          <w:p w14:paraId="6161001D" w14:textId="77777777" w:rsidR="00C57EE9" w:rsidRDefault="00C57EE9" w:rsidP="00D87D5C">
            <w:pPr>
              <w:rPr>
                <w:rFonts w:cs="Arial"/>
              </w:rPr>
            </w:pPr>
          </w:p>
        </w:tc>
      </w:tr>
      <w:tr w:rsidR="00C57EE9" w14:paraId="729B0FDC" w14:textId="77777777" w:rsidTr="00D87D5C">
        <w:tc>
          <w:tcPr>
            <w:tcW w:w="4248" w:type="dxa"/>
          </w:tcPr>
          <w:p w14:paraId="13F19061" w14:textId="73E1E0AF" w:rsidR="00C57EE9" w:rsidRDefault="00C57EE9" w:rsidP="00D87D5C">
            <w:pPr>
              <w:rPr>
                <w:rFonts w:cs="Arial"/>
              </w:rPr>
            </w:pPr>
            <w:r>
              <w:rPr>
                <w:rFonts w:cs="Arial"/>
              </w:rPr>
              <w:t>Approved for use by</w:t>
            </w:r>
            <w:r w:rsidR="009A3F9F">
              <w:rPr>
                <w:rFonts w:cs="Arial"/>
              </w:rPr>
              <w:t xml:space="preserve"> HNY</w:t>
            </w:r>
            <w:r>
              <w:rPr>
                <w:rFonts w:cs="Arial"/>
              </w:rPr>
              <w:t xml:space="preserve"> ICB </w:t>
            </w:r>
          </w:p>
        </w:tc>
        <w:tc>
          <w:tcPr>
            <w:tcW w:w="4365" w:type="dxa"/>
          </w:tcPr>
          <w:p w14:paraId="353CA537" w14:textId="77777777" w:rsidR="00C57EE9" w:rsidRDefault="00C57EE9" w:rsidP="00D87D5C">
            <w:pPr>
              <w:rPr>
                <w:rFonts w:cs="Arial"/>
              </w:rPr>
            </w:pPr>
          </w:p>
        </w:tc>
      </w:tr>
      <w:tr w:rsidR="00C57EE9" w14:paraId="0533EAC4" w14:textId="77777777" w:rsidTr="00D87D5C">
        <w:tc>
          <w:tcPr>
            <w:tcW w:w="4248" w:type="dxa"/>
          </w:tcPr>
          <w:p w14:paraId="41BC65CE" w14:textId="77777777" w:rsidR="00C57EE9" w:rsidRDefault="00C57EE9" w:rsidP="00D87D5C">
            <w:pPr>
              <w:rPr>
                <w:rFonts w:cs="Arial"/>
              </w:rPr>
            </w:pPr>
          </w:p>
        </w:tc>
        <w:tc>
          <w:tcPr>
            <w:tcW w:w="4365" w:type="dxa"/>
          </w:tcPr>
          <w:p w14:paraId="739A657A" w14:textId="77777777" w:rsidR="00C57EE9" w:rsidRDefault="00C57EE9" w:rsidP="00D87D5C">
            <w:pPr>
              <w:rPr>
                <w:rFonts w:cs="Arial"/>
              </w:rPr>
            </w:pPr>
          </w:p>
        </w:tc>
      </w:tr>
    </w:tbl>
    <w:p w14:paraId="33C214FB" w14:textId="77777777" w:rsidR="00C57EE9" w:rsidRDefault="00C57EE9" w:rsidP="00C57EE9">
      <w:pPr>
        <w:rPr>
          <w:rFonts w:cs="Arial"/>
        </w:rPr>
      </w:pPr>
    </w:p>
    <w:p w14:paraId="37ABA85E" w14:textId="77777777" w:rsidR="00C57EE9" w:rsidRDefault="00C57EE9" w:rsidP="00C57EE9">
      <w:pPr>
        <w:rPr>
          <w:rFonts w:cs="Arial"/>
          <w:sz w:val="24"/>
          <w:szCs w:val="24"/>
        </w:rPr>
      </w:pPr>
      <w:r w:rsidRPr="005A633C">
        <w:rPr>
          <w:rFonts w:cs="Arial"/>
          <w:sz w:val="24"/>
          <w:szCs w:val="24"/>
        </w:rPr>
        <w:lastRenderedPageBreak/>
        <w:t>Clinical content has been reviewed and updated by the RDTC on the date indicated above.</w:t>
      </w:r>
      <w:r>
        <w:rPr>
          <w:rFonts w:cs="Arial"/>
          <w:sz w:val="24"/>
          <w:szCs w:val="24"/>
        </w:rPr>
        <w:t xml:space="preserve"> Every effort is made to keep the content up to date</w:t>
      </w:r>
      <w:r w:rsidRPr="005A633C">
        <w:rPr>
          <w:rFonts w:cs="Arial"/>
          <w:sz w:val="24"/>
          <w:szCs w:val="24"/>
        </w:rPr>
        <w:t xml:space="preserve">. </w:t>
      </w:r>
      <w:r>
        <w:rPr>
          <w:rFonts w:cs="Arial"/>
          <w:sz w:val="24"/>
          <w:szCs w:val="24"/>
        </w:rPr>
        <w:t xml:space="preserve">These templates are provided to the North West and North East and Yorkshire ICBs for localisation and approval through standard ICB processes. The most recent version is available on the RDTC website at </w:t>
      </w:r>
      <w:hyperlink r:id="rId11" w:history="1">
        <w:r w:rsidRPr="00CA7B09">
          <w:rPr>
            <w:rStyle w:val="Hyperlink"/>
            <w:rFonts w:cs="Arial"/>
            <w:sz w:val="24"/>
            <w:szCs w:val="24"/>
          </w:rPr>
          <w:t>https://rdtc.nhs.uk/prescribing-support-document/shared-care-protocol-lisdexamfetamine-in-adults/</w:t>
        </w:r>
      </w:hyperlink>
      <w:r>
        <w:rPr>
          <w:rFonts w:cs="Arial"/>
          <w:sz w:val="24"/>
          <w:szCs w:val="24"/>
        </w:rPr>
        <w:t xml:space="preserve">. </w:t>
      </w:r>
    </w:p>
    <w:p w14:paraId="4F66E70E" w14:textId="77777777" w:rsidR="00C57EE9" w:rsidRDefault="00C57EE9" w:rsidP="00C57EE9">
      <w:pPr>
        <w:rPr>
          <w:rFonts w:cs="Arial"/>
          <w:sz w:val="24"/>
          <w:szCs w:val="24"/>
        </w:rPr>
      </w:pPr>
    </w:p>
    <w:p w14:paraId="39BAD3CF" w14:textId="77777777" w:rsidR="00C57EE9" w:rsidRDefault="00C57EE9" w:rsidP="00C57EE9">
      <w:pPr>
        <w:rPr>
          <w:rFonts w:cs="Arial"/>
          <w:sz w:val="24"/>
          <w:szCs w:val="24"/>
        </w:rPr>
      </w:pPr>
      <w:r w:rsidRPr="005A633C">
        <w:rPr>
          <w:rFonts w:cs="Arial"/>
          <w:sz w:val="24"/>
          <w:szCs w:val="24"/>
        </w:rPr>
        <w:t xml:space="preserve">Information requiring local completion is highlighted. </w:t>
      </w:r>
    </w:p>
    <w:p w14:paraId="4F5C903A" w14:textId="77777777" w:rsidR="00C57EE9" w:rsidRDefault="00C57EE9" w:rsidP="00C57EE9">
      <w:pPr>
        <w:rPr>
          <w:rFonts w:cs="Arial"/>
          <w:sz w:val="24"/>
          <w:szCs w:val="24"/>
        </w:rPr>
      </w:pPr>
    </w:p>
    <w:p w14:paraId="2D15EDB8" w14:textId="77777777" w:rsidR="00C57EE9" w:rsidRDefault="00C57EE9" w:rsidP="00C57EE9">
      <w:pPr>
        <w:rPr>
          <w:rFonts w:cs="Arial"/>
          <w:sz w:val="24"/>
          <w:szCs w:val="24"/>
        </w:rPr>
      </w:pPr>
      <w:r w:rsidRPr="005A633C">
        <w:rPr>
          <w:rFonts w:cs="Arial"/>
          <w:sz w:val="24"/>
          <w:szCs w:val="24"/>
        </w:rPr>
        <w:t xml:space="preserve">This document is intended for use by </w:t>
      </w:r>
      <w:r>
        <w:rPr>
          <w:rFonts w:cs="Arial"/>
          <w:sz w:val="24"/>
          <w:szCs w:val="24"/>
        </w:rPr>
        <w:t>NHS</w:t>
      </w:r>
      <w:r w:rsidRPr="005A633C">
        <w:rPr>
          <w:rFonts w:cs="Arial"/>
          <w:sz w:val="24"/>
          <w:szCs w:val="24"/>
        </w:rPr>
        <w:t xml:space="preserve"> healthcare professionals and cannot be used for commercial or marketing purposes</w:t>
      </w:r>
      <w:r>
        <w:rPr>
          <w:rFonts w:cs="Arial"/>
          <w:sz w:val="24"/>
          <w:szCs w:val="24"/>
        </w:rPr>
        <w:t>.</w:t>
      </w:r>
    </w:p>
    <w:p w14:paraId="3D4D6DDB" w14:textId="77777777" w:rsidR="00C57EE9" w:rsidRDefault="00C57EE9" w:rsidP="00C57EE9">
      <w:pPr>
        <w:spacing w:before="0" w:after="160"/>
        <w:rPr>
          <w:rFonts w:cs="Arial"/>
          <w:sz w:val="24"/>
          <w:szCs w:val="24"/>
        </w:rPr>
      </w:pPr>
      <w:r>
        <w:rPr>
          <w:rFonts w:cs="Arial"/>
          <w:sz w:val="24"/>
          <w:szCs w:val="24"/>
        </w:rPr>
        <w:br w:type="page"/>
      </w:r>
    </w:p>
    <w:p w14:paraId="5E7C455F" w14:textId="77777777" w:rsidR="00C57EE9" w:rsidRPr="00812579" w:rsidRDefault="00C57EE9" w:rsidP="00C57EE9">
      <w:pPr>
        <w:rPr>
          <w:rFonts w:cs="Arial"/>
          <w:b/>
          <w:bCs/>
          <w:sz w:val="24"/>
          <w:szCs w:val="24"/>
        </w:rPr>
      </w:pPr>
      <w:r w:rsidRPr="00812579">
        <w:rPr>
          <w:rFonts w:cs="Arial"/>
          <w:b/>
          <w:bCs/>
          <w:sz w:val="24"/>
          <w:szCs w:val="24"/>
        </w:rPr>
        <w:lastRenderedPageBreak/>
        <w:t>Shared Care Protocol</w:t>
      </w:r>
    </w:p>
    <w:p w14:paraId="607E2D0B" w14:textId="30C00615" w:rsidR="00C57EE9" w:rsidRPr="00ED7968" w:rsidRDefault="00C57EE9" w:rsidP="00C57EE9">
      <w:pPr>
        <w:pStyle w:val="Heading2"/>
        <w:numPr>
          <w:ilvl w:val="0"/>
          <w:numId w:val="0"/>
        </w:numPr>
        <w:ind w:left="357" w:hanging="357"/>
        <w:rPr>
          <w:sz w:val="24"/>
          <w:szCs w:val="24"/>
        </w:rPr>
      </w:pPr>
      <w:r>
        <w:rPr>
          <w:sz w:val="24"/>
          <w:szCs w:val="24"/>
        </w:rPr>
        <w:t>Lisdexamfetamine</w:t>
      </w:r>
      <w:r w:rsidRPr="00ED7968">
        <w:rPr>
          <w:sz w:val="24"/>
          <w:szCs w:val="24"/>
        </w:rPr>
        <w:t xml:space="preserve"> for patients within </w:t>
      </w:r>
      <w:ins w:id="5" w:author="Wood, Ria (Pharmacy)" w:date="2024-12-19T15:45:00Z">
        <w:r w:rsidR="000418E3">
          <w:rPr>
            <w:sz w:val="24"/>
            <w:szCs w:val="24"/>
          </w:rPr>
          <w:t xml:space="preserve">children and </w:t>
        </w:r>
      </w:ins>
      <w:r w:rsidRPr="00ED7968">
        <w:rPr>
          <w:sz w:val="24"/>
          <w:szCs w:val="24"/>
        </w:rPr>
        <w:t>adult services</w:t>
      </w:r>
    </w:p>
    <w:tbl>
      <w:tblPr>
        <w:tblStyle w:val="TableGridLight1"/>
        <w:tblW w:w="0" w:type="auto"/>
        <w:tblInd w:w="-5" w:type="dxa"/>
        <w:tblCellMar>
          <w:top w:w="57" w:type="dxa"/>
          <w:bottom w:w="57" w:type="dxa"/>
        </w:tblCellMar>
        <w:tblLook w:val="0480" w:firstRow="0" w:lastRow="0" w:firstColumn="1" w:lastColumn="0" w:noHBand="0" w:noVBand="1"/>
      </w:tblPr>
      <w:tblGrid>
        <w:gridCol w:w="2199"/>
        <w:gridCol w:w="8262"/>
      </w:tblGrid>
      <w:tr w:rsidR="00C57EE9" w:rsidRPr="00F321FC" w14:paraId="4C090BC6" w14:textId="77777777" w:rsidTr="00D87D5C">
        <w:tc>
          <w:tcPr>
            <w:tcW w:w="2199" w:type="dxa"/>
            <w:tcBorders>
              <w:top w:val="single" w:sz="4" w:space="0" w:color="BFBFBF" w:themeColor="background1" w:themeShade="BF"/>
            </w:tcBorders>
          </w:tcPr>
          <w:p w14:paraId="6392EF89" w14:textId="77777777" w:rsidR="00C57EE9" w:rsidRPr="00F321FC" w:rsidRDefault="00C57EE9" w:rsidP="00D87D5C">
            <w:pPr>
              <w:pStyle w:val="Heading2"/>
              <w:outlineLvl w:val="1"/>
              <w:rPr>
                <w:rFonts w:cs="Arial"/>
              </w:rPr>
            </w:pPr>
            <w:bookmarkStart w:id="6" w:name="one_background"/>
            <w:bookmarkStart w:id="7" w:name="_Toc149231785"/>
            <w:r w:rsidRPr="00F321FC">
              <w:rPr>
                <w:rFonts w:cs="Arial"/>
              </w:rPr>
              <w:t>Background</w:t>
            </w:r>
            <w:bookmarkEnd w:id="6"/>
            <w:bookmarkEnd w:id="7"/>
          </w:p>
        </w:tc>
        <w:tc>
          <w:tcPr>
            <w:tcW w:w="8262" w:type="dxa"/>
            <w:tcBorders>
              <w:top w:val="single" w:sz="4" w:space="0" w:color="BFBFBF" w:themeColor="background1" w:themeShade="BF"/>
            </w:tcBorders>
          </w:tcPr>
          <w:p w14:paraId="16FC543B" w14:textId="62724A3E" w:rsidR="00C57EE9" w:rsidRPr="00026D2B" w:rsidRDefault="00C57EE9" w:rsidP="00D87D5C">
            <w:pPr>
              <w:rPr>
                <w:rFonts w:cs="Arial"/>
              </w:rPr>
            </w:pPr>
            <w:r w:rsidRPr="00026D2B">
              <w:rPr>
                <w:rFonts w:cs="Arial"/>
              </w:rPr>
              <w:t xml:space="preserve">Lisdexamfetamine dimesylate is metabolised following administration to dexamfetamine and therefore has the same sympathomimetic mechanism of action with central stimulant and anorectic activity. It may be offered </w:t>
            </w:r>
            <w:r>
              <w:rPr>
                <w:rFonts w:cs="Arial"/>
              </w:rPr>
              <w:t xml:space="preserve">as part of a comprehensive treatment programme </w:t>
            </w:r>
            <w:r w:rsidRPr="00026D2B">
              <w:rPr>
                <w:rFonts w:cs="Arial"/>
              </w:rPr>
              <w:t xml:space="preserve">as a first line pharmacological treatment option for </w:t>
            </w:r>
            <w:r w:rsidRPr="00432965">
              <w:rPr>
                <w:rFonts w:cs="Arial"/>
                <w:color w:val="0070C0"/>
              </w:rPr>
              <w:t xml:space="preserve">children and </w:t>
            </w:r>
            <w:r w:rsidRPr="00026D2B">
              <w:rPr>
                <w:rFonts w:cs="Arial"/>
              </w:rPr>
              <w:t xml:space="preserve">adults with </w:t>
            </w:r>
            <w:r>
              <w:rPr>
                <w:rFonts w:cs="Arial"/>
              </w:rPr>
              <w:t>attention deficit hyperactivity disorder (</w:t>
            </w:r>
            <w:r w:rsidRPr="00026D2B">
              <w:rPr>
                <w:rFonts w:cs="Arial"/>
              </w:rPr>
              <w:t>ADHD</w:t>
            </w:r>
            <w:r>
              <w:rPr>
                <w:rFonts w:cs="Arial"/>
              </w:rPr>
              <w:t>)</w:t>
            </w:r>
            <w:r w:rsidRPr="00026D2B">
              <w:rPr>
                <w:rFonts w:cs="Arial"/>
              </w:rPr>
              <w:t xml:space="preserve"> who have been appropriately diagnosed</w:t>
            </w:r>
            <w:r>
              <w:rPr>
                <w:rFonts w:cs="Arial"/>
              </w:rPr>
              <w:t xml:space="preserve">, or as an alternative treatment when the response to a 6-week trial of methylphenidate is considered clinically inadequate </w:t>
            </w:r>
            <w:r w:rsidRPr="00026D2B">
              <w:rPr>
                <w:rFonts w:cs="Arial"/>
              </w:rPr>
              <w:t xml:space="preserve"> (see NICE Guidance </w:t>
            </w:r>
            <w:hyperlink r:id="rId12" w:history="1">
              <w:r w:rsidRPr="00C008AF">
                <w:rPr>
                  <w:rStyle w:val="Hyperlink"/>
                  <w:rFonts w:cs="Arial"/>
                </w:rPr>
                <w:t>NG87</w:t>
              </w:r>
            </w:hyperlink>
            <w:r w:rsidRPr="00C008AF">
              <w:rPr>
                <w:rFonts w:cs="Arial"/>
              </w:rPr>
              <w:t xml:space="preserve"> </w:t>
            </w:r>
            <w:r>
              <w:rPr>
                <w:rFonts w:cs="Arial"/>
              </w:rPr>
              <w:t>ADHD</w:t>
            </w:r>
            <w:r w:rsidRPr="00C008AF">
              <w:rPr>
                <w:rFonts w:cs="Arial"/>
              </w:rPr>
              <w:t>: diagnosis and management</w:t>
            </w:r>
            <w:r w:rsidRPr="00026D2B">
              <w:rPr>
                <w:rFonts w:cs="Arial"/>
              </w:rPr>
              <w:t>). NICE recommends that people with ADHD have a comprehensive, holistic shared treatment plan that addresses psychological, behavioural</w:t>
            </w:r>
            <w:r>
              <w:rPr>
                <w:rFonts w:cs="Arial"/>
              </w:rPr>
              <w:t>,</w:t>
            </w:r>
            <w:r w:rsidRPr="00026D2B">
              <w:rPr>
                <w:rFonts w:cs="Arial"/>
              </w:rPr>
              <w:t xml:space="preserve"> and occupational or educational needs.</w:t>
            </w:r>
          </w:p>
          <w:p w14:paraId="69381FC4" w14:textId="77777777" w:rsidR="00C57EE9" w:rsidRPr="00026D2B" w:rsidRDefault="00C57EE9" w:rsidP="00D87D5C">
            <w:pPr>
              <w:rPr>
                <w:rFonts w:cs="Arial"/>
                <w:iCs/>
              </w:rPr>
            </w:pPr>
            <w:r w:rsidRPr="00026D2B">
              <w:rPr>
                <w:rFonts w:cs="Arial"/>
              </w:rPr>
              <w:t xml:space="preserve">Lisdexamfetamine is a schedule 2 controlled substance; all legal requirements for prescribing controlled drugs should be followed. See NICE Guidance </w:t>
            </w:r>
            <w:hyperlink r:id="rId13" w:history="1">
              <w:r w:rsidRPr="00C008AF">
                <w:rPr>
                  <w:rStyle w:val="Hyperlink"/>
                  <w:rFonts w:cs="Arial"/>
                </w:rPr>
                <w:t>NG46</w:t>
              </w:r>
            </w:hyperlink>
            <w:r w:rsidRPr="00C008AF">
              <w:rPr>
                <w:rFonts w:cs="Arial"/>
              </w:rPr>
              <w:t xml:space="preserve"> Controlled drugs: safe use and management</w:t>
            </w:r>
            <w:r w:rsidRPr="00026D2B">
              <w:rPr>
                <w:rFonts w:cs="Arial"/>
              </w:rPr>
              <w:t>.</w:t>
            </w:r>
          </w:p>
          <w:p w14:paraId="29279538" w14:textId="77777777" w:rsidR="00C57EE9" w:rsidRPr="00026D2B" w:rsidRDefault="00C57EE9" w:rsidP="00D87D5C">
            <w:pPr>
              <w:rPr>
                <w:rFonts w:cs="Arial"/>
              </w:rPr>
            </w:pPr>
            <w:r w:rsidRPr="00026D2B">
              <w:rPr>
                <w:rFonts w:cs="Arial"/>
              </w:rPr>
              <w:t>Where a person with ADHD is treated by a Child and Adolescent Mental Health Service (CAMHS) but is approaching their 18</w:t>
            </w:r>
            <w:r>
              <w:rPr>
                <w:rFonts w:cs="Arial"/>
              </w:rPr>
              <w:t>th</w:t>
            </w:r>
            <w:r w:rsidRPr="00026D2B">
              <w:rPr>
                <w:rFonts w:cs="Arial"/>
              </w:rPr>
              <w:t xml:space="preserve"> birthday, it is expected that CAMHS will refer to the appropriate adult service if need for ongoing treatment is anticipated. </w:t>
            </w:r>
            <w:r w:rsidRPr="004F0BDD">
              <w:rPr>
                <w:rFonts w:cs="Arial"/>
              </w:rPr>
              <w:t xml:space="preserve">NICE Guidance </w:t>
            </w:r>
            <w:hyperlink r:id="rId14" w:history="1">
              <w:r w:rsidRPr="004F0BDD">
                <w:rPr>
                  <w:rStyle w:val="Hyperlink"/>
                  <w:rFonts w:cs="Arial"/>
                </w:rPr>
                <w:t>NG43</w:t>
              </w:r>
            </w:hyperlink>
            <w:r w:rsidRPr="004F0BDD">
              <w:rPr>
                <w:rFonts w:cs="Arial"/>
              </w:rPr>
              <w:t xml:space="preserve"> Transition from children’s to adults’ services for young people using health or social care services should be followed.</w:t>
            </w:r>
          </w:p>
          <w:p w14:paraId="6E945836" w14:textId="77777777" w:rsidR="00C57EE9" w:rsidRPr="00B87200" w:rsidRDefault="00C57EE9" w:rsidP="00D87D5C">
            <w:pPr>
              <w:rPr>
                <w:rFonts w:cs="Arial"/>
              </w:rPr>
            </w:pPr>
            <w:r w:rsidRPr="00026D2B">
              <w:rPr>
                <w:rFonts w:cs="Arial"/>
              </w:rPr>
              <w:t>Pharmacological treatment of ADHD may be needed for extended periods. When lisdexamfetamine is used for extended periods (over 12 months) its usefulness should be re-evaluated at least yearly by a healthcare professional with expertise in ADHD, and consideration given to trial periods off medication to assess the patient's functioning without pharmacotherapy.</w:t>
            </w:r>
            <w:r>
              <w:rPr>
                <w:rFonts w:cs="Arial"/>
              </w:rPr>
              <w:t xml:space="preserve"> </w:t>
            </w:r>
          </w:p>
        </w:tc>
      </w:tr>
      <w:tr w:rsidR="00C57EE9" w:rsidRPr="00F321FC" w14:paraId="3D288CD7" w14:textId="77777777" w:rsidTr="00D87D5C">
        <w:tc>
          <w:tcPr>
            <w:tcW w:w="2199" w:type="dxa"/>
          </w:tcPr>
          <w:p w14:paraId="12158406" w14:textId="77777777" w:rsidR="00C57EE9" w:rsidRPr="00F321FC" w:rsidRDefault="00C57EE9" w:rsidP="00D87D5C">
            <w:pPr>
              <w:pStyle w:val="Heading2"/>
              <w:outlineLvl w:val="1"/>
              <w:rPr>
                <w:rFonts w:cs="Arial"/>
              </w:rPr>
            </w:pPr>
            <w:bookmarkStart w:id="8" w:name="two_indications"/>
            <w:bookmarkStart w:id="9" w:name="_Toc149231786"/>
            <w:r w:rsidRPr="00F321FC">
              <w:rPr>
                <w:rFonts w:cs="Arial"/>
              </w:rPr>
              <w:t xml:space="preserve">Licensed </w:t>
            </w:r>
            <w:r>
              <w:rPr>
                <w:rFonts w:cs="Arial"/>
              </w:rPr>
              <w:t xml:space="preserve">and agreed off-label </w:t>
            </w:r>
            <w:r w:rsidRPr="00F321FC">
              <w:rPr>
                <w:rFonts w:cs="Arial"/>
              </w:rPr>
              <w:t>indications</w:t>
            </w:r>
            <w:bookmarkEnd w:id="8"/>
            <w:bookmarkEnd w:id="9"/>
          </w:p>
        </w:tc>
        <w:tc>
          <w:tcPr>
            <w:tcW w:w="8262" w:type="dxa"/>
          </w:tcPr>
          <w:p w14:paraId="5E768C88" w14:textId="077336B9" w:rsidR="00C57EE9" w:rsidRPr="00026D2B" w:rsidRDefault="00C57EE9" w:rsidP="00D87D5C">
            <w:pPr>
              <w:rPr>
                <w:rFonts w:cs="Arial"/>
              </w:rPr>
            </w:pPr>
            <w:r>
              <w:rPr>
                <w:rFonts w:cs="Arial"/>
              </w:rPr>
              <w:t>A</w:t>
            </w:r>
            <w:r w:rsidRPr="00026D2B">
              <w:rPr>
                <w:rFonts w:cs="Arial"/>
              </w:rPr>
              <w:t xml:space="preserve">ttention deficit hyperactivity disorder (ADHD) in </w:t>
            </w:r>
            <w:ins w:id="10" w:author="HAIDER, Maymouna (TEES, ESK AND WEAR VALLEYS NHS FOUNDATION TRUST)" w:date="2024-11-15T10:15:00Z">
              <w:r>
                <w:rPr>
                  <w:rFonts w:cs="Arial"/>
                </w:rPr>
                <w:t xml:space="preserve">children and </w:t>
              </w:r>
            </w:ins>
            <w:r w:rsidRPr="00026D2B">
              <w:rPr>
                <w:rFonts w:cs="Arial"/>
              </w:rPr>
              <w:t>adults</w:t>
            </w:r>
            <w:r>
              <w:rPr>
                <w:rFonts w:cs="Arial"/>
              </w:rPr>
              <w:t xml:space="preserve">.  Lisdexamfetamine is </w:t>
            </w:r>
            <w:r w:rsidRPr="00432965">
              <w:rPr>
                <w:rFonts w:cs="Arial"/>
                <w:color w:val="0070C0"/>
              </w:rPr>
              <w:t xml:space="preserve">licensed </w:t>
            </w:r>
            <w:r w:rsidR="00432965" w:rsidRPr="00432965">
              <w:rPr>
                <w:rFonts w:cs="Arial"/>
                <w:color w:val="0070C0"/>
              </w:rPr>
              <w:t>in</w:t>
            </w:r>
            <w:r w:rsidRPr="00432965">
              <w:rPr>
                <w:rFonts w:cs="Arial"/>
                <w:color w:val="0070C0"/>
              </w:rPr>
              <w:t xml:space="preserve"> children </w:t>
            </w:r>
            <w:r w:rsidR="00432965" w:rsidRPr="00432965">
              <w:rPr>
                <w:rFonts w:cs="Arial"/>
                <w:color w:val="0070C0"/>
              </w:rPr>
              <w:t>aged</w:t>
            </w:r>
            <w:r w:rsidRPr="00432965">
              <w:rPr>
                <w:rFonts w:cs="Arial"/>
                <w:color w:val="0070C0"/>
              </w:rPr>
              <w:t xml:space="preserve"> 6 and over.</w:t>
            </w:r>
          </w:p>
          <w:p w14:paraId="04FA19A6" w14:textId="77777777" w:rsidR="00C57EE9" w:rsidRPr="00AF2590" w:rsidRDefault="00C57EE9" w:rsidP="00D87D5C">
            <w:pPr>
              <w:rPr>
                <w:rFonts w:cs="Arial"/>
              </w:rPr>
            </w:pPr>
          </w:p>
          <w:p w14:paraId="09B6996C" w14:textId="6BA83AD0" w:rsidR="00C57EE9" w:rsidRPr="007A56FB" w:rsidRDefault="00C57EE9" w:rsidP="00D87D5C">
            <w:pPr>
              <w:rPr>
                <w:rFonts w:cs="Arial"/>
              </w:rPr>
            </w:pPr>
            <w:r w:rsidRPr="00AF2590">
              <w:rPr>
                <w:rFonts w:cs="Arial"/>
              </w:rPr>
              <w:t>This shared care protocol applies to adults</w:t>
            </w:r>
            <w:r w:rsidR="006C0F36">
              <w:rPr>
                <w:rFonts w:cs="Arial"/>
              </w:rPr>
              <w:t xml:space="preserve"> </w:t>
            </w:r>
            <w:r w:rsidR="006C0F36" w:rsidRPr="006C0F36">
              <w:rPr>
                <w:rFonts w:cs="Arial"/>
                <w:color w:val="0070C0"/>
              </w:rPr>
              <w:t>and children aged 6 years and over.</w:t>
            </w:r>
          </w:p>
        </w:tc>
      </w:tr>
      <w:tr w:rsidR="00C57EE9" w:rsidRPr="00F321FC" w14:paraId="7A901B55" w14:textId="77777777" w:rsidTr="00D87D5C">
        <w:tc>
          <w:tcPr>
            <w:tcW w:w="2199" w:type="dxa"/>
          </w:tcPr>
          <w:p w14:paraId="57AFEE51" w14:textId="77777777" w:rsidR="00C57EE9" w:rsidRPr="00F321FC" w:rsidRDefault="00C57EE9" w:rsidP="00D87D5C">
            <w:pPr>
              <w:pStyle w:val="Heading2"/>
              <w:outlineLvl w:val="1"/>
              <w:rPr>
                <w:rFonts w:cs="Arial"/>
              </w:rPr>
            </w:pPr>
            <w:bookmarkStart w:id="11" w:name="three_local_indications"/>
            <w:bookmarkStart w:id="12" w:name="_Toc149231787"/>
            <w:r w:rsidRPr="00F321FC">
              <w:rPr>
                <w:rFonts w:cs="Arial"/>
              </w:rPr>
              <w:t xml:space="preserve">Locally agreed </w:t>
            </w:r>
            <w:r>
              <w:rPr>
                <w:rFonts w:cs="Arial"/>
              </w:rPr>
              <w:t>indications</w:t>
            </w:r>
            <w:bookmarkEnd w:id="11"/>
            <w:bookmarkEnd w:id="12"/>
          </w:p>
        </w:tc>
        <w:tc>
          <w:tcPr>
            <w:tcW w:w="8262" w:type="dxa"/>
          </w:tcPr>
          <w:p w14:paraId="13568DF1" w14:textId="6EAF370F" w:rsidR="00C57EE9" w:rsidRPr="008F5DF3" w:rsidRDefault="00230D3A" w:rsidP="00D87D5C">
            <w:pPr>
              <w:rPr>
                <w:rFonts w:cs="Arial"/>
              </w:rPr>
            </w:pPr>
            <w:r w:rsidRPr="008F5DF3">
              <w:rPr>
                <w:rFonts w:cs="Arial"/>
                <w:color w:val="0070C0"/>
              </w:rPr>
              <w:t xml:space="preserve">For the treatment of ADHD </w:t>
            </w:r>
            <w:r w:rsidR="00900703">
              <w:rPr>
                <w:rFonts w:cs="Arial"/>
                <w:color w:val="0070C0"/>
              </w:rPr>
              <w:t xml:space="preserve">in patients </w:t>
            </w:r>
            <w:r w:rsidRPr="008F5DF3">
              <w:rPr>
                <w:rFonts w:cs="Arial"/>
                <w:color w:val="0070C0"/>
              </w:rPr>
              <w:t>from the age of 6 years</w:t>
            </w:r>
          </w:p>
        </w:tc>
      </w:tr>
      <w:tr w:rsidR="00C57EE9" w:rsidRPr="00F321FC" w14:paraId="64B5B5B4" w14:textId="77777777" w:rsidTr="00D87D5C">
        <w:tc>
          <w:tcPr>
            <w:tcW w:w="2199" w:type="dxa"/>
          </w:tcPr>
          <w:p w14:paraId="05758258" w14:textId="77777777" w:rsidR="00C57EE9" w:rsidRPr="00F321FC" w:rsidRDefault="00C57EE9" w:rsidP="00D87D5C">
            <w:pPr>
              <w:pStyle w:val="Heading2"/>
              <w:outlineLvl w:val="1"/>
              <w:rPr>
                <w:rFonts w:cs="Arial"/>
              </w:rPr>
            </w:pPr>
            <w:bookmarkStart w:id="13" w:name="_Initiation_and_ongoing"/>
            <w:bookmarkStart w:id="14" w:name="four_dosing"/>
            <w:bookmarkStart w:id="15" w:name="_Toc149231788"/>
            <w:bookmarkEnd w:id="13"/>
            <w:r w:rsidRPr="00F321FC">
              <w:rPr>
                <w:rFonts w:cs="Arial"/>
              </w:rPr>
              <w:t>Initiation and ongoing dose regime</w:t>
            </w:r>
            <w:bookmarkEnd w:id="14"/>
            <w:bookmarkEnd w:id="15"/>
          </w:p>
        </w:tc>
        <w:tc>
          <w:tcPr>
            <w:tcW w:w="8262" w:type="dxa"/>
          </w:tcPr>
          <w:p w14:paraId="08162431" w14:textId="3CF675E9" w:rsidR="00C57EE9" w:rsidRPr="00FB404F" w:rsidRDefault="00C57EE9" w:rsidP="00D87D5C">
            <w:pPr>
              <w:rPr>
                <w:rFonts w:cs="Arial"/>
              </w:rPr>
            </w:pPr>
            <w:r w:rsidRPr="00FB404F">
              <w:rPr>
                <w:rFonts w:cs="Arial"/>
              </w:rPr>
              <w:t xml:space="preserve">Transfer of monitoring and prescribing to primary care is normally after at least </w:t>
            </w:r>
            <w:r w:rsidR="008F5DF3" w:rsidRPr="008F5DF3">
              <w:rPr>
                <w:rFonts w:cs="Arial"/>
                <w:color w:val="0070C0"/>
              </w:rPr>
              <w:t>12</w:t>
            </w:r>
            <w:r w:rsidRPr="00FB404F">
              <w:rPr>
                <w:rFonts w:cs="Arial"/>
                <w:highlight w:val="yellow"/>
              </w:rPr>
              <w:t xml:space="preserve"> </w:t>
            </w:r>
            <w:r w:rsidRPr="008F5DF3">
              <w:rPr>
                <w:rFonts w:cs="Arial"/>
              </w:rPr>
              <w:t>weeks</w:t>
            </w:r>
            <w:r w:rsidRPr="00FB404F">
              <w:rPr>
                <w:rFonts w:cs="Arial"/>
              </w:rPr>
              <w:t xml:space="preserve">, and when the patient’s dose has been optimised and with satisfactory investigation results for at least </w:t>
            </w:r>
            <w:r w:rsidR="008F5DF3" w:rsidRPr="008F5DF3">
              <w:rPr>
                <w:rFonts w:cs="Arial"/>
                <w:color w:val="0070C0"/>
              </w:rPr>
              <w:t>12</w:t>
            </w:r>
            <w:r w:rsidRPr="008F5DF3">
              <w:rPr>
                <w:rFonts w:cs="Arial"/>
                <w:color w:val="0070C0"/>
              </w:rPr>
              <w:t xml:space="preserve"> </w:t>
            </w:r>
            <w:r w:rsidRPr="008F5DF3">
              <w:rPr>
                <w:rFonts w:cs="Arial"/>
              </w:rPr>
              <w:t>weeks</w:t>
            </w:r>
            <w:r w:rsidRPr="00FB404F">
              <w:rPr>
                <w:rFonts w:cs="Arial"/>
              </w:rPr>
              <w:t>.</w:t>
            </w:r>
          </w:p>
          <w:p w14:paraId="54772472" w14:textId="77777777" w:rsidR="00C57EE9" w:rsidRPr="00FB404F" w:rsidRDefault="00C57EE9" w:rsidP="00D87D5C">
            <w:pPr>
              <w:rPr>
                <w:rFonts w:cs="Arial"/>
              </w:rPr>
            </w:pPr>
            <w:r w:rsidRPr="00FB404F">
              <w:rPr>
                <w:rFonts w:cs="Arial"/>
              </w:rPr>
              <w:t xml:space="preserve">The duration of treatment </w:t>
            </w:r>
            <w:r>
              <w:rPr>
                <w:rFonts w:cs="Arial"/>
              </w:rPr>
              <w:t>and</w:t>
            </w:r>
            <w:r w:rsidRPr="00FB404F">
              <w:rPr>
                <w:rFonts w:cs="Arial"/>
              </w:rPr>
              <w:t xml:space="preserve"> frequency of review will be determined by the specialist, based on clinical response and tolerability.</w:t>
            </w:r>
          </w:p>
          <w:p w14:paraId="79BE0F8A" w14:textId="77777777" w:rsidR="00C57EE9" w:rsidRPr="00FB404F" w:rsidRDefault="00C57EE9" w:rsidP="00D87D5C">
            <w:pPr>
              <w:rPr>
                <w:rFonts w:cs="Arial"/>
              </w:rPr>
            </w:pPr>
            <w:r w:rsidRPr="00FB404F">
              <w:rPr>
                <w:rFonts w:cs="Arial"/>
              </w:rPr>
              <w:t>All dose or formulation adjustments will be the responsibility of the specialist unless directions have been discussed and agreed with the primary care clinician.</w:t>
            </w:r>
          </w:p>
          <w:p w14:paraId="0B671114" w14:textId="77777777" w:rsidR="00C57EE9" w:rsidRPr="00FB404F" w:rsidRDefault="00C57EE9" w:rsidP="00D87D5C">
            <w:pPr>
              <w:rPr>
                <w:rFonts w:cs="Arial"/>
              </w:rPr>
            </w:pPr>
            <w:r w:rsidRPr="00FB404F">
              <w:rPr>
                <w:rFonts w:cs="Arial"/>
              </w:rPr>
              <w:t>Termination of treatment will be the responsibility of the specialist.</w:t>
            </w:r>
          </w:p>
          <w:p w14:paraId="0C06EE22" w14:textId="77777777" w:rsidR="00C57EE9" w:rsidRPr="00FB404F" w:rsidRDefault="00C57EE9" w:rsidP="00D87D5C">
            <w:pPr>
              <w:rPr>
                <w:rFonts w:cs="Arial"/>
              </w:rPr>
            </w:pPr>
          </w:p>
          <w:p w14:paraId="00EA34DE" w14:textId="77777777" w:rsidR="00C57EE9" w:rsidRPr="0051526F" w:rsidRDefault="00C57EE9" w:rsidP="00D87D5C">
            <w:pPr>
              <w:rPr>
                <w:b/>
                <w:bCs/>
                <w:u w:val="single"/>
              </w:rPr>
            </w:pPr>
            <w:r w:rsidRPr="0051526F">
              <w:rPr>
                <w:b/>
                <w:bCs/>
                <w:u w:val="single"/>
              </w:rPr>
              <w:t xml:space="preserve">Initial stabilisation: </w:t>
            </w:r>
          </w:p>
          <w:p w14:paraId="33FAEA10" w14:textId="668FCCC3" w:rsidR="00C57EE9" w:rsidRPr="00026D2B" w:rsidRDefault="00D92F1E" w:rsidP="00D87D5C">
            <w:pPr>
              <w:rPr>
                <w:rFonts w:cs="Arial"/>
                <w:bCs/>
              </w:rPr>
            </w:pPr>
            <w:r w:rsidRPr="008F5DF3">
              <w:rPr>
                <w:rFonts w:cs="Arial"/>
                <w:bCs/>
                <w:color w:val="0070C0"/>
              </w:rPr>
              <w:t xml:space="preserve">For all patients, whether starting treatment for ADHD or switching from another medication, the starting dose is </w:t>
            </w:r>
            <w:r w:rsidR="00C57EE9" w:rsidRPr="00026D2B">
              <w:rPr>
                <w:rFonts w:cs="Arial"/>
                <w:bCs/>
              </w:rPr>
              <w:t xml:space="preserve">30mg taken once daily in the morning, increased in increments of </w:t>
            </w:r>
            <w:r w:rsidR="00C57EE9">
              <w:rPr>
                <w:rFonts w:cs="Arial"/>
                <w:bCs/>
              </w:rPr>
              <w:t xml:space="preserve">10mg to </w:t>
            </w:r>
            <w:r w:rsidR="00C57EE9" w:rsidRPr="00026D2B">
              <w:rPr>
                <w:rFonts w:cs="Arial"/>
                <w:bCs/>
              </w:rPr>
              <w:t xml:space="preserve">20mg at intervals no shorter than 1 week. </w:t>
            </w:r>
            <w:r w:rsidR="00C57EE9">
              <w:rPr>
                <w:rFonts w:cs="Arial"/>
                <w:bCs/>
              </w:rPr>
              <w:t xml:space="preserve">A lower starting dose of 20mg once daily in the morning may be used if deemed clinically appropriate. </w:t>
            </w:r>
          </w:p>
          <w:p w14:paraId="3BF2313E" w14:textId="77777777" w:rsidR="00C57EE9" w:rsidRPr="00946787" w:rsidRDefault="00C57EE9" w:rsidP="00D87D5C">
            <w:pPr>
              <w:rPr>
                <w:rFonts w:cs="Arial"/>
              </w:rPr>
            </w:pPr>
          </w:p>
          <w:p w14:paraId="5557FD2A" w14:textId="77777777" w:rsidR="00C57EE9" w:rsidRPr="00946787" w:rsidRDefault="00C57EE9" w:rsidP="00D87D5C">
            <w:pPr>
              <w:rPr>
                <w:rFonts w:cs="Arial"/>
                <w:b/>
                <w:bCs/>
              </w:rPr>
            </w:pPr>
            <w:r w:rsidRPr="00946787">
              <w:rPr>
                <w:rFonts w:cs="Arial"/>
                <w:b/>
                <w:bCs/>
              </w:rPr>
              <w:lastRenderedPageBreak/>
              <w:t>The loading period must be prescribed by the initiating specialist.</w:t>
            </w:r>
          </w:p>
          <w:p w14:paraId="2B980A21" w14:textId="77777777" w:rsidR="00C57EE9" w:rsidRDefault="00C57EE9" w:rsidP="00D87D5C">
            <w:pPr>
              <w:rPr>
                <w:b/>
                <w:bCs/>
                <w:u w:val="single"/>
              </w:rPr>
            </w:pPr>
          </w:p>
          <w:p w14:paraId="02C94D9D" w14:textId="77777777" w:rsidR="00C57EE9" w:rsidRPr="0051526F" w:rsidRDefault="00C57EE9" w:rsidP="00D87D5C">
            <w:pPr>
              <w:rPr>
                <w:b/>
                <w:bCs/>
                <w:u w:val="single"/>
              </w:rPr>
            </w:pPr>
            <w:r w:rsidRPr="0051526F">
              <w:rPr>
                <w:b/>
                <w:bCs/>
                <w:u w:val="single"/>
              </w:rPr>
              <w:t>Maintenance dose (following initial stabilisation):</w:t>
            </w:r>
          </w:p>
          <w:p w14:paraId="7FB3274B" w14:textId="77777777" w:rsidR="00C57EE9" w:rsidRPr="00026D2B" w:rsidRDefault="00C57EE9" w:rsidP="00D87D5C">
            <w:pPr>
              <w:rPr>
                <w:rFonts w:cs="Arial"/>
                <w:iCs/>
              </w:rPr>
            </w:pPr>
            <w:r w:rsidRPr="00026D2B">
              <w:rPr>
                <w:rFonts w:cs="Arial"/>
                <w:iCs/>
              </w:rPr>
              <w:t>Maximum 70mg per day.</w:t>
            </w:r>
          </w:p>
          <w:p w14:paraId="16F76F59" w14:textId="77777777" w:rsidR="00C57EE9" w:rsidRDefault="00C57EE9" w:rsidP="00D87D5C">
            <w:pPr>
              <w:rPr>
                <w:rFonts w:cs="Arial"/>
                <w:b/>
                <w:bCs/>
              </w:rPr>
            </w:pPr>
          </w:p>
          <w:p w14:paraId="2D77608E" w14:textId="77777777" w:rsidR="00C57EE9" w:rsidRPr="001A51F3" w:rsidRDefault="00C57EE9" w:rsidP="00D87D5C">
            <w:pPr>
              <w:rPr>
                <w:rFonts w:cs="Arial"/>
                <w:b/>
                <w:bCs/>
              </w:rPr>
            </w:pPr>
            <w:r w:rsidRPr="001A51F3">
              <w:rPr>
                <w:rFonts w:cs="Arial"/>
                <w:b/>
                <w:bCs/>
              </w:rPr>
              <w:t>The initial maintenance dose must be prescribed by the initiating specialist.</w:t>
            </w:r>
          </w:p>
          <w:p w14:paraId="57BFFC67" w14:textId="77777777" w:rsidR="00C57EE9" w:rsidRPr="00FB404F" w:rsidRDefault="00C57EE9" w:rsidP="00D87D5C">
            <w:pPr>
              <w:rPr>
                <w:rFonts w:cs="Arial"/>
              </w:rPr>
            </w:pPr>
          </w:p>
          <w:p w14:paraId="7B42ECEE" w14:textId="77777777" w:rsidR="00C57EE9" w:rsidRPr="00FB404F" w:rsidRDefault="00C57EE9" w:rsidP="00D87D5C">
            <w:pPr>
              <w:rPr>
                <w:rFonts w:eastAsiaTheme="majorEastAsia" w:cs="Arial"/>
                <w:b/>
                <w:szCs w:val="24"/>
              </w:rPr>
            </w:pPr>
            <w:r w:rsidRPr="00FB404F">
              <w:rPr>
                <w:rFonts w:eastAsiaTheme="majorEastAsia" w:cs="Arial"/>
                <w:b/>
                <w:szCs w:val="24"/>
              </w:rPr>
              <w:t>Condi</w:t>
            </w:r>
            <w:r>
              <w:rPr>
                <w:rFonts w:eastAsiaTheme="majorEastAsia" w:cs="Arial"/>
                <w:b/>
                <w:szCs w:val="24"/>
              </w:rPr>
              <w:t>tions requiring dose adjustment:</w:t>
            </w:r>
          </w:p>
          <w:p w14:paraId="51886DC8" w14:textId="77777777" w:rsidR="00C57EE9" w:rsidRPr="00026D2B" w:rsidRDefault="00C57EE9" w:rsidP="00D87D5C">
            <w:pPr>
              <w:rPr>
                <w:rFonts w:cs="Arial"/>
              </w:rPr>
            </w:pPr>
            <w:r w:rsidRPr="00026D2B">
              <w:rPr>
                <w:rFonts w:cs="Arial"/>
              </w:rPr>
              <w:t>In severe renal impairment (GFR 15-30mL/min/1.73m</w:t>
            </w:r>
            <w:r w:rsidRPr="00026D2B">
              <w:rPr>
                <w:rFonts w:cs="Arial"/>
                <w:vertAlign w:val="superscript"/>
              </w:rPr>
              <w:t xml:space="preserve">2 </w:t>
            </w:r>
            <w:r w:rsidRPr="00026D2B">
              <w:rPr>
                <w:rFonts w:cs="Arial"/>
              </w:rPr>
              <w:t>or CrCl less than 30mL/min), the recommended maximum dose is 50mg per day.</w:t>
            </w:r>
            <w:r>
              <w:rPr>
                <w:rFonts w:cs="Arial"/>
              </w:rPr>
              <w:t xml:space="preserve"> </w:t>
            </w:r>
            <w:r w:rsidRPr="00302D86">
              <w:rPr>
                <w:rFonts w:cs="Arial"/>
              </w:rPr>
              <w:t>Further dose reduction should be considered in patients undergoing dialysis</w:t>
            </w:r>
            <w:r>
              <w:rPr>
                <w:rFonts w:cs="Arial"/>
              </w:rPr>
              <w:t>.</w:t>
            </w:r>
          </w:p>
          <w:p w14:paraId="79E86D4A" w14:textId="77777777" w:rsidR="00C57EE9" w:rsidRPr="00FB404F" w:rsidRDefault="00C57EE9" w:rsidP="00D87D5C">
            <w:pPr>
              <w:rPr>
                <w:rFonts w:cs="Arial"/>
              </w:rPr>
            </w:pPr>
            <w:r w:rsidRPr="00026D2B">
              <w:rPr>
                <w:rFonts w:cs="Arial"/>
              </w:rPr>
              <w:t>Consider trial periods of stopping medication or reducing the dose when assessment of the overall balance of benefits and harms suggests this may be appropriate. This should be undertaken and supervised by the specialist who will advise the patient and GP of the outcome.</w:t>
            </w:r>
          </w:p>
        </w:tc>
      </w:tr>
      <w:tr w:rsidR="00C57EE9" w:rsidRPr="00F321FC" w14:paraId="55ACA3FC" w14:textId="77777777" w:rsidTr="00D87D5C">
        <w:tc>
          <w:tcPr>
            <w:tcW w:w="2199" w:type="dxa"/>
          </w:tcPr>
          <w:p w14:paraId="2A08A41E" w14:textId="77777777" w:rsidR="00C57EE9" w:rsidRPr="00F321FC" w:rsidRDefault="00C57EE9" w:rsidP="00D87D5C">
            <w:pPr>
              <w:pStyle w:val="Heading2"/>
              <w:outlineLvl w:val="1"/>
              <w:rPr>
                <w:rFonts w:cs="Arial"/>
              </w:rPr>
            </w:pPr>
            <w:bookmarkStart w:id="16" w:name="five_initial_monitoring"/>
            <w:bookmarkStart w:id="17" w:name="_Toc149231789"/>
            <w:r w:rsidRPr="00F321FC">
              <w:rPr>
                <w:rFonts w:cs="Arial"/>
              </w:rPr>
              <w:lastRenderedPageBreak/>
              <w:t xml:space="preserve">Baseline investigations, initial monitoring, and </w:t>
            </w:r>
            <w:r>
              <w:rPr>
                <w:rFonts w:cs="Arial"/>
              </w:rPr>
              <w:t xml:space="preserve">ongoing monitoring </w:t>
            </w:r>
            <w:r w:rsidRPr="00F321FC">
              <w:rPr>
                <w:rFonts w:cs="Arial"/>
              </w:rPr>
              <w:t>to be undertaken by specialist</w:t>
            </w:r>
            <w:bookmarkEnd w:id="16"/>
            <w:bookmarkEnd w:id="17"/>
          </w:p>
        </w:tc>
        <w:tc>
          <w:tcPr>
            <w:tcW w:w="8262" w:type="dxa"/>
          </w:tcPr>
          <w:p w14:paraId="288CD1B1" w14:textId="77777777" w:rsidR="00C57EE9" w:rsidRDefault="00C57EE9" w:rsidP="00D87D5C">
            <w:pPr>
              <w:rPr>
                <w:b/>
                <w:lang w:eastAsia="en-GB"/>
              </w:rPr>
            </w:pPr>
            <w:r w:rsidRPr="00FB404F">
              <w:rPr>
                <w:lang w:eastAsia="en-GB"/>
              </w:rPr>
              <w:t>Monitoring at baseline and during initiation is the responsibility of the specialist; only once the patient is optimised on the chosen medication with no anticipated further changes expected in</w:t>
            </w:r>
            <w:r>
              <w:rPr>
                <w:lang w:eastAsia="en-GB"/>
              </w:rPr>
              <w:t xml:space="preserve"> the</w:t>
            </w:r>
            <w:r w:rsidRPr="00FB404F">
              <w:rPr>
                <w:lang w:eastAsia="en-GB"/>
              </w:rPr>
              <w:t xml:space="preserve"> immediate future will prescribing and monitoring be transferred to primary care.</w:t>
            </w:r>
          </w:p>
          <w:p w14:paraId="3D552F05" w14:textId="77777777" w:rsidR="00C57EE9" w:rsidRPr="00FB404F" w:rsidRDefault="00C57EE9" w:rsidP="00D87D5C">
            <w:pPr>
              <w:rPr>
                <w:lang w:eastAsia="en-GB"/>
              </w:rPr>
            </w:pPr>
          </w:p>
          <w:p w14:paraId="07F9A3BE" w14:textId="77777777" w:rsidR="00C57EE9" w:rsidRPr="0051526F" w:rsidRDefault="00C57EE9" w:rsidP="00D87D5C">
            <w:pPr>
              <w:rPr>
                <w:b/>
                <w:bCs/>
                <w:u w:val="single"/>
              </w:rPr>
            </w:pPr>
            <w:r w:rsidRPr="0051526F">
              <w:rPr>
                <w:b/>
                <w:bCs/>
                <w:u w:val="single"/>
              </w:rPr>
              <w:t>Baseline investigations:</w:t>
            </w:r>
          </w:p>
          <w:p w14:paraId="0F0B6A19" w14:textId="3F186483" w:rsidR="00C57EE9" w:rsidRPr="0070481A" w:rsidRDefault="00C57EE9" w:rsidP="00C57EE9">
            <w:pPr>
              <w:pStyle w:val="ListParagraph"/>
              <w:numPr>
                <w:ilvl w:val="0"/>
                <w:numId w:val="4"/>
              </w:numPr>
            </w:pPr>
            <w:r w:rsidRPr="0070481A">
              <w:t xml:space="preserve">A full assessment, as recommended by </w:t>
            </w:r>
            <w:hyperlink r:id="rId15" w:anchor="medication" w:history="1">
              <w:r w:rsidRPr="0070481A">
                <w:rPr>
                  <w:rStyle w:val="Hyperlink"/>
                </w:rPr>
                <w:t>NICE guidance for ADHD</w:t>
              </w:r>
            </w:hyperlink>
            <w:r w:rsidRPr="0070481A">
              <w:t xml:space="preserve">. This should ensure that the patient meets the criteria for ADHD and that pharmacological treatment is required. The assessment should also include a medical history and cardiovascular assessment, </w:t>
            </w:r>
            <w:r w:rsidR="008F5DF3" w:rsidRPr="0070481A">
              <w:t>considering</w:t>
            </w:r>
            <w:r w:rsidRPr="0070481A">
              <w:t xml:space="preserve"> conditions that may be contraindications for </w:t>
            </w:r>
            <w:r>
              <w:t>lis</w:t>
            </w:r>
            <w:r w:rsidRPr="0070481A">
              <w:t>dexamfetamine</w:t>
            </w:r>
            <w:r>
              <w:t>, and risk of pregnancy (where applicable)</w:t>
            </w:r>
            <w:r w:rsidRPr="0070481A">
              <w:t>.</w:t>
            </w:r>
          </w:p>
          <w:p w14:paraId="43F1EBCB" w14:textId="77777777" w:rsidR="00C57EE9" w:rsidRPr="003C26FF" w:rsidRDefault="00C57EE9" w:rsidP="00C57EE9">
            <w:pPr>
              <w:numPr>
                <w:ilvl w:val="0"/>
                <w:numId w:val="4"/>
              </w:numPr>
            </w:pPr>
            <w:r w:rsidRPr="003C26FF">
              <w:t>A risk assessment for substance misuse and drug diversion</w:t>
            </w:r>
          </w:p>
          <w:p w14:paraId="32EF92C1" w14:textId="617AD529" w:rsidR="00C57EE9" w:rsidRPr="008F5DF3" w:rsidDel="00DC43BD" w:rsidRDefault="00C57EE9" w:rsidP="00DC43BD">
            <w:pPr>
              <w:numPr>
                <w:ilvl w:val="0"/>
                <w:numId w:val="4"/>
              </w:numPr>
              <w:rPr>
                <w:del w:id="18" w:author="HAIDER, Maymouna (TEES, ESK AND WEAR VALLEYS NHS FOUNDATION TRUST)" w:date="2024-11-15T11:40:00Z"/>
                <w:color w:val="0070C0"/>
              </w:rPr>
            </w:pPr>
            <w:r w:rsidRPr="003C26FF">
              <w:t xml:space="preserve">Blood pressure (BP) and heart </w:t>
            </w:r>
            <w:r w:rsidRPr="008F5DF3">
              <w:t>rate</w:t>
            </w:r>
            <w:r w:rsidR="00DC43BD" w:rsidRPr="008F5DF3">
              <w:rPr>
                <w:color w:val="0070C0"/>
              </w:rPr>
              <w:t xml:space="preserve"> – recorded on centile chart (not applicable in patients &gt; 18 years)</w:t>
            </w:r>
          </w:p>
          <w:p w14:paraId="22F22A2A" w14:textId="17B16586" w:rsidR="008F5DF3" w:rsidRPr="00240B4E" w:rsidRDefault="00C57EE9" w:rsidP="008F5DF3">
            <w:pPr>
              <w:numPr>
                <w:ilvl w:val="0"/>
                <w:numId w:val="4"/>
              </w:numPr>
              <w:rPr>
                <w:color w:val="0070C0"/>
              </w:rPr>
            </w:pPr>
            <w:r w:rsidRPr="003C26FF">
              <w:t>Height</w:t>
            </w:r>
            <w:r w:rsidR="008F5DF3">
              <w:t xml:space="preserve"> </w:t>
            </w:r>
            <w:r w:rsidR="008F5DF3" w:rsidRPr="008F5DF3">
              <w:rPr>
                <w:color w:val="0070C0"/>
              </w:rPr>
              <w:t>–</w:t>
            </w:r>
            <w:r w:rsidR="008F5DF3">
              <w:rPr>
                <w:color w:val="0070C0"/>
              </w:rPr>
              <w:t>re</w:t>
            </w:r>
            <w:r w:rsidR="008F5DF3" w:rsidRPr="008F5DF3">
              <w:rPr>
                <w:color w:val="0070C0"/>
              </w:rPr>
              <w:t>corded on centile chart (not applicable in patients &gt; 18 years)</w:t>
            </w:r>
          </w:p>
          <w:p w14:paraId="2BDDBEF2" w14:textId="5685A8D1" w:rsidR="00C57EE9" w:rsidRPr="008F5DF3" w:rsidRDefault="008F5DF3" w:rsidP="00DC43BD">
            <w:pPr>
              <w:numPr>
                <w:ilvl w:val="0"/>
                <w:numId w:val="4"/>
              </w:numPr>
              <w:rPr>
                <w:color w:val="0070C0"/>
              </w:rPr>
            </w:pPr>
            <w:r>
              <w:t>W</w:t>
            </w:r>
            <w:r w:rsidR="00C57EE9" w:rsidRPr="003C26FF">
              <w:t>eight and body mass index (BMI)</w:t>
            </w:r>
            <w:r w:rsidR="00DC43BD">
              <w:t xml:space="preserve"> </w:t>
            </w:r>
            <w:r w:rsidR="00DC43BD" w:rsidRPr="008F5DF3">
              <w:rPr>
                <w:color w:val="0070C0"/>
              </w:rPr>
              <w:t>– recorded on centile chart (not applicable in patients &gt; 18 years)</w:t>
            </w:r>
          </w:p>
          <w:p w14:paraId="74F312AB" w14:textId="77777777" w:rsidR="00C57EE9" w:rsidRPr="003C26FF" w:rsidRDefault="00C57EE9" w:rsidP="00C57EE9">
            <w:pPr>
              <w:numPr>
                <w:ilvl w:val="0"/>
                <w:numId w:val="4"/>
              </w:numPr>
            </w:pPr>
            <w:r>
              <w:t>Appetite</w:t>
            </w:r>
          </w:p>
          <w:p w14:paraId="2C201246" w14:textId="77777777" w:rsidR="00C57EE9" w:rsidRPr="003C26FF" w:rsidRDefault="00C57EE9" w:rsidP="00C57EE9">
            <w:pPr>
              <w:numPr>
                <w:ilvl w:val="0"/>
                <w:numId w:val="4"/>
              </w:numPr>
            </w:pPr>
            <w:r>
              <w:t>E</w:t>
            </w:r>
            <w:r w:rsidRPr="003C26FF">
              <w:t>lectrocardiogram (ECG)</w:t>
            </w:r>
            <w:r>
              <w:t xml:space="preserve"> and cardiology opinion are recommended</w:t>
            </w:r>
            <w:r w:rsidRPr="003C26FF">
              <w:t xml:space="preserve"> if the patient has any of the following:</w:t>
            </w:r>
          </w:p>
          <w:p w14:paraId="6569CD7C" w14:textId="77777777" w:rsidR="00C57EE9" w:rsidRPr="003C26FF" w:rsidRDefault="00C57EE9" w:rsidP="00C57EE9">
            <w:pPr>
              <w:numPr>
                <w:ilvl w:val="1"/>
                <w:numId w:val="4"/>
              </w:numPr>
            </w:pPr>
            <w:r>
              <w:t>h</w:t>
            </w:r>
            <w:r w:rsidRPr="003C26FF">
              <w:t>istory of congenital heart disease or previous cardiac surgery</w:t>
            </w:r>
          </w:p>
          <w:p w14:paraId="26FD07E2" w14:textId="77777777" w:rsidR="00C57EE9" w:rsidRPr="003C26FF" w:rsidRDefault="00C57EE9" w:rsidP="00C57EE9">
            <w:pPr>
              <w:numPr>
                <w:ilvl w:val="1"/>
                <w:numId w:val="4"/>
              </w:numPr>
            </w:pPr>
            <w:r>
              <w:t>s</w:t>
            </w:r>
            <w:r w:rsidRPr="003C26FF">
              <w:t>udden death in a first-degree relative under 40 years suggesting a cardiac disease</w:t>
            </w:r>
          </w:p>
          <w:p w14:paraId="542429EA" w14:textId="77777777" w:rsidR="00C57EE9" w:rsidRPr="003C26FF" w:rsidRDefault="00C57EE9" w:rsidP="00C57EE9">
            <w:pPr>
              <w:numPr>
                <w:ilvl w:val="1"/>
                <w:numId w:val="4"/>
              </w:numPr>
            </w:pPr>
            <w:r>
              <w:t>s</w:t>
            </w:r>
            <w:r w:rsidRPr="003C26FF">
              <w:t>hortness of breath on exertion compared with peers</w:t>
            </w:r>
          </w:p>
          <w:p w14:paraId="0A68D46C" w14:textId="77777777" w:rsidR="00C57EE9" w:rsidRPr="003C26FF" w:rsidRDefault="00C57EE9" w:rsidP="00C57EE9">
            <w:pPr>
              <w:numPr>
                <w:ilvl w:val="1"/>
                <w:numId w:val="4"/>
              </w:numPr>
            </w:pPr>
            <w:r>
              <w:t>f</w:t>
            </w:r>
            <w:r w:rsidRPr="003C26FF">
              <w:t>ainting on exertion or in response to fright or noise</w:t>
            </w:r>
          </w:p>
          <w:p w14:paraId="72A9E19D" w14:textId="77777777" w:rsidR="00C57EE9" w:rsidRPr="003C26FF" w:rsidRDefault="00C57EE9" w:rsidP="00C57EE9">
            <w:pPr>
              <w:numPr>
                <w:ilvl w:val="1"/>
                <w:numId w:val="4"/>
              </w:numPr>
            </w:pPr>
            <w:r>
              <w:t>p</w:t>
            </w:r>
            <w:r w:rsidRPr="003C26FF">
              <w:t>alpitations</w:t>
            </w:r>
            <w:r>
              <w:t xml:space="preserve"> that are rapid, regular, and start and stop suddenly</w:t>
            </w:r>
          </w:p>
          <w:p w14:paraId="7A412E94" w14:textId="77777777" w:rsidR="00C57EE9" w:rsidRPr="003C26FF" w:rsidRDefault="00C57EE9" w:rsidP="00C57EE9">
            <w:pPr>
              <w:numPr>
                <w:ilvl w:val="1"/>
                <w:numId w:val="4"/>
              </w:numPr>
            </w:pPr>
            <w:r>
              <w:t>c</w:t>
            </w:r>
            <w:r w:rsidRPr="003C26FF">
              <w:t>hest pain suggestive of cardiac origin</w:t>
            </w:r>
          </w:p>
          <w:p w14:paraId="31A4EF5C" w14:textId="77777777" w:rsidR="00C57EE9" w:rsidRPr="003C26FF" w:rsidRDefault="00C57EE9" w:rsidP="00C57EE9">
            <w:pPr>
              <w:numPr>
                <w:ilvl w:val="1"/>
                <w:numId w:val="4"/>
              </w:numPr>
            </w:pPr>
            <w:r>
              <w:t>s</w:t>
            </w:r>
            <w:r w:rsidRPr="003C26FF">
              <w:t>igns of heart failure, heart murmur or hypertension</w:t>
            </w:r>
          </w:p>
          <w:p w14:paraId="722A699F" w14:textId="7ABF5DBF" w:rsidR="00DC43BD" w:rsidRDefault="00C57EE9" w:rsidP="00C57EE9">
            <w:pPr>
              <w:pStyle w:val="ListParagraph"/>
              <w:numPr>
                <w:ilvl w:val="0"/>
                <w:numId w:val="4"/>
              </w:numPr>
            </w:pPr>
            <w:r>
              <w:t xml:space="preserve">ECG is recommended if the patient has a co-existing condition treated </w:t>
            </w:r>
            <w:r w:rsidRPr="003C26FF">
              <w:t>with a medicine that may increase cardiac risk</w:t>
            </w:r>
            <w:r>
              <w:t>.</w:t>
            </w:r>
          </w:p>
          <w:p w14:paraId="747361D7" w14:textId="77777777" w:rsidR="00C57EE9" w:rsidRDefault="00C57EE9" w:rsidP="00D87D5C"/>
          <w:p w14:paraId="0B780F8C" w14:textId="77777777" w:rsidR="004662D4" w:rsidRDefault="004662D4" w:rsidP="00D87D5C"/>
          <w:p w14:paraId="097D7829" w14:textId="77777777" w:rsidR="00C57EE9" w:rsidRDefault="00C57EE9" w:rsidP="00D87D5C">
            <w:r w:rsidRPr="00BF174A">
              <w:rPr>
                <w:b/>
                <w:bCs/>
                <w:u w:val="single"/>
              </w:rPr>
              <w:t xml:space="preserve">Initial monitoring: </w:t>
            </w:r>
          </w:p>
          <w:p w14:paraId="2C862407" w14:textId="77777777" w:rsidR="00900703" w:rsidRDefault="00C57EE9" w:rsidP="00ED28ED">
            <w:pPr>
              <w:numPr>
                <w:ilvl w:val="0"/>
                <w:numId w:val="4"/>
              </w:numPr>
            </w:pPr>
            <w:r w:rsidRPr="003C26FF">
              <w:t xml:space="preserve">Before every change of dose: assess heart rate, blood pressure, </w:t>
            </w:r>
            <w:r>
              <w:t xml:space="preserve">appetite </w:t>
            </w:r>
            <w:r w:rsidRPr="003C26FF">
              <w:t>and weight</w:t>
            </w:r>
            <w:ins w:id="19" w:author="Wood, Ria (Pharmacy)" w:date="2024-12-12T15:26:00Z">
              <w:r w:rsidR="0033569B">
                <w:t>:</w:t>
              </w:r>
            </w:ins>
            <w:del w:id="20" w:author="Wood, Ria (Pharmacy)" w:date="2024-12-12T15:26:00Z">
              <w:r w:rsidRPr="003C26FF" w:rsidDel="0033569B">
                <w:delText>.</w:delText>
              </w:r>
            </w:del>
            <w:r w:rsidRPr="003C26FF">
              <w:t xml:space="preserve"> </w:t>
            </w:r>
          </w:p>
          <w:p w14:paraId="6EB6397B" w14:textId="77777777" w:rsidR="00900703" w:rsidRPr="0014610E" w:rsidRDefault="00900703" w:rsidP="00900703">
            <w:pPr>
              <w:numPr>
                <w:ilvl w:val="0"/>
                <w:numId w:val="4"/>
              </w:numPr>
              <w:rPr>
                <w:color w:val="0070C0"/>
              </w:rPr>
            </w:pPr>
            <w:r w:rsidRPr="0014610E">
              <w:rPr>
                <w:color w:val="0070C0"/>
              </w:rPr>
              <w:t>Prior to there being a shared care agreement in place:</w:t>
            </w:r>
          </w:p>
          <w:p w14:paraId="5FC81ABE" w14:textId="77777777" w:rsidR="00900703" w:rsidRPr="00BE5216" w:rsidRDefault="00900703" w:rsidP="00900703">
            <w:pPr>
              <w:numPr>
                <w:ilvl w:val="0"/>
                <w:numId w:val="4"/>
              </w:numPr>
              <w:rPr>
                <w:color w:val="0070C0"/>
                <w:u w:val="single"/>
              </w:rPr>
            </w:pPr>
            <w:r w:rsidRPr="00BE5216">
              <w:rPr>
                <w:color w:val="0070C0"/>
                <w:u w:val="single"/>
              </w:rPr>
              <w:t xml:space="preserve">Height: </w:t>
            </w:r>
          </w:p>
          <w:p w14:paraId="1AB6DCFE" w14:textId="77777777" w:rsidR="00900703" w:rsidRPr="0014610E" w:rsidRDefault="00900703" w:rsidP="00900703">
            <w:pPr>
              <w:numPr>
                <w:ilvl w:val="0"/>
                <w:numId w:val="4"/>
              </w:numPr>
              <w:rPr>
                <w:color w:val="0070C0"/>
              </w:rPr>
            </w:pPr>
            <w:r w:rsidRPr="0014610E">
              <w:rPr>
                <w:color w:val="0070C0"/>
              </w:rPr>
              <w:t>Children aged 6 to 17 years of age – 6-monthly</w:t>
            </w:r>
          </w:p>
          <w:p w14:paraId="7448BA50" w14:textId="77777777" w:rsidR="00900703" w:rsidRPr="00BE5216" w:rsidRDefault="00900703" w:rsidP="00900703">
            <w:pPr>
              <w:numPr>
                <w:ilvl w:val="0"/>
                <w:numId w:val="4"/>
              </w:numPr>
              <w:rPr>
                <w:color w:val="0070C0"/>
                <w:u w:val="single"/>
              </w:rPr>
            </w:pPr>
            <w:r w:rsidRPr="00BE5216">
              <w:rPr>
                <w:color w:val="0070C0"/>
                <w:u w:val="single"/>
              </w:rPr>
              <w:t xml:space="preserve">Weight: </w:t>
            </w:r>
          </w:p>
          <w:p w14:paraId="25207830" w14:textId="77777777" w:rsidR="00900703" w:rsidRPr="0014610E" w:rsidRDefault="00900703" w:rsidP="00900703">
            <w:pPr>
              <w:numPr>
                <w:ilvl w:val="0"/>
                <w:numId w:val="4"/>
              </w:numPr>
              <w:rPr>
                <w:color w:val="0070C0"/>
              </w:rPr>
            </w:pPr>
            <w:r w:rsidRPr="0014610E">
              <w:rPr>
                <w:color w:val="0070C0"/>
              </w:rPr>
              <w:t>Children aged 6 to 10 years of age – 3-monthly</w:t>
            </w:r>
          </w:p>
          <w:p w14:paraId="69AF9D48" w14:textId="77777777" w:rsidR="00900703" w:rsidRPr="0014610E" w:rsidRDefault="00900703" w:rsidP="00900703">
            <w:pPr>
              <w:numPr>
                <w:ilvl w:val="0"/>
                <w:numId w:val="4"/>
              </w:numPr>
              <w:rPr>
                <w:color w:val="0070C0"/>
              </w:rPr>
            </w:pPr>
            <w:r w:rsidRPr="0014610E">
              <w:rPr>
                <w:color w:val="0070C0"/>
              </w:rPr>
              <w:t xml:space="preserve">Children aged 11 years of age – </w:t>
            </w:r>
            <w:r>
              <w:rPr>
                <w:color w:val="0070C0"/>
              </w:rPr>
              <w:t>at 3 months, 6 months, then 6-monthly thereafter</w:t>
            </w:r>
          </w:p>
          <w:p w14:paraId="1131B6D0" w14:textId="77777777" w:rsidR="00900703" w:rsidRPr="00BE5216" w:rsidRDefault="00900703" w:rsidP="00900703">
            <w:pPr>
              <w:numPr>
                <w:ilvl w:val="0"/>
                <w:numId w:val="4"/>
              </w:numPr>
              <w:rPr>
                <w:color w:val="0070C0"/>
              </w:rPr>
            </w:pPr>
            <w:r w:rsidRPr="0014610E">
              <w:rPr>
                <w:color w:val="0070C0"/>
              </w:rPr>
              <w:t>Adults: 6-monthly</w:t>
            </w:r>
          </w:p>
          <w:p w14:paraId="5F5162CD" w14:textId="31DFEBE0" w:rsidR="0033569B" w:rsidRPr="003C26FF" w:rsidRDefault="0033569B" w:rsidP="00900703">
            <w:pPr>
              <w:ind w:left="360"/>
            </w:pPr>
          </w:p>
          <w:p w14:paraId="5858929E" w14:textId="67B35DAE" w:rsidR="00C57EE9" w:rsidRPr="003C26FF" w:rsidRDefault="00C57EE9" w:rsidP="00C57EE9">
            <w:pPr>
              <w:numPr>
                <w:ilvl w:val="0"/>
                <w:numId w:val="4"/>
              </w:numPr>
            </w:pPr>
            <w:r w:rsidRPr="003C26FF">
              <w:t>After every change of dose: assess heart rate and blood pressure, and any new or worsening psychiatric symptoms</w:t>
            </w:r>
            <w:r>
              <w:t>, including aggressive or hostile behaviour and tics</w:t>
            </w:r>
            <w:r w:rsidRPr="003C26FF">
              <w:t xml:space="preserve">. The specialist should determine the appropriate timing for this monitoring.  </w:t>
            </w:r>
            <w:r w:rsidR="00FC4DEA" w:rsidRPr="004662D4">
              <w:rPr>
                <w:rFonts w:eastAsia="Times New Roman" w:cstheme="minorHAnsi"/>
                <w:iCs/>
                <w:color w:val="0070C0"/>
                <w:lang w:eastAsia="en-GB"/>
              </w:rPr>
              <w:t>For under 18s, record BP, height and weight on centile charts to detect clinically important changes.</w:t>
            </w:r>
          </w:p>
          <w:p w14:paraId="58FD8FBD" w14:textId="77777777" w:rsidR="00C57EE9" w:rsidRPr="003C26FF" w:rsidRDefault="00C57EE9" w:rsidP="00C57EE9">
            <w:pPr>
              <w:numPr>
                <w:ilvl w:val="0"/>
                <w:numId w:val="4"/>
              </w:numPr>
            </w:pPr>
            <w:r w:rsidRPr="003C26FF">
              <w:t xml:space="preserve">Assessment of symptom improvement. Discontinue if no improvement is observed after one month. </w:t>
            </w:r>
          </w:p>
          <w:p w14:paraId="1280256C" w14:textId="77777777" w:rsidR="00C57EE9" w:rsidRPr="001A51F3" w:rsidRDefault="00C57EE9" w:rsidP="00D87D5C"/>
          <w:p w14:paraId="592858F4" w14:textId="77777777" w:rsidR="00C57EE9" w:rsidRPr="0051526F" w:rsidRDefault="00C57EE9" w:rsidP="00D87D5C">
            <w:pPr>
              <w:rPr>
                <w:b/>
                <w:bCs/>
                <w:u w:val="single"/>
              </w:rPr>
            </w:pPr>
            <w:r w:rsidRPr="0051526F">
              <w:rPr>
                <w:b/>
                <w:bCs/>
                <w:u w:val="single"/>
              </w:rPr>
              <w:t>Ongoing monitoring</w:t>
            </w:r>
            <w:r>
              <w:rPr>
                <w:b/>
                <w:bCs/>
                <w:u w:val="single"/>
              </w:rPr>
              <w:t xml:space="preserve"> (ADHD)</w:t>
            </w:r>
            <w:r w:rsidRPr="0051526F">
              <w:rPr>
                <w:b/>
                <w:bCs/>
                <w:u w:val="single"/>
              </w:rPr>
              <w:t>:</w:t>
            </w:r>
          </w:p>
          <w:p w14:paraId="7BE975BC" w14:textId="77777777" w:rsidR="00C57EE9" w:rsidRPr="00BB1B71" w:rsidRDefault="00C57EE9" w:rsidP="00C57EE9">
            <w:pPr>
              <w:pStyle w:val="ListParagraph"/>
              <w:numPr>
                <w:ilvl w:val="0"/>
                <w:numId w:val="12"/>
              </w:numPr>
              <w:rPr>
                <w:rFonts w:cs="Arial"/>
              </w:rPr>
            </w:pPr>
            <w:r w:rsidRPr="00BB1B71">
              <w:rPr>
                <w:rFonts w:cs="Arial"/>
              </w:rPr>
              <w:t>Monitoring before and after dose adjustments, as above.</w:t>
            </w:r>
          </w:p>
          <w:p w14:paraId="44696DFA" w14:textId="4F16BC7E" w:rsidR="00DC43BD" w:rsidRDefault="00C57EE9" w:rsidP="00DC43BD">
            <w:pPr>
              <w:tabs>
                <w:tab w:val="right" w:pos="2500"/>
                <w:tab w:val="left" w:pos="2600"/>
              </w:tabs>
              <w:rPr>
                <w:rFonts w:cs="Arial"/>
                <w:sz w:val="20"/>
                <w:szCs w:val="20"/>
              </w:rPr>
            </w:pPr>
            <w:r w:rsidRPr="003C26FF">
              <w:rPr>
                <w:rFonts w:cs="Arial"/>
              </w:rPr>
              <w:t xml:space="preserve">Ensure the patient receives a review at least annually with a healthcare professional with training and expertise in managing ADHD. </w:t>
            </w:r>
            <w:r w:rsidRPr="00233A3F">
              <w:rPr>
                <w:rFonts w:cs="Arial"/>
              </w:rPr>
              <w:t>This may be in primary or secondary care, depending on local arrangements, and</w:t>
            </w:r>
            <w:r w:rsidRPr="003C26FF">
              <w:rPr>
                <w:rFonts w:cs="Arial"/>
              </w:rPr>
              <w:t xml:space="preserve"> should include a review of ADHD medication, including patient preferences, benefits, adverse effects, and ongoing clinical need. Consider trial periods of stopping medication or reducing the dose when assessment of the overall balance of benefits and harms suggests this may be appropriate</w:t>
            </w:r>
            <w:r w:rsidR="00DC43BD">
              <w:rPr>
                <w:rFonts w:cs="Arial"/>
              </w:rPr>
              <w:t xml:space="preserve"> </w:t>
            </w:r>
            <w:r w:rsidR="00DC43BD" w:rsidRPr="002107D4">
              <w:rPr>
                <w:rFonts w:cs="Arial"/>
                <w:color w:val="0070C0"/>
              </w:rPr>
              <w:t>(preferably during school holidays</w:t>
            </w:r>
            <w:r w:rsidR="002107D4" w:rsidRPr="002107D4">
              <w:rPr>
                <w:rFonts w:cs="Arial"/>
                <w:color w:val="0070C0"/>
              </w:rPr>
              <w:t>, for those still in education</w:t>
            </w:r>
            <w:r w:rsidR="00DC43BD" w:rsidRPr="002107D4">
              <w:rPr>
                <w:rFonts w:cs="Arial"/>
                <w:color w:val="0070C0"/>
              </w:rPr>
              <w:t>)</w:t>
            </w:r>
            <w:r w:rsidRPr="002107D4">
              <w:rPr>
                <w:rFonts w:cs="Arial"/>
              </w:rPr>
              <w:t xml:space="preserve">. If continuing medication, document the reasons why. </w:t>
            </w:r>
            <w:r w:rsidR="00DC43BD" w:rsidRPr="002107D4">
              <w:rPr>
                <w:rFonts w:cs="Arial"/>
                <w:color w:val="0070C0"/>
              </w:rPr>
              <w:t>If still on treatment at school-leaving age, determine if treatment needs to be continued and, if it does, arrange for transition to adult services by 18 years of age.</w:t>
            </w:r>
          </w:p>
          <w:p w14:paraId="4656991E" w14:textId="1BACEEE8" w:rsidR="00C57EE9" w:rsidRPr="003C26FF" w:rsidRDefault="00C57EE9" w:rsidP="00D87D5C">
            <w:pPr>
              <w:rPr>
                <w:rFonts w:cs="Arial"/>
              </w:rPr>
            </w:pPr>
          </w:p>
          <w:p w14:paraId="033CFC6D" w14:textId="77777777" w:rsidR="00C57EE9" w:rsidRPr="0041687B" w:rsidRDefault="00C57EE9" w:rsidP="00D87D5C">
            <w:pPr>
              <w:rPr>
                <w:rFonts w:cs="Arial"/>
              </w:rPr>
            </w:pPr>
            <w:r w:rsidRPr="003C26FF">
              <w:rPr>
                <w:rFonts w:cs="Arial"/>
              </w:rPr>
              <w:t>Review outcomes should be communicated to the primary care prescriber in writing, with any urgent changes also communicated by telephone.</w:t>
            </w:r>
            <w:r>
              <w:rPr>
                <w:rFonts w:cs="Arial"/>
              </w:rPr>
              <w:t xml:space="preserve"> </w:t>
            </w:r>
            <w:r w:rsidRPr="005C018B">
              <w:rPr>
                <w:rFonts w:cs="Arial"/>
              </w:rPr>
              <w:t xml:space="preserve">After each review, advise primary care whether treatment should be continued, confirm the ongoing dose, and whether the ongoing monitoring outlined in </w:t>
            </w:r>
            <w:hyperlink w:anchor="_Ongoing_monitoring_requirements" w:history="1">
              <w:r w:rsidRPr="005C018B">
                <w:rPr>
                  <w:rStyle w:val="Hyperlink"/>
                  <w:rFonts w:cs="Arial"/>
                </w:rPr>
                <w:t>section 6</w:t>
              </w:r>
            </w:hyperlink>
            <w:r w:rsidRPr="005C018B">
              <w:rPr>
                <w:rFonts w:cs="Arial"/>
              </w:rPr>
              <w:t xml:space="preserve"> remains appropriate.</w:t>
            </w:r>
          </w:p>
        </w:tc>
      </w:tr>
    </w:tbl>
    <w:p w14:paraId="5B1BD1D7" w14:textId="61451985" w:rsidR="00C57EE9" w:rsidRDefault="002107D4" w:rsidP="00C57EE9">
      <w:r>
        <w:lastRenderedPageBreak/>
        <w:t xml:space="preserve">, </w:t>
      </w:r>
    </w:p>
    <w:p w14:paraId="554E0709" w14:textId="6C549E07" w:rsidR="00C57EE9" w:rsidRPr="002107D4" w:rsidRDefault="00C57EE9" w:rsidP="00C57EE9">
      <w:pPr>
        <w:pStyle w:val="Heading2"/>
        <w:rPr>
          <w:rFonts w:cs="Arial"/>
          <w:color w:val="0070C0"/>
        </w:rPr>
      </w:pPr>
      <w:bookmarkStart w:id="21" w:name="_Ongoing_monitoring_requirements"/>
      <w:bookmarkStart w:id="22" w:name="_Toc149231790"/>
      <w:bookmarkStart w:id="23" w:name="six_monitoring"/>
      <w:bookmarkEnd w:id="21"/>
      <w:r w:rsidRPr="00F321FC">
        <w:rPr>
          <w:rFonts w:cs="Arial"/>
        </w:rPr>
        <w:t>Ongoing mo</w:t>
      </w:r>
      <w:r w:rsidRPr="002107D4">
        <w:rPr>
          <w:rFonts w:cs="Arial"/>
          <w:szCs w:val="22"/>
        </w:rPr>
        <w:t>nitoring requirements to be undertaken by primary care</w:t>
      </w:r>
      <w:bookmarkEnd w:id="22"/>
      <w:r w:rsidR="00FC4DEA" w:rsidRPr="002107D4">
        <w:rPr>
          <w:rFonts w:cs="Arial"/>
          <w:szCs w:val="22"/>
        </w:rPr>
        <w:t xml:space="preserve"> </w:t>
      </w:r>
      <w:r w:rsidR="00FC4DEA" w:rsidRPr="002107D4">
        <w:rPr>
          <w:rFonts w:cs="Arial"/>
          <w:color w:val="0070C0"/>
          <w:szCs w:val="22"/>
        </w:rPr>
        <w:t xml:space="preserve">unless </w:t>
      </w:r>
      <w:r w:rsidR="0033569B" w:rsidRPr="002107D4">
        <w:rPr>
          <w:rFonts w:cs="Arial"/>
          <w:color w:val="0070C0"/>
          <w:szCs w:val="22"/>
        </w:rPr>
        <w:t xml:space="preserve">completed </w:t>
      </w:r>
      <w:r w:rsidR="00FC4DEA" w:rsidRPr="002107D4">
        <w:rPr>
          <w:rFonts w:cs="Arial"/>
          <w:color w:val="0070C0"/>
          <w:szCs w:val="22"/>
        </w:rPr>
        <w:t>at review by specialist team</w:t>
      </w:r>
    </w:p>
    <w:bookmarkEnd w:id="23"/>
    <w:p w14:paraId="2D70CD9F" w14:textId="77777777" w:rsidR="00C57EE9" w:rsidRDefault="00C57EE9" w:rsidP="00C57EE9">
      <w:r w:rsidRPr="00EC0326">
        <w:rPr>
          <w:rFonts w:cs="Arial"/>
        </w:rPr>
        <w:t>If monitoring results are forwarded to the specialist team, please include clear clinical information on the reason for sending, to inform action to be taken by secondary care.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C57EE9" w:rsidRPr="00F321FC" w14:paraId="79AFAC1E" w14:textId="77777777" w:rsidTr="00D87D5C">
        <w:trPr>
          <w:tblHeader/>
        </w:trPr>
        <w:tc>
          <w:tcPr>
            <w:tcW w:w="5245" w:type="dxa"/>
            <w:shd w:val="clear" w:color="auto" w:fill="F2F2F2" w:themeFill="background1" w:themeFillShade="F2"/>
          </w:tcPr>
          <w:p w14:paraId="5B8D0F12" w14:textId="77777777" w:rsidR="00C57EE9" w:rsidRPr="00BF174A" w:rsidRDefault="00C57EE9" w:rsidP="00D87D5C">
            <w:pPr>
              <w:rPr>
                <w:b/>
                <w:bCs/>
                <w:u w:val="single"/>
              </w:rPr>
            </w:pPr>
            <w:r w:rsidRPr="00BF174A">
              <w:rPr>
                <w:b/>
                <w:bCs/>
                <w:u w:val="single"/>
              </w:rPr>
              <w:lastRenderedPageBreak/>
              <w:t>Monitoring</w:t>
            </w:r>
          </w:p>
        </w:tc>
        <w:tc>
          <w:tcPr>
            <w:tcW w:w="5245" w:type="dxa"/>
            <w:shd w:val="clear" w:color="auto" w:fill="F2F2F2" w:themeFill="background1" w:themeFillShade="F2"/>
          </w:tcPr>
          <w:p w14:paraId="4D881C3A" w14:textId="77777777" w:rsidR="00C57EE9" w:rsidRPr="00BF174A" w:rsidRDefault="00C57EE9" w:rsidP="00D87D5C">
            <w:pPr>
              <w:rPr>
                <w:b/>
                <w:bCs/>
                <w:u w:val="single"/>
              </w:rPr>
            </w:pPr>
            <w:r w:rsidRPr="00BF174A">
              <w:rPr>
                <w:b/>
                <w:bCs/>
                <w:u w:val="single"/>
              </w:rPr>
              <w:t>Frequency</w:t>
            </w:r>
          </w:p>
        </w:tc>
      </w:tr>
      <w:tr w:rsidR="00C57EE9" w14:paraId="573BCD7F" w14:textId="77777777" w:rsidTr="00D87D5C">
        <w:tblPrEx>
          <w:tblCellMar>
            <w:top w:w="0" w:type="dxa"/>
            <w:bottom w:w="0" w:type="dxa"/>
          </w:tblCellMar>
          <w:tblLook w:val="04A0" w:firstRow="1" w:lastRow="0" w:firstColumn="1" w:lastColumn="0" w:noHBand="0" w:noVBand="1"/>
        </w:tblPrEx>
        <w:trPr>
          <w:trHeight w:val="140"/>
        </w:trPr>
        <w:tc>
          <w:tcPr>
            <w:tcW w:w="5245" w:type="dxa"/>
            <w:hideMark/>
          </w:tcPr>
          <w:p w14:paraId="636AECF0" w14:textId="77777777" w:rsidR="00C57EE9" w:rsidRDefault="00C57EE9" w:rsidP="00C57EE9">
            <w:pPr>
              <w:pStyle w:val="ListParagraph"/>
              <w:numPr>
                <w:ilvl w:val="0"/>
                <w:numId w:val="4"/>
              </w:numPr>
              <w:autoSpaceDE w:val="0"/>
              <w:autoSpaceDN w:val="0"/>
              <w:adjustRightInd w:val="0"/>
              <w:ind w:left="357" w:hanging="357"/>
              <w:rPr>
                <w:rFonts w:eastAsia="Times New Roman" w:cstheme="minorHAnsi"/>
                <w:color w:val="000000"/>
                <w:lang w:eastAsia="en-GB"/>
              </w:rPr>
            </w:pPr>
            <w:r>
              <w:rPr>
                <w:rFonts w:eastAsia="Times New Roman" w:cstheme="minorHAnsi"/>
                <w:color w:val="000000"/>
                <w:lang w:eastAsia="en-GB"/>
              </w:rPr>
              <w:t>Blood pressure and heart rate, and assessment for cardiovascular signs or symptoms</w:t>
            </w:r>
          </w:p>
          <w:p w14:paraId="4D2BE43C" w14:textId="77777777" w:rsidR="00900703" w:rsidRDefault="00900703" w:rsidP="00900703">
            <w:pPr>
              <w:pStyle w:val="ListParagraph"/>
              <w:autoSpaceDE w:val="0"/>
              <w:autoSpaceDN w:val="0"/>
              <w:adjustRightInd w:val="0"/>
              <w:ind w:left="357"/>
              <w:rPr>
                <w:rFonts w:eastAsia="Times New Roman" w:cstheme="minorHAnsi"/>
                <w:color w:val="000000"/>
                <w:lang w:eastAsia="en-GB"/>
              </w:rPr>
            </w:pPr>
          </w:p>
          <w:p w14:paraId="48C5D509" w14:textId="77777777" w:rsidR="00900703" w:rsidRDefault="00900703" w:rsidP="00900703">
            <w:pPr>
              <w:pStyle w:val="ListParagraph"/>
              <w:autoSpaceDE w:val="0"/>
              <w:autoSpaceDN w:val="0"/>
              <w:adjustRightInd w:val="0"/>
              <w:ind w:left="357"/>
              <w:rPr>
                <w:rFonts w:eastAsia="Times New Roman" w:cstheme="minorHAnsi"/>
                <w:color w:val="000000"/>
                <w:lang w:eastAsia="en-GB"/>
              </w:rPr>
            </w:pPr>
          </w:p>
          <w:p w14:paraId="4E68B1AE" w14:textId="77777777" w:rsidR="00900703" w:rsidRPr="00240B4E" w:rsidRDefault="00900703" w:rsidP="00240B4E">
            <w:pPr>
              <w:autoSpaceDE w:val="0"/>
              <w:autoSpaceDN w:val="0"/>
              <w:adjustRightInd w:val="0"/>
              <w:rPr>
                <w:rFonts w:eastAsia="Times New Roman" w:cstheme="minorHAnsi"/>
                <w:color w:val="000000"/>
                <w:lang w:eastAsia="en-GB"/>
              </w:rPr>
            </w:pPr>
          </w:p>
          <w:p w14:paraId="18109EB6" w14:textId="77777777" w:rsidR="00C57EE9" w:rsidRDefault="00C57EE9" w:rsidP="00C57EE9">
            <w:pPr>
              <w:pStyle w:val="ListParagraph"/>
              <w:numPr>
                <w:ilvl w:val="0"/>
                <w:numId w:val="4"/>
              </w:numPr>
              <w:autoSpaceDE w:val="0"/>
              <w:autoSpaceDN w:val="0"/>
              <w:adjustRightInd w:val="0"/>
              <w:ind w:left="357" w:hanging="357"/>
              <w:rPr>
                <w:rFonts w:eastAsia="Times New Roman" w:cstheme="minorHAnsi"/>
                <w:color w:val="000000"/>
                <w:lang w:eastAsia="en-GB"/>
              </w:rPr>
            </w:pPr>
            <w:r>
              <w:rPr>
                <w:rFonts w:eastAsia="Times New Roman" w:cstheme="minorHAnsi"/>
                <w:color w:val="000000"/>
                <w:lang w:eastAsia="en-GB"/>
              </w:rPr>
              <w:t>Weight and appetite</w:t>
            </w:r>
          </w:p>
          <w:p w14:paraId="26815927" w14:textId="77777777" w:rsidR="00900703" w:rsidRDefault="00900703" w:rsidP="00900703">
            <w:pPr>
              <w:autoSpaceDE w:val="0"/>
              <w:autoSpaceDN w:val="0"/>
              <w:adjustRightInd w:val="0"/>
              <w:rPr>
                <w:rFonts w:eastAsia="Times New Roman" w:cstheme="minorHAnsi"/>
                <w:color w:val="000000"/>
                <w:lang w:eastAsia="en-GB"/>
              </w:rPr>
            </w:pPr>
          </w:p>
          <w:p w14:paraId="01CD7DF5" w14:textId="77777777" w:rsidR="00900703" w:rsidRDefault="00900703" w:rsidP="00900703">
            <w:pPr>
              <w:autoSpaceDE w:val="0"/>
              <w:autoSpaceDN w:val="0"/>
              <w:adjustRightInd w:val="0"/>
              <w:rPr>
                <w:rFonts w:eastAsia="Times New Roman" w:cstheme="minorHAnsi"/>
                <w:color w:val="000000"/>
                <w:lang w:eastAsia="en-GB"/>
              </w:rPr>
            </w:pPr>
          </w:p>
          <w:p w14:paraId="31A047B1" w14:textId="77777777" w:rsidR="00900703" w:rsidRDefault="00900703" w:rsidP="00900703">
            <w:pPr>
              <w:autoSpaceDE w:val="0"/>
              <w:autoSpaceDN w:val="0"/>
              <w:adjustRightInd w:val="0"/>
              <w:rPr>
                <w:rFonts w:eastAsia="Times New Roman" w:cstheme="minorHAnsi"/>
                <w:color w:val="000000"/>
                <w:lang w:eastAsia="en-GB"/>
              </w:rPr>
            </w:pPr>
          </w:p>
          <w:p w14:paraId="11AF9A9C" w14:textId="77777777" w:rsidR="00900703" w:rsidRPr="00900703" w:rsidRDefault="00900703" w:rsidP="00900703">
            <w:pPr>
              <w:autoSpaceDE w:val="0"/>
              <w:autoSpaceDN w:val="0"/>
              <w:adjustRightInd w:val="0"/>
              <w:rPr>
                <w:rFonts w:eastAsia="Times New Roman" w:cstheme="minorHAnsi"/>
                <w:color w:val="000000"/>
                <w:lang w:eastAsia="en-GB"/>
              </w:rPr>
            </w:pPr>
          </w:p>
          <w:p w14:paraId="50A578B1" w14:textId="77777777" w:rsidR="00C57EE9" w:rsidRDefault="00C57EE9" w:rsidP="00C57EE9">
            <w:pPr>
              <w:pStyle w:val="ListParagraph"/>
              <w:numPr>
                <w:ilvl w:val="0"/>
                <w:numId w:val="4"/>
              </w:numPr>
              <w:autoSpaceDE w:val="0"/>
              <w:autoSpaceDN w:val="0"/>
              <w:adjustRightInd w:val="0"/>
              <w:ind w:left="357" w:hanging="357"/>
              <w:rPr>
                <w:rFonts w:eastAsia="Times New Roman" w:cstheme="minorHAnsi"/>
                <w:color w:val="000000"/>
                <w:lang w:eastAsia="en-GB"/>
              </w:rPr>
            </w:pPr>
            <w:r>
              <w:rPr>
                <w:rFonts w:eastAsia="Times New Roman" w:cstheme="minorHAnsi"/>
                <w:color w:val="000000"/>
                <w:lang w:eastAsia="en-GB"/>
              </w:rPr>
              <w:t xml:space="preserve">Assessment for new or worsening psychiatric and neurological signs or symptoms (e.g. tics, anxiety, depression, symptoms of bipolar disorder, aggressive or hostile behaviour) </w:t>
            </w:r>
          </w:p>
          <w:p w14:paraId="77141090" w14:textId="77777777" w:rsidR="00C57EE9" w:rsidRDefault="00C57EE9" w:rsidP="00C57EE9">
            <w:pPr>
              <w:pStyle w:val="ListParagraph"/>
              <w:numPr>
                <w:ilvl w:val="0"/>
                <w:numId w:val="4"/>
              </w:numPr>
              <w:autoSpaceDE w:val="0"/>
              <w:autoSpaceDN w:val="0"/>
              <w:adjustRightInd w:val="0"/>
              <w:spacing w:before="0" w:after="120"/>
              <w:ind w:left="357" w:hanging="357"/>
              <w:rPr>
                <w:rFonts w:eastAsia="Times New Roman" w:cs="Arial"/>
                <w:b/>
                <w:szCs w:val="24"/>
                <w:lang w:eastAsia="en-GB"/>
              </w:rPr>
            </w:pPr>
            <w:r>
              <w:rPr>
                <w:rFonts w:eastAsia="Times New Roman" w:cstheme="minorHAnsi"/>
                <w:color w:val="000000"/>
                <w:lang w:eastAsia="en-GB"/>
              </w:rPr>
              <w:t>Explore whether patient is experiencing any difficulties with sleep</w:t>
            </w:r>
          </w:p>
        </w:tc>
        <w:tc>
          <w:tcPr>
            <w:tcW w:w="5245" w:type="dxa"/>
            <w:hideMark/>
          </w:tcPr>
          <w:p w14:paraId="3C044EF4" w14:textId="77777777" w:rsidR="002107D4" w:rsidRDefault="00C57EE9" w:rsidP="00D87D5C">
            <w:pPr>
              <w:rPr>
                <w:rFonts w:eastAsia="Times New Roman" w:cstheme="minorHAnsi"/>
                <w:iCs/>
                <w:color w:val="000000"/>
                <w:lang w:eastAsia="en-GB"/>
              </w:rPr>
            </w:pPr>
            <w:r>
              <w:rPr>
                <w:rFonts w:eastAsia="Times New Roman" w:cstheme="minorHAnsi"/>
                <w:iCs/>
                <w:color w:val="000000"/>
                <w:lang w:eastAsia="en-GB"/>
              </w:rPr>
              <w:t xml:space="preserve">Every 6 months, and after any change of dose recommended by, and agreed with the specialist team. </w:t>
            </w:r>
          </w:p>
          <w:p w14:paraId="6A6192F3" w14:textId="1FE1FF1A" w:rsidR="00C57EE9" w:rsidRPr="002107D4" w:rsidRDefault="00230D3A" w:rsidP="00D87D5C">
            <w:pPr>
              <w:rPr>
                <w:rFonts w:eastAsia="Times New Roman" w:cstheme="minorHAnsi"/>
                <w:iCs/>
                <w:color w:val="0070C0"/>
                <w:lang w:eastAsia="en-GB"/>
              </w:rPr>
            </w:pPr>
            <w:r w:rsidRPr="002107D4">
              <w:rPr>
                <w:rFonts w:eastAsia="Times New Roman" w:cstheme="minorHAnsi"/>
                <w:iCs/>
                <w:color w:val="0070C0"/>
                <w:lang w:eastAsia="en-GB"/>
              </w:rPr>
              <w:t>For under 18s, record BP, height and weight on centile charts to detect clinically important changes.</w:t>
            </w:r>
          </w:p>
          <w:p w14:paraId="0CBE8995" w14:textId="1A8767CD" w:rsidR="00900703" w:rsidRPr="00BE5216" w:rsidRDefault="00900703" w:rsidP="00900703">
            <w:pPr>
              <w:rPr>
                <w:rFonts w:eastAsia="Times New Roman" w:cs="Arial"/>
                <w:iCs/>
                <w:color w:val="0070C0"/>
                <w:lang w:eastAsia="en-GB"/>
              </w:rPr>
            </w:pPr>
            <w:r w:rsidRPr="00BE5216">
              <w:rPr>
                <w:rFonts w:eastAsia="Times New Roman" w:cs="Arial"/>
                <w:iCs/>
                <w:color w:val="0070C0"/>
                <w:lang w:eastAsia="en-GB"/>
              </w:rPr>
              <w:t xml:space="preserve">Children aged </w:t>
            </w:r>
            <w:r>
              <w:rPr>
                <w:rFonts w:eastAsia="Times New Roman" w:cs="Arial"/>
                <w:iCs/>
                <w:color w:val="0070C0"/>
                <w:lang w:eastAsia="en-GB"/>
              </w:rPr>
              <w:t>6 to 10 years of age - e</w:t>
            </w:r>
            <w:r w:rsidRPr="00BE5216">
              <w:rPr>
                <w:rFonts w:eastAsia="Times New Roman" w:cs="Arial"/>
                <w:iCs/>
                <w:color w:val="0070C0"/>
                <w:lang w:eastAsia="en-GB"/>
              </w:rPr>
              <w:t xml:space="preserve">very 3 months – record </w:t>
            </w:r>
            <w:r>
              <w:rPr>
                <w:rFonts w:eastAsia="Times New Roman" w:cs="Arial"/>
                <w:iCs/>
                <w:color w:val="0070C0"/>
                <w:lang w:eastAsia="en-GB"/>
              </w:rPr>
              <w:t xml:space="preserve">weight </w:t>
            </w:r>
            <w:r w:rsidRPr="00BE5216">
              <w:rPr>
                <w:rFonts w:eastAsia="Times New Roman" w:cs="Arial"/>
                <w:iCs/>
                <w:color w:val="0070C0"/>
                <w:lang w:eastAsia="en-GB"/>
              </w:rPr>
              <w:t>on a growth chart</w:t>
            </w:r>
          </w:p>
          <w:p w14:paraId="04B0C7AA" w14:textId="77777777" w:rsidR="00900703" w:rsidRPr="0014610E" w:rsidRDefault="00900703" w:rsidP="00900703">
            <w:pPr>
              <w:rPr>
                <w:rFonts w:eastAsia="Times New Roman" w:cs="Arial"/>
                <w:iCs/>
                <w:color w:val="0070C0"/>
                <w:lang w:eastAsia="en-GB"/>
              </w:rPr>
            </w:pPr>
            <w:r w:rsidRPr="00BE5216">
              <w:rPr>
                <w:rFonts w:eastAsia="Times New Roman" w:cs="Arial"/>
                <w:iCs/>
                <w:color w:val="0070C0"/>
                <w:lang w:eastAsia="en-GB"/>
              </w:rPr>
              <w:t xml:space="preserve">Children aged 11 – 17: </w:t>
            </w:r>
            <w:r>
              <w:rPr>
                <w:rFonts w:eastAsia="Times New Roman" w:cs="Arial"/>
                <w:iCs/>
                <w:color w:val="0070C0"/>
                <w:lang w:eastAsia="en-GB"/>
              </w:rPr>
              <w:t>at 3 months, 6 months then e</w:t>
            </w:r>
            <w:r w:rsidRPr="0014610E">
              <w:rPr>
                <w:rFonts w:eastAsia="Times New Roman" w:cs="Arial"/>
                <w:iCs/>
                <w:color w:val="0070C0"/>
                <w:lang w:eastAsia="en-GB"/>
              </w:rPr>
              <w:t>very 6 months – record on growth chart</w:t>
            </w:r>
          </w:p>
          <w:p w14:paraId="4332C963" w14:textId="77777777" w:rsidR="00230D3A" w:rsidRDefault="00900703" w:rsidP="00900703">
            <w:pPr>
              <w:rPr>
                <w:rFonts w:eastAsia="Times New Roman" w:cs="Arial"/>
                <w:iCs/>
                <w:color w:val="0070C0"/>
                <w:lang w:eastAsia="en-GB"/>
              </w:rPr>
            </w:pPr>
            <w:r w:rsidRPr="0014610E">
              <w:rPr>
                <w:rFonts w:eastAsia="Times New Roman" w:cs="Arial"/>
                <w:iCs/>
                <w:color w:val="0070C0"/>
                <w:lang w:eastAsia="en-GB"/>
              </w:rPr>
              <w:t>Adults: very 6 months</w:t>
            </w:r>
          </w:p>
          <w:p w14:paraId="46AD2933" w14:textId="77777777" w:rsidR="00900703" w:rsidRDefault="00900703" w:rsidP="00900703">
            <w:pPr>
              <w:rPr>
                <w:bCs/>
                <w:szCs w:val="24"/>
                <w:lang w:eastAsia="en-GB"/>
              </w:rPr>
            </w:pPr>
          </w:p>
          <w:p w14:paraId="57CC6497" w14:textId="71FEED0C" w:rsidR="00900703" w:rsidRPr="00EF3628" w:rsidRDefault="00900703" w:rsidP="00900703">
            <w:pPr>
              <w:rPr>
                <w:bCs/>
                <w:szCs w:val="24"/>
                <w:lang w:eastAsia="en-GB"/>
              </w:rPr>
            </w:pPr>
            <w:r>
              <w:rPr>
                <w:bCs/>
                <w:szCs w:val="24"/>
                <w:lang w:eastAsia="en-GB"/>
              </w:rPr>
              <w:t>At least every 6 months</w:t>
            </w:r>
          </w:p>
        </w:tc>
      </w:tr>
      <w:tr w:rsidR="00C57EE9" w14:paraId="43C451D5" w14:textId="77777777" w:rsidTr="00D87D5C">
        <w:tblPrEx>
          <w:tblCellMar>
            <w:top w:w="0" w:type="dxa"/>
            <w:bottom w:w="0" w:type="dxa"/>
          </w:tblCellMar>
          <w:tblLook w:val="04A0" w:firstRow="1" w:lastRow="0" w:firstColumn="1" w:lastColumn="0" w:noHBand="0" w:noVBand="1"/>
        </w:tblPrEx>
        <w:trPr>
          <w:trHeight w:val="140"/>
        </w:trPr>
        <w:tc>
          <w:tcPr>
            <w:tcW w:w="5245" w:type="dxa"/>
            <w:hideMark/>
          </w:tcPr>
          <w:p w14:paraId="2C475668" w14:textId="77777777" w:rsidR="00C57EE9" w:rsidRPr="00BB1B71" w:rsidRDefault="00C57EE9" w:rsidP="00D87D5C">
            <w:pPr>
              <w:spacing w:before="0" w:after="120"/>
              <w:rPr>
                <w:rFonts w:eastAsia="Times New Roman" w:cs="Arial"/>
                <w:szCs w:val="24"/>
                <w:lang w:eastAsia="en-GB"/>
              </w:rPr>
            </w:pPr>
            <w:r w:rsidRPr="00BB1B71">
              <w:rPr>
                <w:rFonts w:eastAsia="Times New Roman" w:cstheme="minorHAnsi"/>
                <w:color w:val="000000"/>
                <w:lang w:eastAsia="en-GB"/>
              </w:rPr>
              <w:t>Assessment</w:t>
            </w:r>
            <w:r>
              <w:t xml:space="preserve"> </w:t>
            </w:r>
            <w:r w:rsidRPr="00BB1B71">
              <w:rPr>
                <w:rFonts w:eastAsia="Times New Roman" w:cstheme="minorHAnsi"/>
                <w:color w:val="000000"/>
                <w:lang w:eastAsia="en-GB"/>
              </w:rPr>
              <w:t>of adherence, and for any indication of lisdexamfetamine abuse, misuse, or diversion</w:t>
            </w:r>
          </w:p>
        </w:tc>
        <w:tc>
          <w:tcPr>
            <w:tcW w:w="5245" w:type="dxa"/>
            <w:hideMark/>
          </w:tcPr>
          <w:p w14:paraId="47CAA262" w14:textId="77777777" w:rsidR="00C57EE9" w:rsidRDefault="00C57EE9" w:rsidP="00D87D5C">
            <w:pPr>
              <w:rPr>
                <w:lang w:eastAsia="en-GB"/>
              </w:rPr>
            </w:pPr>
            <w:r>
              <w:rPr>
                <w:rFonts w:eastAsia="Times New Roman" w:cstheme="minorHAnsi"/>
                <w:iCs/>
                <w:color w:val="000000"/>
                <w:lang w:eastAsia="en-GB"/>
              </w:rPr>
              <w:t>As required, based on the patient’s needs and individual circumstances</w:t>
            </w:r>
          </w:p>
        </w:tc>
      </w:tr>
      <w:tr w:rsidR="00C57EE9" w14:paraId="51C8D528" w14:textId="77777777" w:rsidTr="00D87D5C">
        <w:tblPrEx>
          <w:tblCellMar>
            <w:top w:w="0" w:type="dxa"/>
            <w:bottom w:w="0" w:type="dxa"/>
          </w:tblCellMar>
          <w:tblLook w:val="04A0" w:firstRow="1" w:lastRow="0" w:firstColumn="1" w:lastColumn="0" w:noHBand="0" w:noVBand="1"/>
        </w:tblPrEx>
        <w:trPr>
          <w:trHeight w:val="140"/>
        </w:trPr>
        <w:tc>
          <w:tcPr>
            <w:tcW w:w="5245" w:type="dxa"/>
            <w:hideMark/>
          </w:tcPr>
          <w:p w14:paraId="5D84361D" w14:textId="77777777" w:rsidR="00C57EE9" w:rsidRDefault="00C57EE9" w:rsidP="00D87D5C">
            <w:pPr>
              <w:spacing w:before="0" w:after="50"/>
              <w:rPr>
                <w:lang w:eastAsia="en-GB"/>
              </w:rPr>
            </w:pPr>
            <w:r w:rsidRPr="00BB1B71">
              <w:rPr>
                <w:rFonts w:eastAsia="Times New Roman" w:cstheme="minorHAnsi"/>
                <w:color w:val="000000"/>
                <w:lang w:eastAsia="en-GB"/>
              </w:rPr>
              <w:t>Review to ensure patient has been offered and attended an annual review with a healthcare professional with expertise in ADHD</w:t>
            </w:r>
          </w:p>
        </w:tc>
        <w:tc>
          <w:tcPr>
            <w:tcW w:w="5245" w:type="dxa"/>
            <w:hideMark/>
          </w:tcPr>
          <w:p w14:paraId="341CD94B" w14:textId="77777777" w:rsidR="00C57EE9" w:rsidRDefault="00C57EE9" w:rsidP="00D87D5C">
            <w:pPr>
              <w:rPr>
                <w:lang w:eastAsia="en-GB"/>
              </w:rPr>
            </w:pPr>
            <w:r>
              <w:rPr>
                <w:rFonts w:eastAsia="Times New Roman" w:cstheme="minorHAnsi"/>
                <w:iCs/>
                <w:color w:val="000000"/>
                <w:lang w:eastAsia="en-GB"/>
              </w:rPr>
              <w:t>Annually</w:t>
            </w:r>
          </w:p>
        </w:tc>
      </w:tr>
    </w:tbl>
    <w:p w14:paraId="20A6413D" w14:textId="77777777" w:rsidR="00C57EE9" w:rsidRDefault="00C57EE9" w:rsidP="00C57EE9"/>
    <w:p w14:paraId="2521959B" w14:textId="77777777" w:rsidR="00C57EE9" w:rsidRPr="00F321FC" w:rsidRDefault="00C57EE9" w:rsidP="00C57EE9">
      <w:pPr>
        <w:pStyle w:val="Heading2"/>
        <w:rPr>
          <w:rFonts w:cs="Arial"/>
        </w:rPr>
      </w:pPr>
      <w:bookmarkStart w:id="24" w:name="_Toc149231791"/>
      <w:r w:rsidRPr="00F321FC">
        <w:rPr>
          <w:rFonts w:cs="Arial"/>
        </w:rPr>
        <w:t>Pharmaceutical aspects</w:t>
      </w:r>
      <w:bookmarkEnd w:id="24"/>
    </w:p>
    <w:tbl>
      <w:tblPr>
        <w:tblStyle w:val="TableGridLight1"/>
        <w:tblW w:w="10490" w:type="dxa"/>
        <w:tblInd w:w="-5" w:type="dxa"/>
        <w:tblCellMar>
          <w:top w:w="57" w:type="dxa"/>
          <w:bottom w:w="57" w:type="dxa"/>
        </w:tblCellMar>
        <w:tblLook w:val="0480" w:firstRow="0" w:lastRow="0" w:firstColumn="1" w:lastColumn="0" w:noHBand="0" w:noVBand="1"/>
      </w:tblPr>
      <w:tblGrid>
        <w:gridCol w:w="2410"/>
        <w:gridCol w:w="8080"/>
      </w:tblGrid>
      <w:tr w:rsidR="00C57EE9" w:rsidRPr="00F321FC" w14:paraId="2476B401" w14:textId="77777777" w:rsidTr="00D87D5C">
        <w:trPr>
          <w:cantSplit/>
        </w:trPr>
        <w:tc>
          <w:tcPr>
            <w:tcW w:w="2410" w:type="dxa"/>
          </w:tcPr>
          <w:p w14:paraId="147529FC" w14:textId="77777777" w:rsidR="00C57EE9" w:rsidRPr="00F321FC" w:rsidRDefault="00C57EE9" w:rsidP="00D87D5C">
            <w:pPr>
              <w:rPr>
                <w:rFonts w:cs="Arial"/>
              </w:rPr>
            </w:pPr>
            <w:r w:rsidRPr="00F321FC">
              <w:rPr>
                <w:rFonts w:cs="Arial"/>
              </w:rPr>
              <w:t>Route of administration:</w:t>
            </w:r>
          </w:p>
        </w:tc>
        <w:tc>
          <w:tcPr>
            <w:tcW w:w="8080" w:type="dxa"/>
            <w:vAlign w:val="center"/>
          </w:tcPr>
          <w:p w14:paraId="6DD877BE" w14:textId="77777777" w:rsidR="00C57EE9" w:rsidRPr="00F321FC" w:rsidRDefault="00C57EE9" w:rsidP="00D87D5C">
            <w:pPr>
              <w:rPr>
                <w:rFonts w:cs="Arial"/>
              </w:rPr>
            </w:pPr>
            <w:r w:rsidRPr="003C26FF">
              <w:rPr>
                <w:rFonts w:cs="Arial"/>
              </w:rPr>
              <w:t>Oral</w:t>
            </w:r>
          </w:p>
        </w:tc>
      </w:tr>
      <w:tr w:rsidR="00C57EE9" w:rsidRPr="00F321FC" w14:paraId="282401AF" w14:textId="77777777" w:rsidTr="00D87D5C">
        <w:trPr>
          <w:cantSplit/>
        </w:trPr>
        <w:tc>
          <w:tcPr>
            <w:tcW w:w="2410" w:type="dxa"/>
          </w:tcPr>
          <w:p w14:paraId="78E44721" w14:textId="77777777" w:rsidR="00C57EE9" w:rsidRPr="00F321FC" w:rsidRDefault="00C57EE9" w:rsidP="00D87D5C">
            <w:pPr>
              <w:rPr>
                <w:rFonts w:cs="Arial"/>
              </w:rPr>
            </w:pPr>
            <w:r w:rsidRPr="00F321FC">
              <w:rPr>
                <w:rFonts w:cs="Arial"/>
              </w:rPr>
              <w:t>Formulation:</w:t>
            </w:r>
          </w:p>
        </w:tc>
        <w:tc>
          <w:tcPr>
            <w:tcW w:w="8080" w:type="dxa"/>
            <w:vAlign w:val="center"/>
          </w:tcPr>
          <w:p w14:paraId="6889A2BD" w14:textId="12052A8C" w:rsidR="00C57EE9" w:rsidRPr="003C26FF" w:rsidRDefault="00C57EE9" w:rsidP="00D87D5C">
            <w:pPr>
              <w:rPr>
                <w:rFonts w:cs="Arial"/>
                <w:iCs/>
                <w:lang w:val="en-US"/>
              </w:rPr>
            </w:pPr>
            <w:r w:rsidRPr="003C26FF">
              <w:rPr>
                <w:rFonts w:cs="Arial"/>
                <w:iCs/>
                <w:lang w:val="en-US"/>
              </w:rPr>
              <w:t xml:space="preserve">Lisdexamfetamine dimesylate </w:t>
            </w:r>
            <w:r>
              <w:rPr>
                <w:rFonts w:cs="Arial"/>
                <w:iCs/>
                <w:lang w:val="en-US"/>
              </w:rPr>
              <w:t xml:space="preserve">20mg, </w:t>
            </w:r>
            <w:r w:rsidRPr="003C26FF">
              <w:rPr>
                <w:rFonts w:cs="Arial"/>
                <w:iCs/>
                <w:lang w:val="en-US"/>
              </w:rPr>
              <w:t>30mg</w:t>
            </w:r>
            <w:r>
              <w:rPr>
                <w:rFonts w:cs="Arial"/>
                <w:iCs/>
                <w:lang w:val="en-US"/>
              </w:rPr>
              <w:t>,</w:t>
            </w:r>
            <w:r w:rsidRPr="003C26FF">
              <w:rPr>
                <w:rFonts w:cs="Arial"/>
                <w:iCs/>
                <w:lang w:val="en-US"/>
              </w:rPr>
              <w:t xml:space="preserve"> 50mg</w:t>
            </w:r>
            <w:r>
              <w:rPr>
                <w:rFonts w:cs="Arial"/>
                <w:iCs/>
                <w:lang w:val="en-US"/>
              </w:rPr>
              <w:t>, 60mg</w:t>
            </w:r>
            <w:r w:rsidRPr="003C26FF">
              <w:rPr>
                <w:rFonts w:cs="Arial"/>
                <w:iCs/>
                <w:lang w:val="en-US"/>
              </w:rPr>
              <w:t xml:space="preserve"> and 70mg hard </w:t>
            </w:r>
            <w:commentRangeStart w:id="25"/>
            <w:r w:rsidRPr="003C26FF">
              <w:rPr>
                <w:rFonts w:cs="Arial"/>
                <w:iCs/>
                <w:lang w:val="en-US"/>
              </w:rPr>
              <w:t>capsules</w:t>
            </w:r>
            <w:commentRangeEnd w:id="25"/>
            <w:r w:rsidR="00CC2884">
              <w:rPr>
                <w:rStyle w:val="CommentReference"/>
              </w:rPr>
              <w:commentReference w:id="25"/>
            </w:r>
            <w:r w:rsidRPr="003C26FF">
              <w:rPr>
                <w:rFonts w:cs="Arial"/>
                <w:iCs/>
                <w:lang w:val="en-US"/>
              </w:rPr>
              <w:t xml:space="preserve"> (Elvanse Adult®)</w:t>
            </w:r>
          </w:p>
          <w:p w14:paraId="26E6826A" w14:textId="77777777" w:rsidR="00C57EE9" w:rsidRDefault="00C57EE9" w:rsidP="00D87D5C">
            <w:pPr>
              <w:rPr>
                <w:rFonts w:cs="Arial"/>
                <w:iCs/>
                <w:lang w:val="en-US"/>
              </w:rPr>
            </w:pPr>
            <w:r w:rsidRPr="003C26FF">
              <w:rPr>
                <w:rFonts w:cs="Arial"/>
                <w:iCs/>
                <w:lang w:val="en-US"/>
              </w:rPr>
              <w:t xml:space="preserve">Lisdexamfetamine dimesylate 20mg, 30mg, 40mg, 50mg, 60mg and 70mg hard capsules (Elvanse®) – use in adults may be considered off-label. </w:t>
            </w:r>
            <w:r w:rsidRPr="00D82CAC">
              <w:rPr>
                <w:rFonts w:cs="Arial"/>
                <w:iCs/>
                <w:lang w:val="en-US"/>
              </w:rPr>
              <w:t xml:space="preserve">See </w:t>
            </w:r>
            <w:hyperlink r:id="rId18" w:history="1">
              <w:r w:rsidRPr="00D82CAC">
                <w:rPr>
                  <w:rStyle w:val="Hyperlink"/>
                  <w:rFonts w:cs="Arial"/>
                  <w:iCs/>
                  <w:lang w:val="en-US"/>
                </w:rPr>
                <w:t>SPCs</w:t>
              </w:r>
            </w:hyperlink>
            <w:r w:rsidRPr="003C26FF">
              <w:rPr>
                <w:rFonts w:cs="Arial"/>
                <w:iCs/>
                <w:lang w:val="en-US"/>
              </w:rPr>
              <w:t xml:space="preserve"> for full details.</w:t>
            </w:r>
          </w:p>
          <w:p w14:paraId="03352047" w14:textId="78CBAEFC" w:rsidR="00EF3628" w:rsidRPr="00F321FC" w:rsidRDefault="00EF3628" w:rsidP="00EF3628">
            <w:pPr>
              <w:rPr>
                <w:rFonts w:cs="Arial"/>
              </w:rPr>
            </w:pPr>
          </w:p>
        </w:tc>
      </w:tr>
      <w:tr w:rsidR="00C57EE9" w:rsidRPr="00F321FC" w14:paraId="4A2F0E21" w14:textId="77777777" w:rsidTr="00D87D5C">
        <w:trPr>
          <w:cantSplit/>
        </w:trPr>
        <w:tc>
          <w:tcPr>
            <w:tcW w:w="2410" w:type="dxa"/>
          </w:tcPr>
          <w:p w14:paraId="086171C5" w14:textId="77777777" w:rsidR="00C57EE9" w:rsidRPr="00F321FC" w:rsidRDefault="00C57EE9" w:rsidP="00D87D5C">
            <w:pPr>
              <w:rPr>
                <w:rFonts w:cs="Arial"/>
              </w:rPr>
            </w:pPr>
            <w:r w:rsidRPr="00F321FC">
              <w:rPr>
                <w:rFonts w:cs="Arial"/>
              </w:rPr>
              <w:t>Administration details:</w:t>
            </w:r>
          </w:p>
        </w:tc>
        <w:tc>
          <w:tcPr>
            <w:tcW w:w="8080" w:type="dxa"/>
            <w:vAlign w:val="center"/>
          </w:tcPr>
          <w:p w14:paraId="1D5638DB" w14:textId="7DC54A51" w:rsidR="00C57EE9" w:rsidRPr="003C26FF" w:rsidRDefault="00C57EE9" w:rsidP="00D87D5C">
            <w:pPr>
              <w:rPr>
                <w:rFonts w:cs="Arial"/>
              </w:rPr>
            </w:pPr>
            <w:r w:rsidRPr="003C26FF">
              <w:rPr>
                <w:rFonts w:cs="Arial"/>
              </w:rPr>
              <w:t xml:space="preserve">The dose </w:t>
            </w:r>
            <w:r w:rsidR="00AC7E18" w:rsidRPr="002107D4">
              <w:rPr>
                <w:rFonts w:cs="Arial"/>
                <w:color w:val="0070C0"/>
              </w:rPr>
              <w:t xml:space="preserve">should be taken in the </w:t>
            </w:r>
            <w:r w:rsidR="002107D4" w:rsidRPr="002107D4">
              <w:rPr>
                <w:rFonts w:cs="Arial"/>
                <w:color w:val="0070C0"/>
              </w:rPr>
              <w:t>morning</w:t>
            </w:r>
            <w:r w:rsidR="002107D4">
              <w:rPr>
                <w:rFonts w:cs="Arial"/>
              </w:rPr>
              <w:t>,</w:t>
            </w:r>
            <w:r w:rsidR="00AC7E18">
              <w:rPr>
                <w:rFonts w:cs="Arial"/>
              </w:rPr>
              <w:t xml:space="preserve"> </w:t>
            </w:r>
            <w:r w:rsidRPr="003C26FF">
              <w:rPr>
                <w:rFonts w:cs="Arial"/>
              </w:rPr>
              <w:t>with or without food</w:t>
            </w:r>
          </w:p>
          <w:p w14:paraId="0FCFFC6F" w14:textId="25D514BA" w:rsidR="00C57EE9" w:rsidRPr="003C26FF" w:rsidRDefault="00C57EE9" w:rsidP="00D87D5C">
            <w:pPr>
              <w:rPr>
                <w:rFonts w:cs="Arial"/>
              </w:rPr>
            </w:pPr>
            <w:r w:rsidRPr="003C26FF">
              <w:rPr>
                <w:rFonts w:cs="Arial"/>
              </w:rPr>
              <w:t xml:space="preserve">Lisdexamfetamine capsules may be swallowed whole, or the capsule </w:t>
            </w:r>
            <w:r w:rsidR="002107D4" w:rsidRPr="003C26FF">
              <w:rPr>
                <w:rFonts w:cs="Arial"/>
              </w:rPr>
              <w:t>opened,</w:t>
            </w:r>
            <w:r w:rsidRPr="003C26FF">
              <w:rPr>
                <w:rFonts w:cs="Arial"/>
              </w:rPr>
              <w:t xml:space="preserve"> and the entire contents emptied and mixed with a soft food such as yogurt or in a glass of water or orange juice</w:t>
            </w:r>
            <w:r w:rsidR="00AC7E18">
              <w:rPr>
                <w:rFonts w:cs="Arial"/>
              </w:rPr>
              <w:t xml:space="preserve"> </w:t>
            </w:r>
            <w:r w:rsidR="00AC7E18" w:rsidRPr="002107D4">
              <w:rPr>
                <w:rFonts w:cs="Arial"/>
                <w:color w:val="0070C0"/>
              </w:rPr>
              <w:t xml:space="preserve">(this does not affect the duration of action of each dose). The contents should be stirred until completely dispersed. The patient must consume the whole portion of food or drink immediately; it should not be </w:t>
            </w:r>
            <w:r w:rsidR="002107D4" w:rsidRPr="002107D4">
              <w:rPr>
                <w:rFonts w:cs="Arial"/>
                <w:color w:val="0070C0"/>
              </w:rPr>
              <w:t>stored. The</w:t>
            </w:r>
            <w:r w:rsidR="00AC7E18" w:rsidRPr="002107D4">
              <w:rPr>
                <w:rFonts w:cs="Arial"/>
                <w:color w:val="0070C0"/>
              </w:rPr>
              <w:t xml:space="preserve"> active ingredient dissolves completely once dispersed; however, a film containing the inactive ingredients may remain in the glass or container once the mixture is consumed.</w:t>
            </w:r>
            <w:r w:rsidRPr="002107D4">
              <w:rPr>
                <w:rFonts w:cs="Arial"/>
                <w:color w:val="0070C0"/>
              </w:rPr>
              <w:t xml:space="preserve"> </w:t>
            </w:r>
            <w:r w:rsidRPr="003C26FF">
              <w:rPr>
                <w:rFonts w:cs="Arial"/>
              </w:rPr>
              <w:t xml:space="preserve">See </w:t>
            </w:r>
            <w:hyperlink r:id="rId19" w:history="1">
              <w:r w:rsidRPr="003C26FF">
                <w:rPr>
                  <w:rStyle w:val="Hyperlink"/>
                  <w:rFonts w:cs="Arial"/>
                </w:rPr>
                <w:t>SPC</w:t>
              </w:r>
            </w:hyperlink>
            <w:r w:rsidRPr="003C26FF">
              <w:rPr>
                <w:rFonts w:cs="Arial"/>
              </w:rPr>
              <w:t xml:space="preserve"> for further information</w:t>
            </w:r>
          </w:p>
          <w:p w14:paraId="3913DDC1" w14:textId="37C61F95" w:rsidR="00C57EE9" w:rsidRPr="00F321FC" w:rsidRDefault="00C57EE9" w:rsidP="00D87D5C">
            <w:pPr>
              <w:rPr>
                <w:rFonts w:cs="Arial"/>
              </w:rPr>
            </w:pPr>
            <w:r w:rsidRPr="003C26FF">
              <w:rPr>
                <w:rFonts w:cs="Arial"/>
              </w:rPr>
              <w:t xml:space="preserve">If a dose is </w:t>
            </w:r>
            <w:r w:rsidR="002107D4" w:rsidRPr="003C26FF">
              <w:rPr>
                <w:rFonts w:cs="Arial"/>
              </w:rPr>
              <w:t>missed,</w:t>
            </w:r>
            <w:r w:rsidRPr="003C26FF">
              <w:rPr>
                <w:rFonts w:cs="Arial"/>
              </w:rPr>
              <w:t xml:space="preserve"> then the next scheduled dose should be taken as usual; </w:t>
            </w:r>
            <w:r w:rsidRPr="003C26FF">
              <w:rPr>
                <w:rFonts w:cs="Arial"/>
                <w:u w:val="single"/>
              </w:rPr>
              <w:t>a double dose should not be taken to make up for a missed dose</w:t>
            </w:r>
            <w:r w:rsidRPr="003C26FF">
              <w:rPr>
                <w:rFonts w:cs="Arial"/>
              </w:rPr>
              <w:t>. Afternoon doses should be avoided because of the potential for insomnia</w:t>
            </w:r>
            <w:r>
              <w:rPr>
                <w:rFonts w:cs="Arial"/>
              </w:rPr>
              <w:t>.</w:t>
            </w:r>
          </w:p>
        </w:tc>
      </w:tr>
      <w:tr w:rsidR="00C57EE9" w:rsidRPr="00F321FC" w14:paraId="1B5B33EE" w14:textId="77777777" w:rsidTr="00D87D5C">
        <w:trPr>
          <w:cantSplit/>
        </w:trPr>
        <w:tc>
          <w:tcPr>
            <w:tcW w:w="2410" w:type="dxa"/>
          </w:tcPr>
          <w:p w14:paraId="0A3DD9BD" w14:textId="77777777" w:rsidR="00C57EE9" w:rsidRPr="00F321FC" w:rsidRDefault="00C57EE9" w:rsidP="00D87D5C">
            <w:pPr>
              <w:rPr>
                <w:rFonts w:cs="Arial"/>
              </w:rPr>
            </w:pPr>
            <w:r>
              <w:rPr>
                <w:rFonts w:cs="Arial"/>
              </w:rPr>
              <w:lastRenderedPageBreak/>
              <w:t xml:space="preserve">Other important information: </w:t>
            </w:r>
          </w:p>
        </w:tc>
        <w:tc>
          <w:tcPr>
            <w:tcW w:w="8080" w:type="dxa"/>
            <w:vAlign w:val="center"/>
          </w:tcPr>
          <w:p w14:paraId="01D6E1A9" w14:textId="4C1D50EE" w:rsidR="00C57EE9" w:rsidRPr="00815941" w:rsidDel="00815941" w:rsidRDefault="00C57EE9" w:rsidP="002107D4">
            <w:pPr>
              <w:tabs>
                <w:tab w:val="right" w:pos="2464"/>
                <w:tab w:val="left" w:pos="2604"/>
              </w:tabs>
              <w:rPr>
                <w:del w:id="26" w:author="HAIDER, Maymouna (TEES, ESK AND WEAR VALLEYS NHS FOUNDATION TRUST)" w:date="2024-11-15T12:32:00Z"/>
                <w:rFonts w:cs="Arial"/>
                <w:sz w:val="20"/>
                <w:szCs w:val="20"/>
                <w:rPrChange w:id="27" w:author="HAIDER, Maymouna (TEES, ESK AND WEAR VALLEYS NHS FOUNDATION TRUST)" w:date="2024-11-15T12:32:00Z">
                  <w:rPr>
                    <w:del w:id="28" w:author="HAIDER, Maymouna (TEES, ESK AND WEAR VALLEYS NHS FOUNDATION TRUST)" w:date="2024-11-15T12:32:00Z"/>
                    <w:rFonts w:eastAsia="Times New Roman" w:cstheme="minorHAnsi"/>
                    <w:szCs w:val="24"/>
                    <w:lang w:eastAsia="en-GB"/>
                  </w:rPr>
                </w:rPrChange>
              </w:rPr>
            </w:pPr>
            <w:r w:rsidRPr="003C26FF">
              <w:rPr>
                <w:rFonts w:eastAsia="Times New Roman" w:cstheme="minorHAnsi"/>
                <w:szCs w:val="24"/>
                <w:lang w:eastAsia="en-GB"/>
              </w:rPr>
              <w:t xml:space="preserve">Lisdexamfetamine is a schedule 2 controlled drug and is subject to </w:t>
            </w:r>
            <w:hyperlink r:id="rId20" w:history="1">
              <w:r w:rsidRPr="003C26FF">
                <w:rPr>
                  <w:rStyle w:val="Hyperlink"/>
                  <w:rFonts w:eastAsia="Times New Roman" w:cstheme="minorHAnsi"/>
                  <w:szCs w:val="24"/>
                  <w:lang w:eastAsia="en-GB"/>
                </w:rPr>
                <w:t>legal prescription requirements</w:t>
              </w:r>
            </w:hyperlink>
            <w:r w:rsidRPr="00BB1B71">
              <w:rPr>
                <w:rFonts w:eastAsia="Times New Roman" w:cstheme="minorHAnsi"/>
                <w:szCs w:val="24"/>
                <w:lang w:eastAsia="en-GB"/>
              </w:rPr>
              <w:t>. I</w:t>
            </w:r>
            <w:r w:rsidRPr="00404539">
              <w:rPr>
                <w:rFonts w:eastAsia="Times New Roman" w:cstheme="minorHAnsi"/>
                <w:szCs w:val="24"/>
                <w:lang w:eastAsia="en-GB"/>
              </w:rPr>
              <w:t>t</w:t>
            </w:r>
            <w:r w:rsidRPr="003C26FF">
              <w:rPr>
                <w:rFonts w:eastAsia="Times New Roman" w:cstheme="minorHAnsi"/>
                <w:szCs w:val="24"/>
                <w:lang w:eastAsia="en-GB"/>
              </w:rPr>
              <w:t xml:space="preserve"> has the potential for misuse and diversion</w:t>
            </w:r>
            <w:r w:rsidR="002107D4">
              <w:rPr>
                <w:rFonts w:eastAsia="Times New Roman" w:cstheme="minorHAnsi"/>
                <w:szCs w:val="24"/>
                <w:lang w:eastAsia="en-GB"/>
              </w:rPr>
              <w:t>, it is good practice to limit prescription quantities to</w:t>
            </w:r>
            <w:r w:rsidR="00CC2884">
              <w:rPr>
                <w:rFonts w:eastAsia="Times New Roman" w:cstheme="minorHAnsi"/>
                <w:szCs w:val="24"/>
                <w:lang w:eastAsia="en-GB"/>
              </w:rPr>
              <w:t xml:space="preserve"> a</w:t>
            </w:r>
            <w:r w:rsidR="002107D4">
              <w:rPr>
                <w:rFonts w:eastAsia="Times New Roman" w:cstheme="minorHAnsi"/>
                <w:szCs w:val="24"/>
                <w:lang w:eastAsia="en-GB"/>
              </w:rPr>
              <w:t xml:space="preserve"> 28-30 </w:t>
            </w:r>
            <w:r w:rsidR="00CC2884">
              <w:rPr>
                <w:rFonts w:eastAsia="Times New Roman" w:cstheme="minorHAnsi"/>
                <w:szCs w:val="24"/>
                <w:lang w:eastAsia="en-GB"/>
              </w:rPr>
              <w:t>day</w:t>
            </w:r>
            <w:r w:rsidR="002107D4">
              <w:rPr>
                <w:rFonts w:eastAsia="Times New Roman" w:cstheme="minorHAnsi"/>
                <w:szCs w:val="24"/>
                <w:lang w:eastAsia="en-GB"/>
              </w:rPr>
              <w:t xml:space="preserve"> supply.</w:t>
            </w:r>
          </w:p>
          <w:p w14:paraId="2B9BB423" w14:textId="77777777" w:rsidR="00C57EE9" w:rsidRPr="003C26FF" w:rsidRDefault="00C57EE9" w:rsidP="00D87D5C">
            <w:pPr>
              <w:autoSpaceDE w:val="0"/>
              <w:autoSpaceDN w:val="0"/>
              <w:adjustRightInd w:val="0"/>
              <w:rPr>
                <w:rFonts w:eastAsia="Times New Roman" w:cstheme="minorHAnsi"/>
                <w:szCs w:val="24"/>
                <w:lang w:eastAsia="en-GB"/>
              </w:rPr>
            </w:pPr>
            <w:r w:rsidRPr="003C26FF">
              <w:rPr>
                <w:rFonts w:eastAsia="Times New Roman" w:cstheme="minorHAnsi"/>
                <w:szCs w:val="24"/>
                <w:lang w:eastAsia="en-GB"/>
              </w:rPr>
              <w:t>Patients should be advised to avoid alcohol which may exacerbate the central nervous system (CNS) side-effects of lisdexamfetamine</w:t>
            </w:r>
            <w:r>
              <w:rPr>
                <w:rFonts w:eastAsia="Times New Roman" w:cstheme="minorHAnsi"/>
                <w:szCs w:val="24"/>
                <w:lang w:eastAsia="en-GB"/>
              </w:rPr>
              <w:t>.</w:t>
            </w:r>
          </w:p>
          <w:p w14:paraId="0F5A6ED9" w14:textId="77777777" w:rsidR="00C57EE9" w:rsidRPr="001A51F3" w:rsidRDefault="00C57EE9" w:rsidP="00D87D5C">
            <w:pPr>
              <w:autoSpaceDE w:val="0"/>
              <w:autoSpaceDN w:val="0"/>
              <w:adjustRightInd w:val="0"/>
              <w:rPr>
                <w:rFonts w:eastAsia="Times New Roman" w:cstheme="minorHAnsi"/>
                <w:szCs w:val="24"/>
                <w:lang w:eastAsia="en-GB"/>
              </w:rPr>
            </w:pPr>
            <w:r w:rsidRPr="003C26FF">
              <w:rPr>
                <w:rFonts w:eastAsia="Times New Roman" w:cstheme="minorHAnsi"/>
                <w:szCs w:val="24"/>
                <w:lang w:eastAsia="en-GB"/>
              </w:rPr>
              <w:t>Amfetamines can cause a significant elevation in plasma corticosteroid levels. This increase is greatest in the evening. Amfetamines may interfere with urinary steroid determinations</w:t>
            </w:r>
            <w:r>
              <w:rPr>
                <w:rFonts w:eastAsia="Times New Roman" w:cstheme="minorHAnsi"/>
                <w:szCs w:val="24"/>
                <w:lang w:eastAsia="en-GB"/>
              </w:rPr>
              <w:t>.</w:t>
            </w:r>
          </w:p>
        </w:tc>
      </w:tr>
    </w:tbl>
    <w:p w14:paraId="14E3F4AD" w14:textId="77777777" w:rsidR="00C57EE9" w:rsidRDefault="00C57EE9" w:rsidP="00C57EE9"/>
    <w:p w14:paraId="082E41B4" w14:textId="77777777" w:rsidR="00C57EE9" w:rsidRDefault="00C57EE9" w:rsidP="00C57EE9"/>
    <w:tbl>
      <w:tblPr>
        <w:tblStyle w:val="TableGridLight1"/>
        <w:tblW w:w="0" w:type="auto"/>
        <w:tblInd w:w="-5" w:type="dxa"/>
        <w:tblCellMar>
          <w:top w:w="57" w:type="dxa"/>
          <w:bottom w:w="57" w:type="dxa"/>
        </w:tblCellMar>
        <w:tblLook w:val="0480" w:firstRow="0" w:lastRow="0" w:firstColumn="1" w:lastColumn="0" w:noHBand="0" w:noVBand="1"/>
      </w:tblPr>
      <w:tblGrid>
        <w:gridCol w:w="2407"/>
        <w:gridCol w:w="8054"/>
      </w:tblGrid>
      <w:tr w:rsidR="00C57EE9" w:rsidRPr="00F321FC" w14:paraId="15FE6CE3" w14:textId="77777777" w:rsidTr="00D87D5C">
        <w:tc>
          <w:tcPr>
            <w:tcW w:w="2407" w:type="dxa"/>
          </w:tcPr>
          <w:p w14:paraId="719B5A59" w14:textId="77777777" w:rsidR="00C57EE9" w:rsidRPr="00F321FC" w:rsidRDefault="00C57EE9" w:rsidP="00D87D5C">
            <w:pPr>
              <w:pStyle w:val="Heading2"/>
              <w:outlineLvl w:val="1"/>
              <w:rPr>
                <w:rFonts w:cs="Arial"/>
              </w:rPr>
            </w:pPr>
            <w:bookmarkStart w:id="29" w:name="_Cautions_and_contraindications"/>
            <w:bookmarkStart w:id="30" w:name="eight_cautions_cx"/>
            <w:bookmarkStart w:id="31" w:name="_Toc149231792"/>
            <w:bookmarkEnd w:id="29"/>
            <w:r w:rsidRPr="00F321FC">
              <w:rPr>
                <w:rFonts w:cs="Arial"/>
              </w:rPr>
              <w:t>C</w:t>
            </w:r>
            <w:r>
              <w:rPr>
                <w:rFonts w:cs="Arial"/>
              </w:rPr>
              <w:t>autions and c</w:t>
            </w:r>
            <w:r w:rsidRPr="00F321FC">
              <w:rPr>
                <w:rFonts w:cs="Arial"/>
              </w:rPr>
              <w:t>ontraindications</w:t>
            </w:r>
            <w:bookmarkEnd w:id="30"/>
            <w:bookmarkEnd w:id="31"/>
          </w:p>
        </w:tc>
        <w:tc>
          <w:tcPr>
            <w:tcW w:w="8054" w:type="dxa"/>
          </w:tcPr>
          <w:p w14:paraId="6FE5FEDE" w14:textId="77777777" w:rsidR="00C57EE9" w:rsidRDefault="00C57EE9" w:rsidP="00D87D5C">
            <w:pPr>
              <w:rPr>
                <w:rFonts w:cs="Arial"/>
              </w:rPr>
            </w:pPr>
            <w:r w:rsidRPr="00FB404F">
              <w:rPr>
                <w:rFonts w:cs="Arial"/>
              </w:rPr>
              <w:t>This information does not replace the Summary of Product Characteristics (SPC)</w:t>
            </w:r>
            <w:del w:id="32" w:author="Wood, Ria (Pharmacy)" w:date="2024-12-12T15:35:00Z">
              <w:r w:rsidRPr="00FB404F" w:rsidDel="00421B67">
                <w:rPr>
                  <w:rFonts w:cs="Arial"/>
                </w:rPr>
                <w:delText>,</w:delText>
              </w:r>
            </w:del>
            <w:r w:rsidRPr="00FB404F">
              <w:rPr>
                <w:rFonts w:cs="Arial"/>
              </w:rPr>
              <w:t xml:space="preserve"> and should be read in conjunction with it. Please see </w:t>
            </w:r>
            <w:hyperlink r:id="rId21" w:history="1">
              <w:r w:rsidRPr="00404539">
                <w:rPr>
                  <w:rStyle w:val="Hyperlink"/>
                  <w:rFonts w:cs="Arial"/>
                </w:rPr>
                <w:t>BNF</w:t>
              </w:r>
            </w:hyperlink>
            <w:r w:rsidRPr="00FB404F">
              <w:rPr>
                <w:rFonts w:cs="Arial"/>
              </w:rPr>
              <w:t xml:space="preserve"> &amp; </w:t>
            </w:r>
            <w:hyperlink r:id="rId22" w:history="1">
              <w:r w:rsidRPr="00404539">
                <w:rPr>
                  <w:rStyle w:val="Hyperlink"/>
                  <w:rFonts w:cs="Arial"/>
                </w:rPr>
                <w:t>SPC</w:t>
              </w:r>
            </w:hyperlink>
            <w:r w:rsidRPr="00FB404F">
              <w:rPr>
                <w:rFonts w:cs="Arial"/>
              </w:rPr>
              <w:t xml:space="preserve"> for comprehensive information.</w:t>
            </w:r>
          </w:p>
          <w:p w14:paraId="656F7246" w14:textId="77777777" w:rsidR="00C57EE9" w:rsidRDefault="00C57EE9" w:rsidP="00D87D5C">
            <w:pPr>
              <w:rPr>
                <w:rFonts w:cs="Arial"/>
              </w:rPr>
            </w:pPr>
          </w:p>
          <w:p w14:paraId="7F7FC95B" w14:textId="77777777" w:rsidR="00C57EE9" w:rsidRDefault="00C57EE9" w:rsidP="00D87D5C">
            <w:pPr>
              <w:rPr>
                <w:rFonts w:cs="Arial"/>
                <w:b/>
                <w:bCs/>
              </w:rPr>
            </w:pPr>
            <w:r>
              <w:rPr>
                <w:rFonts w:cs="Arial"/>
                <w:b/>
                <w:bCs/>
              </w:rPr>
              <w:t xml:space="preserve">Contraindications: </w:t>
            </w:r>
          </w:p>
          <w:p w14:paraId="645CB7C5" w14:textId="77777777" w:rsidR="00C57EE9" w:rsidRPr="003C26FF" w:rsidRDefault="00C57EE9" w:rsidP="00C57EE9">
            <w:pPr>
              <w:numPr>
                <w:ilvl w:val="0"/>
                <w:numId w:val="5"/>
              </w:numPr>
              <w:rPr>
                <w:rFonts w:cs="Arial"/>
                <w:bCs/>
                <w:iCs/>
              </w:rPr>
            </w:pPr>
            <w:r w:rsidRPr="003C26FF">
              <w:rPr>
                <w:rFonts w:cs="Arial"/>
                <w:bCs/>
                <w:iCs/>
              </w:rPr>
              <w:t xml:space="preserve">Known hypersensitivity to </w:t>
            </w:r>
            <w:r>
              <w:rPr>
                <w:rFonts w:cs="Arial"/>
                <w:bCs/>
                <w:iCs/>
              </w:rPr>
              <w:t>lisdexamfetamine</w:t>
            </w:r>
            <w:r w:rsidRPr="003C26FF">
              <w:rPr>
                <w:rFonts w:cs="Arial"/>
                <w:bCs/>
                <w:iCs/>
              </w:rPr>
              <w:t xml:space="preserve">, any of the excipients, or sympathomimetic amines. </w:t>
            </w:r>
          </w:p>
          <w:p w14:paraId="5402E964" w14:textId="77777777" w:rsidR="00C57EE9" w:rsidRPr="003C26FF" w:rsidRDefault="00C57EE9" w:rsidP="00C57EE9">
            <w:pPr>
              <w:numPr>
                <w:ilvl w:val="0"/>
                <w:numId w:val="5"/>
              </w:numPr>
              <w:rPr>
                <w:rFonts w:cs="Arial"/>
                <w:bCs/>
                <w:iCs/>
              </w:rPr>
            </w:pPr>
            <w:r w:rsidRPr="003C26FF">
              <w:rPr>
                <w:rFonts w:cs="Arial"/>
                <w:bCs/>
                <w:iCs/>
              </w:rPr>
              <w:t>Glaucoma.</w:t>
            </w:r>
          </w:p>
          <w:p w14:paraId="0EC07F97" w14:textId="77777777" w:rsidR="00C57EE9" w:rsidRPr="003C26FF" w:rsidRDefault="00C57EE9" w:rsidP="00C57EE9">
            <w:pPr>
              <w:numPr>
                <w:ilvl w:val="0"/>
                <w:numId w:val="5"/>
              </w:numPr>
              <w:rPr>
                <w:rFonts w:cs="Arial"/>
                <w:bCs/>
                <w:iCs/>
              </w:rPr>
            </w:pPr>
            <w:r w:rsidRPr="003C26FF">
              <w:rPr>
                <w:rFonts w:cs="Arial"/>
                <w:bCs/>
                <w:iCs/>
              </w:rPr>
              <w:t>Symptomatic cardiovascular disease.</w:t>
            </w:r>
          </w:p>
          <w:p w14:paraId="09EB8AAB" w14:textId="77777777" w:rsidR="00C57EE9" w:rsidRPr="003C26FF" w:rsidRDefault="00C57EE9" w:rsidP="00C57EE9">
            <w:pPr>
              <w:numPr>
                <w:ilvl w:val="0"/>
                <w:numId w:val="5"/>
              </w:numPr>
              <w:rPr>
                <w:rFonts w:cs="Arial"/>
                <w:bCs/>
                <w:iCs/>
              </w:rPr>
            </w:pPr>
            <w:r w:rsidRPr="003C26FF">
              <w:rPr>
                <w:rFonts w:cs="Arial"/>
                <w:bCs/>
                <w:iCs/>
              </w:rPr>
              <w:t>Moderate or severe hypertension.</w:t>
            </w:r>
          </w:p>
          <w:p w14:paraId="2C336830" w14:textId="77777777" w:rsidR="00C57EE9" w:rsidRPr="003C26FF" w:rsidRDefault="00C57EE9" w:rsidP="00C57EE9">
            <w:pPr>
              <w:numPr>
                <w:ilvl w:val="0"/>
                <w:numId w:val="5"/>
              </w:numPr>
              <w:rPr>
                <w:rFonts w:cs="Arial"/>
                <w:bCs/>
                <w:iCs/>
              </w:rPr>
            </w:pPr>
            <w:r w:rsidRPr="003C26FF">
              <w:rPr>
                <w:rFonts w:cs="Arial"/>
                <w:bCs/>
                <w:iCs/>
              </w:rPr>
              <w:t>Advanced arteriosclerosis.</w:t>
            </w:r>
          </w:p>
          <w:p w14:paraId="4B30B767" w14:textId="77777777" w:rsidR="00C57EE9" w:rsidRPr="003C26FF" w:rsidRDefault="00C57EE9" w:rsidP="00C57EE9">
            <w:pPr>
              <w:numPr>
                <w:ilvl w:val="0"/>
                <w:numId w:val="5"/>
              </w:numPr>
              <w:rPr>
                <w:rFonts w:cs="Arial"/>
                <w:bCs/>
                <w:iCs/>
              </w:rPr>
            </w:pPr>
            <w:r w:rsidRPr="003C26FF">
              <w:rPr>
                <w:rFonts w:cs="Arial"/>
                <w:bCs/>
                <w:iCs/>
              </w:rPr>
              <w:t>Concomitant use of monoamine oxidase inhibitors (MAOI) or within 14 days of MAOI treatment</w:t>
            </w:r>
            <w:r>
              <w:rPr>
                <w:rFonts w:cs="Arial"/>
                <w:bCs/>
                <w:iCs/>
              </w:rPr>
              <w:t xml:space="preserve"> (see </w:t>
            </w:r>
            <w:hyperlink w:anchor="_Significant_drug_interactions" w:history="1">
              <w:r w:rsidRPr="000330CC">
                <w:rPr>
                  <w:rStyle w:val="Hyperlink"/>
                  <w:rFonts w:cs="Arial"/>
                  <w:bCs/>
                  <w:iCs/>
                </w:rPr>
                <w:t>section 9</w:t>
              </w:r>
            </w:hyperlink>
            <w:r>
              <w:rPr>
                <w:rFonts w:cs="Arial"/>
                <w:bCs/>
                <w:iCs/>
              </w:rPr>
              <w:t>).</w:t>
            </w:r>
          </w:p>
          <w:p w14:paraId="26F8CC93" w14:textId="77777777" w:rsidR="00C57EE9" w:rsidRPr="003C26FF" w:rsidRDefault="00C57EE9" w:rsidP="00C57EE9">
            <w:pPr>
              <w:numPr>
                <w:ilvl w:val="0"/>
                <w:numId w:val="5"/>
              </w:numPr>
              <w:rPr>
                <w:rFonts w:cs="Arial"/>
                <w:bCs/>
                <w:iCs/>
              </w:rPr>
            </w:pPr>
            <w:r w:rsidRPr="003C26FF">
              <w:rPr>
                <w:rFonts w:cs="Arial"/>
                <w:bCs/>
                <w:iCs/>
              </w:rPr>
              <w:t>Hyperthyroidism or thyrotoxicosis.</w:t>
            </w:r>
          </w:p>
          <w:p w14:paraId="31CCFB4B" w14:textId="77777777" w:rsidR="00C57EE9" w:rsidRPr="003C26FF" w:rsidRDefault="00C57EE9" w:rsidP="00C57EE9">
            <w:pPr>
              <w:numPr>
                <w:ilvl w:val="0"/>
                <w:numId w:val="5"/>
              </w:numPr>
              <w:rPr>
                <w:rFonts w:cs="Arial"/>
                <w:bCs/>
                <w:iCs/>
              </w:rPr>
            </w:pPr>
            <w:r w:rsidRPr="003C26FF">
              <w:rPr>
                <w:rFonts w:cs="Arial"/>
                <w:bCs/>
                <w:iCs/>
              </w:rPr>
              <w:t>Agitated states.</w:t>
            </w:r>
          </w:p>
          <w:p w14:paraId="1FD1488F" w14:textId="77777777" w:rsidR="00C57EE9" w:rsidRPr="001A51F3" w:rsidRDefault="00C57EE9" w:rsidP="00D87D5C">
            <w:pPr>
              <w:rPr>
                <w:rFonts w:cs="Arial"/>
              </w:rPr>
            </w:pPr>
          </w:p>
          <w:p w14:paraId="3AD96766" w14:textId="77777777" w:rsidR="00C57EE9" w:rsidRPr="00FB404F" w:rsidRDefault="00C57EE9" w:rsidP="00D87D5C">
            <w:pPr>
              <w:rPr>
                <w:rFonts w:cs="Arial"/>
                <w:b/>
                <w:bCs/>
              </w:rPr>
            </w:pPr>
            <w:r w:rsidRPr="00FB404F">
              <w:rPr>
                <w:rFonts w:cs="Arial"/>
                <w:b/>
                <w:bCs/>
              </w:rPr>
              <w:t>Cautions:</w:t>
            </w:r>
          </w:p>
          <w:p w14:paraId="4160788A" w14:textId="77777777" w:rsidR="00C57EE9" w:rsidRPr="003C26FF" w:rsidRDefault="00C57EE9" w:rsidP="00C57EE9">
            <w:pPr>
              <w:numPr>
                <w:ilvl w:val="0"/>
                <w:numId w:val="5"/>
              </w:numPr>
              <w:rPr>
                <w:rFonts w:cs="Arial"/>
              </w:rPr>
            </w:pPr>
            <w:r w:rsidRPr="003C26FF">
              <w:rPr>
                <w:rFonts w:cs="Arial"/>
              </w:rPr>
              <w:t>History of substance or alcohol abuse.</w:t>
            </w:r>
          </w:p>
          <w:p w14:paraId="2CFD20B9" w14:textId="77777777" w:rsidR="00C57EE9" w:rsidRPr="003C26FF" w:rsidRDefault="00C57EE9" w:rsidP="00C57EE9">
            <w:pPr>
              <w:numPr>
                <w:ilvl w:val="0"/>
                <w:numId w:val="5"/>
              </w:numPr>
              <w:rPr>
                <w:rFonts w:cs="Arial"/>
              </w:rPr>
            </w:pPr>
            <w:r w:rsidRPr="003C26FF">
              <w:rPr>
                <w:rFonts w:cs="Arial"/>
              </w:rPr>
              <w:t>Cardiovascular disorders such as structural cardiac abnormalities, cardiomyopathy, arrhythmias, coronary artery disease, mild hypertension, recent myocardial infarction, or heart failure.</w:t>
            </w:r>
          </w:p>
          <w:p w14:paraId="05DD23D7" w14:textId="77777777" w:rsidR="00C57EE9" w:rsidRDefault="00C57EE9" w:rsidP="00C57EE9">
            <w:pPr>
              <w:numPr>
                <w:ilvl w:val="0"/>
                <w:numId w:val="5"/>
              </w:numPr>
              <w:rPr>
                <w:rFonts w:cs="Arial"/>
              </w:rPr>
            </w:pPr>
            <w:r w:rsidRPr="003C26FF">
              <w:rPr>
                <w:rFonts w:cs="Arial"/>
              </w:rPr>
              <w:t>Family history of sudden cardiac or unexplained death</w:t>
            </w:r>
            <w:r>
              <w:rPr>
                <w:rFonts w:cs="Arial"/>
              </w:rPr>
              <w:t xml:space="preserve"> or </w:t>
            </w:r>
            <w:r w:rsidRPr="003C26FF">
              <w:rPr>
                <w:rFonts w:cs="Arial"/>
              </w:rPr>
              <w:t>ventricular arrhythmia</w:t>
            </w:r>
            <w:r>
              <w:rPr>
                <w:rFonts w:cs="Arial"/>
              </w:rPr>
              <w:t>.</w:t>
            </w:r>
          </w:p>
          <w:p w14:paraId="0FB49F4A" w14:textId="77777777" w:rsidR="00C57EE9" w:rsidRPr="003C26FF" w:rsidRDefault="00C57EE9" w:rsidP="00C57EE9">
            <w:pPr>
              <w:numPr>
                <w:ilvl w:val="0"/>
                <w:numId w:val="5"/>
              </w:numPr>
              <w:rPr>
                <w:rFonts w:cs="Arial"/>
              </w:rPr>
            </w:pPr>
            <w:r w:rsidRPr="003C26FF">
              <w:rPr>
                <w:rFonts w:cs="Arial"/>
              </w:rPr>
              <w:t>Underlying medical conditions or concomitant drugs which can increase the QT-interval or heart rate, or elevate blood pressure (e.g. cardiac disease, electrolyte disturbance).</w:t>
            </w:r>
          </w:p>
          <w:p w14:paraId="1F4F857E" w14:textId="77777777" w:rsidR="00C57EE9" w:rsidRPr="003C26FF" w:rsidRDefault="00C57EE9" w:rsidP="00C57EE9">
            <w:pPr>
              <w:numPr>
                <w:ilvl w:val="0"/>
                <w:numId w:val="5"/>
              </w:numPr>
              <w:rPr>
                <w:rFonts w:cs="Arial"/>
              </w:rPr>
            </w:pPr>
            <w:r w:rsidRPr="003C26FF">
              <w:rPr>
                <w:rFonts w:cs="Arial"/>
              </w:rPr>
              <w:t xml:space="preserve">History of seizure disorders (discontinue if seizures occur). </w:t>
            </w:r>
          </w:p>
          <w:p w14:paraId="48C101AC" w14:textId="77777777" w:rsidR="00C57EE9" w:rsidRPr="003C26FF" w:rsidRDefault="00C57EE9" w:rsidP="00C57EE9">
            <w:pPr>
              <w:numPr>
                <w:ilvl w:val="0"/>
                <w:numId w:val="5"/>
              </w:numPr>
              <w:rPr>
                <w:rFonts w:cs="Arial"/>
              </w:rPr>
            </w:pPr>
            <w:r w:rsidRPr="003C26FF">
              <w:rPr>
                <w:rFonts w:cs="Arial"/>
              </w:rPr>
              <w:t>Susceptibility to angle-closure glaucoma.</w:t>
            </w:r>
          </w:p>
          <w:p w14:paraId="2F6A0797" w14:textId="77777777" w:rsidR="00C57EE9" w:rsidRPr="003C26FF" w:rsidRDefault="00C57EE9" w:rsidP="00C57EE9">
            <w:pPr>
              <w:numPr>
                <w:ilvl w:val="0"/>
                <w:numId w:val="5"/>
              </w:numPr>
              <w:rPr>
                <w:rFonts w:cs="Arial"/>
              </w:rPr>
            </w:pPr>
            <w:r w:rsidRPr="003C26FF">
              <w:rPr>
                <w:rFonts w:cs="Arial"/>
                <w:bCs/>
                <w:iCs/>
              </w:rPr>
              <w:t xml:space="preserve">Psychiatric and neuropsychiatric symptoms or disorders, including manic or psychotic symptoms, aggressive or hostile behaviour), </w:t>
            </w:r>
            <w:r w:rsidRPr="003C26FF">
              <w:rPr>
                <w:rFonts w:cs="Arial"/>
              </w:rPr>
              <w:t>tics, Tourette’s syndrome, anxiety, or bipolar disorder.</w:t>
            </w:r>
          </w:p>
          <w:p w14:paraId="11B1F91C" w14:textId="45DD05B9" w:rsidR="00C57EE9" w:rsidRPr="003C26FF" w:rsidRDefault="00C57EE9" w:rsidP="00C57EE9">
            <w:pPr>
              <w:numPr>
                <w:ilvl w:val="0"/>
                <w:numId w:val="5"/>
              </w:numPr>
              <w:rPr>
                <w:rFonts w:cs="Arial"/>
              </w:rPr>
            </w:pPr>
            <w:r w:rsidRPr="003C26FF">
              <w:rPr>
                <w:rFonts w:cs="Arial"/>
                <w:bCs/>
                <w:iCs/>
              </w:rPr>
              <w:t xml:space="preserve">Depressive </w:t>
            </w:r>
            <w:r w:rsidR="00CC2884" w:rsidRPr="003C26FF">
              <w:rPr>
                <w:rFonts w:cs="Arial"/>
                <w:bCs/>
                <w:iCs/>
              </w:rPr>
              <w:t>symptoms:</w:t>
            </w:r>
            <w:r w:rsidRPr="003C26FF">
              <w:rPr>
                <w:rFonts w:cs="Arial"/>
                <w:bCs/>
                <w:iCs/>
              </w:rPr>
              <w:t xml:space="preserve"> patients should be screened for risk of bipolar disorder, including </w:t>
            </w:r>
            <w:r>
              <w:rPr>
                <w:rFonts w:cs="Arial"/>
                <w:bCs/>
                <w:iCs/>
              </w:rPr>
              <w:t xml:space="preserve">detailed </w:t>
            </w:r>
            <w:r w:rsidRPr="003C26FF">
              <w:rPr>
                <w:rFonts w:cs="Arial"/>
                <w:bCs/>
                <w:iCs/>
              </w:rPr>
              <w:t>psychiatric and family histor</w:t>
            </w:r>
            <w:r>
              <w:rPr>
                <w:rFonts w:cs="Arial"/>
                <w:bCs/>
                <w:iCs/>
              </w:rPr>
              <w:t>y of suicide, bipolar disorder and depression</w:t>
            </w:r>
            <w:r w:rsidRPr="003C26FF">
              <w:rPr>
                <w:rFonts w:cs="Arial"/>
                <w:bCs/>
                <w:iCs/>
              </w:rPr>
              <w:t>.</w:t>
            </w:r>
          </w:p>
          <w:p w14:paraId="73AE650F" w14:textId="77777777" w:rsidR="00C57EE9" w:rsidRPr="003C26FF" w:rsidRDefault="00C57EE9" w:rsidP="00C57EE9">
            <w:pPr>
              <w:numPr>
                <w:ilvl w:val="0"/>
                <w:numId w:val="5"/>
              </w:numPr>
              <w:rPr>
                <w:rFonts w:cs="Arial"/>
              </w:rPr>
            </w:pPr>
            <w:r w:rsidRPr="003C26FF">
              <w:rPr>
                <w:rFonts w:cs="Arial"/>
              </w:rPr>
              <w:t>Severe renal impairment; GFR 15-30mL/min/1.73m</w:t>
            </w:r>
            <w:r w:rsidRPr="003C26FF">
              <w:rPr>
                <w:rFonts w:cs="Arial"/>
                <w:vertAlign w:val="superscript"/>
              </w:rPr>
              <w:t>2</w:t>
            </w:r>
            <w:r w:rsidRPr="003C26FF">
              <w:rPr>
                <w:rFonts w:cs="Arial"/>
              </w:rPr>
              <w:t xml:space="preserve"> or CrCl less than 30mL/min. Dose reduction is required, see </w:t>
            </w:r>
            <w:hyperlink w:anchor="_Initiation_and_ongoing" w:history="1">
              <w:r>
                <w:rPr>
                  <w:rStyle w:val="Hyperlink"/>
                  <w:rFonts w:cs="Arial"/>
                </w:rPr>
                <w:t>section 4</w:t>
              </w:r>
            </w:hyperlink>
            <w:r w:rsidRPr="003C26FF">
              <w:rPr>
                <w:rFonts w:cs="Arial"/>
              </w:rPr>
              <w:t>.</w:t>
            </w:r>
          </w:p>
          <w:p w14:paraId="0467F201" w14:textId="77777777" w:rsidR="00C57EE9" w:rsidRPr="003C26FF" w:rsidRDefault="00C57EE9" w:rsidP="00C57EE9">
            <w:pPr>
              <w:numPr>
                <w:ilvl w:val="0"/>
                <w:numId w:val="5"/>
              </w:numPr>
              <w:rPr>
                <w:rFonts w:cs="Arial"/>
              </w:rPr>
            </w:pPr>
            <w:r w:rsidRPr="003C26FF">
              <w:rPr>
                <w:rFonts w:cs="Arial"/>
              </w:rPr>
              <w:lastRenderedPageBreak/>
              <w:t>Hepatic insufficiency (due to lack of data).</w:t>
            </w:r>
          </w:p>
          <w:p w14:paraId="22BBC617" w14:textId="77777777" w:rsidR="00C57EE9" w:rsidRDefault="00C57EE9" w:rsidP="00C57EE9">
            <w:pPr>
              <w:numPr>
                <w:ilvl w:val="0"/>
                <w:numId w:val="5"/>
              </w:numPr>
              <w:rPr>
                <w:rFonts w:cs="Arial"/>
              </w:rPr>
            </w:pPr>
            <w:r w:rsidRPr="003C26FF">
              <w:rPr>
                <w:rFonts w:cs="Arial"/>
              </w:rPr>
              <w:t xml:space="preserve">Pregnancy or breast-feeding (see </w:t>
            </w:r>
            <w:hyperlink w:anchor="_Pregnancy,_paternal_exposure" w:history="1">
              <w:r w:rsidRPr="003C26FF">
                <w:rPr>
                  <w:rStyle w:val="Hyperlink"/>
                  <w:rFonts w:cs="Arial"/>
                </w:rPr>
                <w:t>section 12</w:t>
              </w:r>
            </w:hyperlink>
            <w:r w:rsidRPr="003C26FF">
              <w:rPr>
                <w:rFonts w:cs="Arial"/>
              </w:rPr>
              <w:t>).</w:t>
            </w:r>
          </w:p>
          <w:p w14:paraId="18AB1CE6" w14:textId="77777777" w:rsidR="00C57EE9" w:rsidRDefault="00C57EE9" w:rsidP="00C57EE9">
            <w:pPr>
              <w:numPr>
                <w:ilvl w:val="0"/>
                <w:numId w:val="5"/>
              </w:numPr>
              <w:rPr>
                <w:rFonts w:cs="Arial"/>
              </w:rPr>
            </w:pPr>
            <w:r w:rsidRPr="003C26FF">
              <w:rPr>
                <w:rFonts w:cs="Arial"/>
              </w:rPr>
              <w:t>Potential for abuse, misuse, or diversion.</w:t>
            </w:r>
          </w:p>
          <w:p w14:paraId="77807466" w14:textId="77777777" w:rsidR="00C57EE9" w:rsidRPr="003C26FF" w:rsidRDefault="00C57EE9" w:rsidP="00C57EE9">
            <w:pPr>
              <w:numPr>
                <w:ilvl w:val="0"/>
                <w:numId w:val="5"/>
              </w:numPr>
              <w:rPr>
                <w:rFonts w:cs="Arial"/>
              </w:rPr>
            </w:pPr>
            <w:r>
              <w:rPr>
                <w:rFonts w:cs="Arial"/>
              </w:rPr>
              <w:t>Avoid abrupt withdrawal.</w:t>
            </w:r>
          </w:p>
        </w:tc>
      </w:tr>
      <w:tr w:rsidR="00C57EE9" w:rsidRPr="00F321FC" w14:paraId="7D921035" w14:textId="77777777" w:rsidTr="00D87D5C">
        <w:tc>
          <w:tcPr>
            <w:tcW w:w="2407" w:type="dxa"/>
          </w:tcPr>
          <w:p w14:paraId="5CA3EF72" w14:textId="77777777" w:rsidR="00C57EE9" w:rsidRPr="00F321FC" w:rsidRDefault="00C57EE9" w:rsidP="00D87D5C">
            <w:pPr>
              <w:pStyle w:val="Heading2"/>
              <w:outlineLvl w:val="1"/>
              <w:rPr>
                <w:rFonts w:cs="Arial"/>
              </w:rPr>
            </w:pPr>
            <w:bookmarkStart w:id="33" w:name="_Significant_drug_interactions"/>
            <w:bookmarkStart w:id="34" w:name="nine_interactions"/>
            <w:bookmarkStart w:id="35" w:name="_Toc149231793"/>
            <w:bookmarkEnd w:id="33"/>
            <w:r w:rsidRPr="00F321FC">
              <w:rPr>
                <w:rFonts w:cs="Arial"/>
              </w:rPr>
              <w:lastRenderedPageBreak/>
              <w:t>Significant drug interactions</w:t>
            </w:r>
            <w:bookmarkEnd w:id="34"/>
            <w:bookmarkEnd w:id="35"/>
          </w:p>
        </w:tc>
        <w:tc>
          <w:tcPr>
            <w:tcW w:w="8054" w:type="dxa"/>
          </w:tcPr>
          <w:p w14:paraId="1825BDFC" w14:textId="77777777" w:rsidR="00C57EE9" w:rsidRDefault="00C57EE9" w:rsidP="00D87D5C">
            <w:pPr>
              <w:rPr>
                <w:rFonts w:cs="Arial"/>
              </w:rPr>
            </w:pPr>
            <w:r w:rsidRPr="00FB404F">
              <w:rPr>
                <w:rFonts w:cs="Arial"/>
              </w:rPr>
              <w:t xml:space="preserve">The following list is not exhaustive. Please see </w:t>
            </w:r>
            <w:hyperlink r:id="rId23" w:history="1">
              <w:r w:rsidRPr="00E545CB">
                <w:rPr>
                  <w:rStyle w:val="Hyperlink"/>
                  <w:rFonts w:cs="Arial"/>
                </w:rPr>
                <w:t>BNF</w:t>
              </w:r>
            </w:hyperlink>
            <w:r w:rsidRPr="00FB404F">
              <w:rPr>
                <w:rFonts w:cs="Arial"/>
              </w:rPr>
              <w:t xml:space="preserve"> </w:t>
            </w:r>
            <w:r>
              <w:rPr>
                <w:rFonts w:cs="Arial"/>
              </w:rPr>
              <w:t>&amp;</w:t>
            </w:r>
            <w:r w:rsidRPr="00FB404F">
              <w:rPr>
                <w:rFonts w:cs="Arial"/>
              </w:rPr>
              <w:t xml:space="preserve"> </w:t>
            </w:r>
            <w:hyperlink r:id="rId24" w:history="1">
              <w:r w:rsidRPr="00E545CB">
                <w:rPr>
                  <w:rStyle w:val="Hyperlink"/>
                  <w:rFonts w:cs="Arial"/>
                </w:rPr>
                <w:t>SPC</w:t>
              </w:r>
            </w:hyperlink>
            <w:r w:rsidRPr="00FB404F">
              <w:rPr>
                <w:rFonts w:cs="Arial"/>
              </w:rPr>
              <w:t xml:space="preserve"> for comprehensive information and recommended management.</w:t>
            </w:r>
          </w:p>
          <w:p w14:paraId="7AF630A7" w14:textId="77777777" w:rsidR="00C57EE9" w:rsidRPr="003C26FF" w:rsidRDefault="00C57EE9" w:rsidP="00D87D5C">
            <w:pPr>
              <w:rPr>
                <w:rFonts w:cs="Arial"/>
                <w:b/>
                <w:bCs/>
              </w:rPr>
            </w:pPr>
            <w:r w:rsidRPr="003C26FF">
              <w:rPr>
                <w:rFonts w:cs="Arial"/>
                <w:b/>
                <w:bCs/>
              </w:rPr>
              <w:t>The following medicines must not be prescribed without consultation with the specialist:</w:t>
            </w:r>
          </w:p>
          <w:p w14:paraId="51B57B24" w14:textId="77777777" w:rsidR="00C57EE9" w:rsidRPr="003C26FF" w:rsidRDefault="00C57EE9" w:rsidP="00C57EE9">
            <w:pPr>
              <w:numPr>
                <w:ilvl w:val="0"/>
                <w:numId w:val="6"/>
              </w:numPr>
              <w:rPr>
                <w:rFonts w:cs="Arial"/>
                <w:bCs/>
                <w:iCs/>
              </w:rPr>
            </w:pPr>
            <w:r w:rsidRPr="003C26FF">
              <w:rPr>
                <w:rFonts w:cs="Arial"/>
                <w:b/>
                <w:bCs/>
                <w:iCs/>
              </w:rPr>
              <w:t>MAOIs and other sympathomimetics</w:t>
            </w:r>
            <w:r w:rsidRPr="003C26FF">
              <w:rPr>
                <w:rFonts w:cs="Arial"/>
                <w:bCs/>
                <w:iCs/>
              </w:rPr>
              <w:t xml:space="preserve"> (e.g. rasagiline, selegiline, safinamide)</w:t>
            </w:r>
            <w:r>
              <w:rPr>
                <w:rFonts w:cs="Arial"/>
                <w:bCs/>
                <w:iCs/>
              </w:rPr>
              <w:t xml:space="preserve">: risk of hypertensive crisis and serotonin syndrome. Concomitant use is contraindicated (see </w:t>
            </w:r>
            <w:hyperlink w:anchor="_Cautions_and_contraindications" w:history="1">
              <w:r w:rsidRPr="00742D3A">
                <w:rPr>
                  <w:rStyle w:val="Hyperlink"/>
                  <w:rFonts w:cs="Arial"/>
                  <w:bCs/>
                  <w:iCs/>
                </w:rPr>
                <w:t>section 8</w:t>
              </w:r>
            </w:hyperlink>
            <w:r>
              <w:rPr>
                <w:rFonts w:cs="Arial"/>
                <w:bCs/>
                <w:iCs/>
              </w:rPr>
              <w:t>).</w:t>
            </w:r>
          </w:p>
          <w:p w14:paraId="3A41F350" w14:textId="77777777" w:rsidR="00C57EE9" w:rsidRPr="003C26FF" w:rsidRDefault="00C57EE9" w:rsidP="00D87D5C">
            <w:pPr>
              <w:rPr>
                <w:rFonts w:cs="Arial"/>
                <w:b/>
                <w:bCs/>
                <w:iCs/>
              </w:rPr>
            </w:pPr>
            <w:r w:rsidRPr="003C26FF">
              <w:rPr>
                <w:rFonts w:cs="Arial"/>
                <w:b/>
                <w:bCs/>
                <w:iCs/>
              </w:rPr>
              <w:t>Other clinically significant interactions</w:t>
            </w:r>
          </w:p>
          <w:p w14:paraId="0F2018BC" w14:textId="77777777" w:rsidR="00C57EE9" w:rsidRPr="003C26FF" w:rsidRDefault="00C57EE9" w:rsidP="00C57EE9">
            <w:pPr>
              <w:numPr>
                <w:ilvl w:val="0"/>
                <w:numId w:val="6"/>
              </w:numPr>
              <w:rPr>
                <w:rFonts w:cs="Arial"/>
                <w:bCs/>
                <w:iCs/>
              </w:rPr>
            </w:pPr>
            <w:r>
              <w:rPr>
                <w:rFonts w:cs="Arial"/>
                <w:b/>
                <w:bCs/>
                <w:iCs/>
              </w:rPr>
              <w:t>F</w:t>
            </w:r>
            <w:r w:rsidRPr="003C26FF">
              <w:rPr>
                <w:rFonts w:cs="Arial"/>
                <w:b/>
                <w:bCs/>
                <w:iCs/>
              </w:rPr>
              <w:t>luoxetine, paroxetine</w:t>
            </w:r>
            <w:r w:rsidRPr="003C26FF">
              <w:rPr>
                <w:rFonts w:cs="Arial"/>
                <w:bCs/>
                <w:iCs/>
              </w:rPr>
              <w:t xml:space="preserve">: may increase exposure to lisdexamfetamine, </w:t>
            </w:r>
            <w:r>
              <w:rPr>
                <w:rFonts w:cs="Arial"/>
                <w:bCs/>
                <w:iCs/>
              </w:rPr>
              <w:t xml:space="preserve">increased </w:t>
            </w:r>
            <w:r w:rsidRPr="003C26FF">
              <w:rPr>
                <w:rFonts w:cs="Arial"/>
                <w:bCs/>
                <w:iCs/>
              </w:rPr>
              <w:t>risk of serotonin syndrome</w:t>
            </w:r>
          </w:p>
          <w:p w14:paraId="5D61A183" w14:textId="77777777" w:rsidR="00C57EE9" w:rsidRPr="003C26FF" w:rsidRDefault="00C57EE9" w:rsidP="00C57EE9">
            <w:pPr>
              <w:numPr>
                <w:ilvl w:val="0"/>
                <w:numId w:val="6"/>
              </w:numPr>
              <w:rPr>
                <w:rFonts w:cs="Arial"/>
                <w:b/>
                <w:bCs/>
                <w:iCs/>
              </w:rPr>
            </w:pPr>
            <w:r w:rsidRPr="003C26FF">
              <w:rPr>
                <w:rFonts w:cs="Arial"/>
                <w:b/>
                <w:bCs/>
                <w:iCs/>
              </w:rPr>
              <w:t>Serotonergic drugs</w:t>
            </w:r>
            <w:r>
              <w:rPr>
                <w:rFonts w:cs="Arial"/>
                <w:b/>
                <w:bCs/>
                <w:iCs/>
              </w:rPr>
              <w:t xml:space="preserve"> e.g.</w:t>
            </w:r>
            <w:r w:rsidRPr="003C26FF">
              <w:rPr>
                <w:rFonts w:cs="Arial"/>
                <w:b/>
                <w:bCs/>
                <w:iCs/>
              </w:rPr>
              <w:t xml:space="preserve"> bupropion, tapentadol, tramadol</w:t>
            </w:r>
            <w:r>
              <w:rPr>
                <w:rFonts w:cs="Arial"/>
                <w:b/>
                <w:bCs/>
                <w:iCs/>
              </w:rPr>
              <w:t>, triptans, lithium, selective serotonin reuptake inhibitors (SSRIs), serotonin and norepinephrine reuptake inhibitors (SNRIs)</w:t>
            </w:r>
            <w:r w:rsidRPr="003C26FF">
              <w:rPr>
                <w:rFonts w:cs="Arial"/>
                <w:b/>
                <w:bCs/>
                <w:iCs/>
              </w:rPr>
              <w:t xml:space="preserve">: </w:t>
            </w:r>
            <w:r>
              <w:rPr>
                <w:rFonts w:cs="Arial"/>
                <w:bCs/>
                <w:iCs/>
              </w:rPr>
              <w:t>increased r</w:t>
            </w:r>
            <w:r w:rsidRPr="003C26FF">
              <w:rPr>
                <w:rFonts w:cs="Arial"/>
                <w:bCs/>
                <w:iCs/>
              </w:rPr>
              <w:t>isk of serotonin syndrome</w:t>
            </w:r>
          </w:p>
          <w:p w14:paraId="057E07CB" w14:textId="77777777" w:rsidR="00C57EE9" w:rsidRPr="003C26FF" w:rsidRDefault="00C57EE9" w:rsidP="00C57EE9">
            <w:pPr>
              <w:numPr>
                <w:ilvl w:val="0"/>
                <w:numId w:val="6"/>
              </w:numPr>
              <w:rPr>
                <w:rFonts w:cs="Arial"/>
                <w:bCs/>
                <w:iCs/>
              </w:rPr>
            </w:pPr>
            <w:r w:rsidRPr="003C26FF">
              <w:rPr>
                <w:rFonts w:cs="Arial"/>
                <w:b/>
                <w:bCs/>
                <w:iCs/>
              </w:rPr>
              <w:t>Tricyclic antidepressants (TCAs) and nabilone</w:t>
            </w:r>
            <w:r w:rsidRPr="003C26FF">
              <w:rPr>
                <w:rFonts w:cs="Arial"/>
                <w:bCs/>
                <w:iCs/>
              </w:rPr>
              <w:t xml:space="preserve">:  may increase risk of cardiovascular adverse events. </w:t>
            </w:r>
          </w:p>
          <w:p w14:paraId="4EFDAB1F" w14:textId="77777777" w:rsidR="00C57EE9" w:rsidRPr="003C26FF" w:rsidRDefault="00C57EE9" w:rsidP="00C57EE9">
            <w:pPr>
              <w:numPr>
                <w:ilvl w:val="0"/>
                <w:numId w:val="6"/>
              </w:numPr>
              <w:rPr>
                <w:rFonts w:cs="Arial"/>
                <w:bCs/>
                <w:iCs/>
              </w:rPr>
            </w:pPr>
            <w:r w:rsidRPr="003C26FF">
              <w:rPr>
                <w:rFonts w:cs="Arial"/>
                <w:b/>
                <w:bCs/>
                <w:iCs/>
              </w:rPr>
              <w:t xml:space="preserve">Ascorbic acid and other agents and conditions (thiazide diuretics, diets high in animal protein, diabetes, respiratory acidosis) </w:t>
            </w:r>
            <w:r w:rsidRPr="003C26FF">
              <w:rPr>
                <w:rFonts w:cs="Arial"/>
                <w:bCs/>
                <w:iCs/>
              </w:rPr>
              <w:t>that acidify urine</w:t>
            </w:r>
            <w:r>
              <w:rPr>
                <w:rFonts w:cs="Arial"/>
                <w:bCs/>
                <w:iCs/>
              </w:rPr>
              <w:t>:</w:t>
            </w:r>
            <w:r w:rsidRPr="003C26FF">
              <w:rPr>
                <w:rFonts w:cs="Arial"/>
                <w:bCs/>
                <w:iCs/>
              </w:rPr>
              <w:t xml:space="preserve"> </w:t>
            </w:r>
            <w:r>
              <w:rPr>
                <w:rFonts w:cs="Arial"/>
                <w:bCs/>
                <w:iCs/>
              </w:rPr>
              <w:t>may reduce exposure to lisdexamfetamine</w:t>
            </w:r>
          </w:p>
          <w:p w14:paraId="749A9CD3" w14:textId="77777777" w:rsidR="00C57EE9" w:rsidRPr="003C26FF" w:rsidRDefault="00C57EE9" w:rsidP="00C57EE9">
            <w:pPr>
              <w:numPr>
                <w:ilvl w:val="0"/>
                <w:numId w:val="6"/>
              </w:numPr>
              <w:rPr>
                <w:rFonts w:cs="Arial"/>
                <w:bCs/>
                <w:iCs/>
              </w:rPr>
            </w:pPr>
            <w:r w:rsidRPr="003C26FF">
              <w:rPr>
                <w:rFonts w:cs="Arial"/>
                <w:b/>
                <w:bCs/>
                <w:iCs/>
              </w:rPr>
              <w:t xml:space="preserve">Sodium bicarbonate and other agents and conditions (diets high in fruits and vegetables, urinary tract infections and vomiting) </w:t>
            </w:r>
            <w:r w:rsidRPr="003C26FF">
              <w:rPr>
                <w:rFonts w:cs="Arial"/>
                <w:bCs/>
                <w:iCs/>
              </w:rPr>
              <w:t>that alkalinise urine</w:t>
            </w:r>
            <w:r>
              <w:rPr>
                <w:rFonts w:cs="Arial"/>
                <w:bCs/>
                <w:iCs/>
              </w:rPr>
              <w:t>: may increase exposure to lisdexamfetamine</w:t>
            </w:r>
          </w:p>
          <w:p w14:paraId="6A7F3F50" w14:textId="77777777" w:rsidR="00C57EE9" w:rsidRPr="003C26FF" w:rsidRDefault="00C57EE9" w:rsidP="00C57EE9">
            <w:pPr>
              <w:numPr>
                <w:ilvl w:val="0"/>
                <w:numId w:val="6"/>
              </w:numPr>
              <w:rPr>
                <w:rFonts w:cs="Arial"/>
                <w:bCs/>
                <w:iCs/>
              </w:rPr>
            </w:pPr>
            <w:r w:rsidRPr="003C26FF">
              <w:rPr>
                <w:rFonts w:cs="Arial"/>
                <w:b/>
                <w:bCs/>
                <w:iCs/>
              </w:rPr>
              <w:t>Antihypertensives, including guanethidine</w:t>
            </w:r>
            <w:r w:rsidRPr="003C26FF">
              <w:rPr>
                <w:rFonts w:cs="Arial"/>
                <w:bCs/>
                <w:iCs/>
              </w:rPr>
              <w:t>: effects may be reduced by lisdexamfetamine</w:t>
            </w:r>
          </w:p>
          <w:p w14:paraId="2EACD939" w14:textId="77777777" w:rsidR="00C57EE9" w:rsidRPr="003C26FF" w:rsidRDefault="00C57EE9" w:rsidP="00C57EE9">
            <w:pPr>
              <w:numPr>
                <w:ilvl w:val="0"/>
                <w:numId w:val="6"/>
              </w:numPr>
              <w:rPr>
                <w:rFonts w:cs="Arial"/>
                <w:bCs/>
                <w:iCs/>
              </w:rPr>
            </w:pPr>
            <w:r w:rsidRPr="003C26FF">
              <w:rPr>
                <w:rFonts w:cs="Arial"/>
                <w:b/>
                <w:bCs/>
                <w:iCs/>
              </w:rPr>
              <w:t>Lithium, phenothiazines, haloperidol</w:t>
            </w:r>
            <w:r w:rsidRPr="003C26FF">
              <w:rPr>
                <w:rFonts w:cs="Arial"/>
                <w:bCs/>
                <w:iCs/>
              </w:rPr>
              <w:t xml:space="preserve">: may reduce the effects of lisdexamfetamine </w:t>
            </w:r>
          </w:p>
          <w:p w14:paraId="38162E88" w14:textId="77777777" w:rsidR="00C57EE9" w:rsidRPr="003C26FF" w:rsidRDefault="00C57EE9" w:rsidP="00C57EE9">
            <w:pPr>
              <w:numPr>
                <w:ilvl w:val="0"/>
                <w:numId w:val="6"/>
              </w:numPr>
              <w:rPr>
                <w:rFonts w:cs="Arial"/>
                <w:bCs/>
                <w:iCs/>
              </w:rPr>
            </w:pPr>
            <w:r w:rsidRPr="003C26FF">
              <w:rPr>
                <w:rFonts w:cs="Arial"/>
                <w:b/>
                <w:bCs/>
                <w:iCs/>
              </w:rPr>
              <w:t xml:space="preserve">Opioids </w:t>
            </w:r>
            <w:r w:rsidRPr="003C26FF">
              <w:rPr>
                <w:rFonts w:cs="Arial"/>
                <w:bCs/>
                <w:iCs/>
              </w:rPr>
              <w:t xml:space="preserve">(including tapentadol and tramadol): analgesic effects may be increased </w:t>
            </w:r>
            <w:r>
              <w:rPr>
                <w:rFonts w:cs="Arial"/>
                <w:bCs/>
                <w:iCs/>
              </w:rPr>
              <w:t xml:space="preserve">and the depressant effects (e.g. sedation, respiratory depression) may be decreased </w:t>
            </w:r>
            <w:r w:rsidRPr="003C26FF">
              <w:rPr>
                <w:rFonts w:cs="Arial"/>
                <w:bCs/>
                <w:iCs/>
              </w:rPr>
              <w:t>by lisdexamfetamine</w:t>
            </w:r>
          </w:p>
          <w:p w14:paraId="4603F48B" w14:textId="514C964E" w:rsidR="00C57EE9" w:rsidRPr="003C26FF" w:rsidRDefault="00C57EE9" w:rsidP="00C57EE9">
            <w:pPr>
              <w:numPr>
                <w:ilvl w:val="0"/>
                <w:numId w:val="6"/>
              </w:numPr>
              <w:rPr>
                <w:rFonts w:cs="Arial"/>
                <w:bCs/>
                <w:iCs/>
              </w:rPr>
            </w:pPr>
            <w:r w:rsidRPr="003C26FF">
              <w:rPr>
                <w:rFonts w:cs="Arial"/>
                <w:b/>
                <w:bCs/>
                <w:iCs/>
              </w:rPr>
              <w:t>Alcohol:</w:t>
            </w:r>
            <w:r w:rsidRPr="003C26FF">
              <w:rPr>
                <w:rFonts w:cs="Arial"/>
                <w:bCs/>
                <w:iCs/>
              </w:rPr>
              <w:t xml:space="preserve"> Limited data is </w:t>
            </w:r>
            <w:r w:rsidR="00CC2884" w:rsidRPr="003C26FF">
              <w:rPr>
                <w:rFonts w:cs="Arial"/>
                <w:bCs/>
                <w:iCs/>
              </w:rPr>
              <w:t>available;</w:t>
            </w:r>
            <w:r w:rsidRPr="003C26FF">
              <w:rPr>
                <w:rFonts w:cs="Arial"/>
                <w:bCs/>
                <w:iCs/>
              </w:rPr>
              <w:t xml:space="preserve"> </w:t>
            </w:r>
            <w:r w:rsidR="00900703" w:rsidRPr="003C26FF">
              <w:rPr>
                <w:rFonts w:cs="Arial"/>
                <w:bCs/>
                <w:iCs/>
              </w:rPr>
              <w:t>therefore,</w:t>
            </w:r>
            <w:r w:rsidRPr="003C26FF">
              <w:rPr>
                <w:rFonts w:cs="Arial"/>
                <w:bCs/>
                <w:iCs/>
              </w:rPr>
              <w:t xml:space="preserve"> caution is advised as alcohol may exacerbate the CNS side effects of lisdexamfetamine</w:t>
            </w:r>
            <w:r w:rsidRPr="003A7855">
              <w:rPr>
                <w:rFonts w:cs="Arial"/>
                <w:bCs/>
                <w:iCs/>
              </w:rPr>
              <w:t>; avoid.</w:t>
            </w:r>
          </w:p>
          <w:p w14:paraId="20C949DF" w14:textId="77777777" w:rsidR="00C57EE9" w:rsidRPr="003C26FF" w:rsidRDefault="00C57EE9" w:rsidP="00C57EE9">
            <w:pPr>
              <w:numPr>
                <w:ilvl w:val="0"/>
                <w:numId w:val="6"/>
              </w:numPr>
              <w:rPr>
                <w:rFonts w:cs="Arial"/>
                <w:bCs/>
                <w:iCs/>
              </w:rPr>
            </w:pPr>
            <w:r w:rsidRPr="003C26FF">
              <w:rPr>
                <w:rFonts w:cs="Arial"/>
                <w:b/>
                <w:bCs/>
                <w:iCs/>
              </w:rPr>
              <w:t>Apraclonidine</w:t>
            </w:r>
            <w:r>
              <w:rPr>
                <w:rFonts w:cs="Arial"/>
                <w:b/>
                <w:bCs/>
                <w:iCs/>
              </w:rPr>
              <w:t>, brimonidine</w:t>
            </w:r>
            <w:r w:rsidRPr="003C26FF">
              <w:rPr>
                <w:rFonts w:cs="Arial"/>
                <w:b/>
                <w:bCs/>
                <w:iCs/>
              </w:rPr>
              <w:t xml:space="preserve">: </w:t>
            </w:r>
            <w:r w:rsidRPr="003C26FF">
              <w:rPr>
                <w:rFonts w:cs="Arial"/>
                <w:bCs/>
                <w:iCs/>
              </w:rPr>
              <w:t xml:space="preserve">effects </w:t>
            </w:r>
            <w:r>
              <w:rPr>
                <w:rFonts w:cs="Arial"/>
                <w:bCs/>
                <w:iCs/>
              </w:rPr>
              <w:t xml:space="preserve">potentially </w:t>
            </w:r>
            <w:r w:rsidRPr="003C26FF">
              <w:rPr>
                <w:rFonts w:cs="Arial"/>
                <w:bCs/>
                <w:iCs/>
              </w:rPr>
              <w:t>decreased by lisdexamfetamine</w:t>
            </w:r>
          </w:p>
          <w:p w14:paraId="6523AD87" w14:textId="77777777" w:rsidR="00C57EE9" w:rsidRPr="003C26FF" w:rsidRDefault="00C57EE9" w:rsidP="00C57EE9">
            <w:pPr>
              <w:numPr>
                <w:ilvl w:val="0"/>
                <w:numId w:val="6"/>
              </w:numPr>
              <w:rPr>
                <w:rFonts w:cs="Arial"/>
                <w:bCs/>
                <w:iCs/>
              </w:rPr>
            </w:pPr>
            <w:r w:rsidRPr="003C26FF">
              <w:rPr>
                <w:rFonts w:cs="Arial"/>
                <w:b/>
                <w:bCs/>
                <w:iCs/>
              </w:rPr>
              <w:t xml:space="preserve">Ritonavir, </w:t>
            </w:r>
            <w:r>
              <w:rPr>
                <w:rFonts w:cs="Arial"/>
                <w:b/>
                <w:bCs/>
                <w:iCs/>
              </w:rPr>
              <w:t xml:space="preserve">nirmatrelvir boosted with ritonavir, </w:t>
            </w:r>
            <w:r w:rsidRPr="003C26FF">
              <w:rPr>
                <w:rFonts w:cs="Arial"/>
                <w:b/>
                <w:bCs/>
                <w:iCs/>
              </w:rPr>
              <w:t>tipranavir:</w:t>
            </w:r>
            <w:r w:rsidRPr="003C26FF">
              <w:rPr>
                <w:rFonts w:cs="Arial"/>
                <w:bCs/>
                <w:iCs/>
              </w:rPr>
              <w:t xml:space="preserve"> may increase exposure to lisdexamfetamine</w:t>
            </w:r>
          </w:p>
          <w:p w14:paraId="24C4F2C1" w14:textId="77777777" w:rsidR="00C57EE9" w:rsidRPr="00BB1B71" w:rsidRDefault="00C57EE9" w:rsidP="00C57EE9">
            <w:pPr>
              <w:numPr>
                <w:ilvl w:val="0"/>
                <w:numId w:val="6"/>
              </w:numPr>
              <w:rPr>
                <w:rFonts w:cs="Arial"/>
                <w:b/>
                <w:bCs/>
                <w:iCs/>
              </w:rPr>
            </w:pPr>
            <w:r w:rsidRPr="003C26FF">
              <w:rPr>
                <w:rFonts w:cs="Arial"/>
                <w:b/>
                <w:bCs/>
                <w:iCs/>
              </w:rPr>
              <w:t>Atomoxetine</w:t>
            </w:r>
            <w:r w:rsidRPr="003C26FF">
              <w:rPr>
                <w:rFonts w:cs="Arial"/>
                <w:bCs/>
                <w:iCs/>
              </w:rPr>
              <w:t>: increased risk of adverse effects</w:t>
            </w:r>
          </w:p>
          <w:p w14:paraId="32A1A05E" w14:textId="77777777" w:rsidR="00C57EE9" w:rsidRPr="005633D8" w:rsidRDefault="00C57EE9" w:rsidP="00C57EE9">
            <w:pPr>
              <w:numPr>
                <w:ilvl w:val="0"/>
                <w:numId w:val="6"/>
              </w:numPr>
              <w:rPr>
                <w:rFonts w:cs="Arial"/>
                <w:b/>
                <w:bCs/>
                <w:iCs/>
              </w:rPr>
            </w:pPr>
            <w:r>
              <w:rPr>
                <w:rFonts w:cs="Arial"/>
                <w:b/>
                <w:bCs/>
                <w:iCs/>
              </w:rPr>
              <w:t xml:space="preserve">Drugs that increase blood pressure: </w:t>
            </w:r>
            <w:r w:rsidRPr="00084BF3">
              <w:rPr>
                <w:rFonts w:cs="Arial"/>
                <w:iCs/>
              </w:rPr>
              <w:t>possible additive effects.</w:t>
            </w:r>
          </w:p>
        </w:tc>
      </w:tr>
    </w:tbl>
    <w:p w14:paraId="6784CE31" w14:textId="77777777" w:rsidR="00C57EE9" w:rsidRDefault="00C57EE9" w:rsidP="00C57EE9"/>
    <w:p w14:paraId="6CE72143" w14:textId="77777777" w:rsidR="00C57EE9" w:rsidRDefault="00C57EE9" w:rsidP="00C57EE9"/>
    <w:p w14:paraId="79F40404" w14:textId="77777777" w:rsidR="00C57EE9" w:rsidRDefault="00C57EE9" w:rsidP="00C57EE9">
      <w:pPr>
        <w:pStyle w:val="Heading2"/>
        <w:rPr>
          <w:rFonts w:cs="Arial"/>
        </w:rPr>
      </w:pPr>
      <w:bookmarkStart w:id="36" w:name="_Toc149231794"/>
      <w:r w:rsidRPr="00F321FC">
        <w:rPr>
          <w:rFonts w:cs="Arial"/>
        </w:rPr>
        <w:t>Adverse effects and management</w:t>
      </w:r>
      <w:bookmarkEnd w:id="36"/>
    </w:p>
    <w:p w14:paraId="214B1740" w14:textId="77777777" w:rsidR="00C57EE9" w:rsidRDefault="00C57EE9" w:rsidP="00C57EE9">
      <w:pPr>
        <w:spacing w:after="120"/>
        <w:rPr>
          <w:rFonts w:cs="Arial"/>
          <w:b/>
          <w:bCs/>
        </w:rPr>
      </w:pPr>
      <w:r w:rsidRPr="00D32858">
        <w:rPr>
          <w:rFonts w:cs="Arial"/>
        </w:rPr>
        <w:t>As well as responding to absolute values in laboratory tests, a rapid change or a consistent trend in any value should prompt caution and extra vigilance</w:t>
      </w:r>
      <w:r>
        <w:rPr>
          <w:rFonts w:cs="Arial"/>
          <w:b/>
          <w:bCs/>
        </w:rPr>
        <w:t>.</w:t>
      </w:r>
      <w:r w:rsidRPr="005E28D0">
        <w:rPr>
          <w:rStyle w:val="Hyperlink"/>
          <w:rFonts w:eastAsia="Calibri" w:cs="Arial"/>
          <w:bCs/>
          <w:noProof/>
          <w:color w:val="000000"/>
          <w:lang w:eastAsia="en-GB"/>
        </w:rPr>
        <w:t xml:space="preserve"> </w:t>
      </w:r>
      <w:r w:rsidRPr="0041687B">
        <w:rPr>
          <w:rStyle w:val="Hyperlink"/>
          <w:rFonts w:eastAsia="Calibri" w:cs="Arial"/>
          <w:bCs/>
          <w:noProof/>
          <w:color w:val="000000"/>
          <w:lang w:eastAsia="en-GB"/>
        </w:rPr>
        <w:t xml:space="preserve">For information on incidence of ADRs see relevant </w:t>
      </w:r>
      <w:hyperlink r:id="rId25" w:history="1">
        <w:r w:rsidRPr="00873074">
          <w:rPr>
            <w:rStyle w:val="Hyperlink"/>
            <w:rFonts w:eastAsia="Calibri" w:cs="Arial"/>
            <w:bCs/>
            <w:noProof/>
            <w:lang w:eastAsia="en-GB"/>
          </w:rPr>
          <w:t>S</w:t>
        </w:r>
        <w:r w:rsidRPr="00873074">
          <w:rPr>
            <w:rStyle w:val="Hyperlink"/>
            <w:rFonts w:eastAsia="Calibri"/>
            <w:bCs/>
            <w:noProof/>
            <w:lang w:eastAsia="en-GB"/>
          </w:rPr>
          <w:t>PCs</w:t>
        </w:r>
      </w:hyperlink>
      <w:r w:rsidRPr="00D13A1C">
        <w:rPr>
          <w:rStyle w:val="Hyperlink"/>
          <w:rFonts w:eastAsia="Calibri"/>
          <w:bCs/>
          <w:noProof/>
          <w:color w:val="000000"/>
          <w:lang w:eastAsia="en-GB"/>
        </w:rPr>
        <w:t>.</w:t>
      </w:r>
    </w:p>
    <w:p w14:paraId="58C7A739" w14:textId="77777777" w:rsidR="00C57EE9" w:rsidRPr="0041687B" w:rsidRDefault="00C57EE9" w:rsidP="00C57EE9">
      <w:pPr>
        <w:spacing w:after="120"/>
        <w:rPr>
          <w:rStyle w:val="Hyperlink"/>
          <w:rFonts w:eastAsia="Calibri" w:cs="Arial"/>
          <w:noProof/>
          <w:lang w:eastAsia="en-GB"/>
        </w:rPr>
      </w:pPr>
      <w:r w:rsidRPr="0041687B">
        <w:rPr>
          <w:rFonts w:cs="Arial"/>
          <w:b/>
          <w:bCs/>
        </w:rPr>
        <w:lastRenderedPageBreak/>
        <w:t>Any serious adverse reactions should be reported to the MHRA via the Yellow Card scheme. Visit</w:t>
      </w:r>
      <w:r>
        <w:rPr>
          <w:rFonts w:cs="Arial"/>
          <w:b/>
          <w:bCs/>
        </w:rPr>
        <w:t xml:space="preserve"> </w:t>
      </w:r>
      <w:hyperlink r:id="rId26" w:history="1">
        <w:r w:rsidRPr="00F52E96">
          <w:rPr>
            <w:rStyle w:val="Hyperlink"/>
            <w:rFonts w:cs="Arial"/>
          </w:rPr>
          <w:t>https://yellowcard.mhra.gov.uk/</w:t>
        </w:r>
      </w:hyperlink>
      <w:r w:rsidRPr="00873074">
        <w:rPr>
          <w:rStyle w:val="Hyperlink"/>
          <w:rFonts w:eastAsia="Calibri" w:cs="Arial"/>
          <w:noProof/>
          <w:color w:val="000000"/>
          <w:lang w:eastAsia="en-GB"/>
        </w:rPr>
        <w:t>.</w:t>
      </w:r>
    </w:p>
    <w:p w14:paraId="7E671FA7" w14:textId="77777777" w:rsidR="00C57EE9" w:rsidRDefault="00C57EE9" w:rsidP="00C57EE9">
      <w:r w:rsidRPr="005E28D0">
        <w:t>Advice based on shared care guidelines published by NHS England</w:t>
      </w:r>
      <w:del w:id="37" w:author="Wood, Ria (Pharmacy)" w:date="2024-12-12T15:36:00Z">
        <w:r w:rsidRPr="005E28D0" w:rsidDel="00421B67">
          <w:delText>,</w:delText>
        </w:r>
      </w:del>
      <w:r w:rsidRPr="005E28D0">
        <w:t xml:space="preserve"> and checked against current guidance.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C57EE9" w:rsidRPr="00F321FC" w14:paraId="77D424CC" w14:textId="77777777" w:rsidTr="00D87D5C">
        <w:trPr>
          <w:cantSplit/>
          <w:tblHeader/>
        </w:trPr>
        <w:tc>
          <w:tcPr>
            <w:tcW w:w="5245" w:type="dxa"/>
            <w:shd w:val="clear" w:color="auto" w:fill="F2F2F2" w:themeFill="background1" w:themeFillShade="F2"/>
          </w:tcPr>
          <w:p w14:paraId="553643BA" w14:textId="77777777" w:rsidR="00C57EE9" w:rsidRPr="00BF174A" w:rsidRDefault="00C57EE9" w:rsidP="00D87D5C">
            <w:pPr>
              <w:rPr>
                <w:b/>
                <w:bCs/>
                <w:u w:val="single"/>
              </w:rPr>
            </w:pPr>
            <w:r w:rsidRPr="00BF174A">
              <w:rPr>
                <w:b/>
                <w:bCs/>
                <w:u w:val="single"/>
              </w:rPr>
              <w:t>Adverse effect</w:t>
            </w:r>
          </w:p>
        </w:tc>
        <w:tc>
          <w:tcPr>
            <w:tcW w:w="5245" w:type="dxa"/>
            <w:shd w:val="clear" w:color="auto" w:fill="F2F2F2" w:themeFill="background1" w:themeFillShade="F2"/>
          </w:tcPr>
          <w:p w14:paraId="1DD10C5E" w14:textId="77777777" w:rsidR="00C57EE9" w:rsidRPr="00BF174A" w:rsidRDefault="00C57EE9" w:rsidP="00D87D5C">
            <w:pPr>
              <w:rPr>
                <w:b/>
                <w:bCs/>
                <w:u w:val="single"/>
              </w:rPr>
            </w:pPr>
            <w:r w:rsidRPr="00BF174A">
              <w:rPr>
                <w:b/>
                <w:bCs/>
                <w:u w:val="single"/>
              </w:rPr>
              <w:t>Management</w:t>
            </w:r>
          </w:p>
        </w:tc>
      </w:tr>
      <w:tr w:rsidR="00C57EE9" w14:paraId="320BC5D4" w14:textId="77777777" w:rsidTr="00D87D5C">
        <w:tblPrEx>
          <w:tblCellMar>
            <w:top w:w="0" w:type="dxa"/>
            <w:bottom w:w="0" w:type="dxa"/>
          </w:tblCellMar>
          <w:tblLook w:val="04A0" w:firstRow="1" w:lastRow="0" w:firstColumn="1" w:lastColumn="0" w:noHBand="0" w:noVBand="1"/>
        </w:tblPrEx>
        <w:trPr>
          <w:trHeight w:val="78"/>
        </w:trPr>
        <w:tc>
          <w:tcPr>
            <w:tcW w:w="5245" w:type="dxa"/>
            <w:hideMark/>
          </w:tcPr>
          <w:p w14:paraId="20949E39" w14:textId="77777777" w:rsidR="00C57EE9" w:rsidRPr="00BB1B71" w:rsidRDefault="00C57EE9" w:rsidP="00D87D5C">
            <w:pPr>
              <w:rPr>
                <w:rFonts w:eastAsia="Times New Roman" w:cstheme="minorHAnsi"/>
                <w:b/>
                <w:bCs/>
                <w:lang w:eastAsia="en-GB"/>
              </w:rPr>
            </w:pPr>
            <w:r w:rsidRPr="00BB1B71">
              <w:rPr>
                <w:rFonts w:eastAsia="Times New Roman" w:cstheme="minorHAnsi"/>
                <w:b/>
                <w:bCs/>
                <w:lang w:eastAsia="en-GB"/>
              </w:rPr>
              <w:t>Cardiovascular</w:t>
            </w:r>
          </w:p>
          <w:p w14:paraId="0086AAC8" w14:textId="05C00921" w:rsidR="00C57EE9" w:rsidRDefault="00C57EE9" w:rsidP="00D87D5C">
            <w:pPr>
              <w:rPr>
                <w:b/>
                <w:bCs/>
                <w:lang w:eastAsia="en-GB"/>
              </w:rPr>
            </w:pPr>
            <w:r>
              <w:rPr>
                <w:rFonts w:eastAsia="Times New Roman" w:cstheme="minorHAnsi"/>
                <w:lang w:eastAsia="en-GB"/>
              </w:rPr>
              <w:t xml:space="preserve">Resting HR greater than 120bpm, arrhythmia/palpitations, clinically significant increase in systolic BP </w:t>
            </w:r>
            <w:r w:rsidRPr="005633D8">
              <w:rPr>
                <w:rFonts w:eastAsia="Times New Roman" w:cstheme="minorHAnsi"/>
                <w:lang w:eastAsia="en-GB"/>
              </w:rPr>
              <w:t>(≥15–20 mmHg</w:t>
            </w:r>
            <w:r w:rsidR="00DC43BD">
              <w:rPr>
                <w:rFonts w:eastAsia="Times New Roman" w:cstheme="minorHAnsi"/>
                <w:lang w:eastAsia="en-GB"/>
              </w:rPr>
              <w:t xml:space="preserve"> </w:t>
            </w:r>
            <w:r w:rsidR="00DC43BD" w:rsidRPr="00CC2884">
              <w:rPr>
                <w:rFonts w:eastAsia="Times New Roman" w:cstheme="minorHAnsi"/>
                <w:color w:val="0070C0"/>
                <w:lang w:eastAsia="en-GB"/>
              </w:rPr>
              <w:t>or systolic BP &gt; 95</w:t>
            </w:r>
            <w:r w:rsidR="00DC43BD" w:rsidRPr="00EF3628">
              <w:rPr>
                <w:rFonts w:eastAsia="Times New Roman" w:cstheme="minorHAnsi"/>
                <w:color w:val="0070C0"/>
                <w:vertAlign w:val="superscript"/>
                <w:lang w:eastAsia="en-GB"/>
              </w:rPr>
              <w:t>th</w:t>
            </w:r>
            <w:r w:rsidR="00DC43BD" w:rsidRPr="00CC2884">
              <w:rPr>
                <w:rFonts w:eastAsia="Times New Roman" w:cstheme="minorHAnsi"/>
                <w:color w:val="0070C0"/>
                <w:lang w:eastAsia="en-GB"/>
              </w:rPr>
              <w:t xml:space="preserve"> centile</w:t>
            </w:r>
            <w:del w:id="38" w:author="HAIDER, Maymouna (TEES, ESK AND WEAR VALLEYS NHS FOUNDATION TRUST)" w:date="2024-11-15T11:36:00Z">
              <w:r w:rsidRPr="00CC2884" w:rsidDel="00DC43BD">
                <w:rPr>
                  <w:rFonts w:eastAsia="Times New Roman" w:cstheme="minorHAnsi"/>
                  <w:color w:val="0070C0"/>
                  <w:lang w:eastAsia="en-GB"/>
                </w:rPr>
                <w:delText>)</w:delText>
              </w:r>
            </w:del>
          </w:p>
        </w:tc>
        <w:tc>
          <w:tcPr>
            <w:tcW w:w="5245" w:type="dxa"/>
            <w:hideMark/>
          </w:tcPr>
          <w:p w14:paraId="4952655D" w14:textId="77777777" w:rsidR="00C57EE9" w:rsidRDefault="00C57EE9" w:rsidP="00C57EE9">
            <w:pPr>
              <w:pStyle w:val="ListParagraph"/>
              <w:numPr>
                <w:ilvl w:val="0"/>
                <w:numId w:val="7"/>
              </w:numPr>
              <w:ind w:left="470" w:hanging="357"/>
              <w:rPr>
                <w:rFonts w:eastAsia="Times New Roman" w:cstheme="minorHAnsi"/>
                <w:b/>
                <w:lang w:eastAsia="en-GB"/>
              </w:rPr>
            </w:pPr>
            <w:r>
              <w:rPr>
                <w:rFonts w:eastAsia="Times New Roman" w:cstheme="minorHAnsi"/>
                <w:lang w:eastAsia="en-GB"/>
              </w:rPr>
              <w:t>In context of recent dose increase, revert to previous dose and discuss with specialist for ongoing management</w:t>
            </w:r>
          </w:p>
          <w:p w14:paraId="79078F27" w14:textId="77777777" w:rsidR="00C57EE9" w:rsidRDefault="00C57EE9" w:rsidP="00C57EE9">
            <w:pPr>
              <w:pStyle w:val="ListParagraph"/>
              <w:numPr>
                <w:ilvl w:val="0"/>
                <w:numId w:val="7"/>
              </w:numPr>
              <w:ind w:left="470" w:hanging="357"/>
              <w:rPr>
                <w:rFonts w:eastAsia="Times New Roman" w:cstheme="minorHAnsi"/>
                <w:b/>
                <w:lang w:eastAsia="en-GB"/>
              </w:rPr>
            </w:pPr>
            <w:r>
              <w:rPr>
                <w:rFonts w:eastAsia="Times New Roman" w:cstheme="minorHAnsi"/>
                <w:lang w:eastAsia="en-GB"/>
              </w:rPr>
              <w:t>In absence of recent dose changes, reduce dose by half and discuss with specialist or cardiology for further advice.</w:t>
            </w:r>
          </w:p>
        </w:tc>
      </w:tr>
      <w:tr w:rsidR="00C57EE9" w14:paraId="504A130E" w14:textId="77777777" w:rsidTr="00D87D5C">
        <w:trPr>
          <w:trHeight w:val="3557"/>
        </w:trPr>
        <w:tc>
          <w:tcPr>
            <w:tcW w:w="5245" w:type="dxa"/>
            <w:hideMark/>
          </w:tcPr>
          <w:p w14:paraId="08B116D5" w14:textId="77777777" w:rsidR="00C57EE9" w:rsidRDefault="00C57EE9" w:rsidP="00D87D5C">
            <w:pPr>
              <w:rPr>
                <w:rFonts w:eastAsia="Times New Roman" w:cs="Arial"/>
                <w:b/>
                <w:lang w:eastAsia="en-GB"/>
              </w:rPr>
            </w:pPr>
            <w:r w:rsidRPr="00BB1B71">
              <w:rPr>
                <w:rFonts w:eastAsia="Times New Roman" w:cstheme="minorHAnsi"/>
                <w:b/>
                <w:bCs/>
                <w:lang w:eastAsia="en-GB"/>
              </w:rPr>
              <w:t>Weight or BMI outside healthy range</w:t>
            </w:r>
            <w:r>
              <w:rPr>
                <w:rFonts w:eastAsia="Times New Roman" w:cstheme="minorHAnsi"/>
                <w:lang w:eastAsia="en-GB"/>
              </w:rPr>
              <w:t>, anorexia, or weight loss</w:t>
            </w:r>
          </w:p>
        </w:tc>
        <w:tc>
          <w:tcPr>
            <w:tcW w:w="5245" w:type="dxa"/>
            <w:hideMark/>
          </w:tcPr>
          <w:p w14:paraId="0CC5A16E" w14:textId="77777777" w:rsidR="00C57EE9" w:rsidRDefault="00C57EE9" w:rsidP="00D87D5C">
            <w:pPr>
              <w:rPr>
                <w:rFonts w:eastAsia="Times New Roman" w:cstheme="minorHAnsi"/>
                <w:lang w:eastAsia="en-GB"/>
              </w:rPr>
            </w:pPr>
            <w:r>
              <w:rPr>
                <w:rFonts w:eastAsia="Times New Roman" w:cstheme="minorHAnsi"/>
                <w:lang w:eastAsia="en-GB"/>
              </w:rPr>
              <w:t xml:space="preserve">Exclude other reasons for weight loss. Give advice as per </w:t>
            </w:r>
            <w:hyperlink r:id="rId27" w:history="1">
              <w:r>
                <w:rPr>
                  <w:rStyle w:val="Hyperlink"/>
                  <w:rFonts w:eastAsia="Times New Roman" w:cstheme="minorHAnsi"/>
                  <w:lang w:eastAsia="en-GB"/>
                </w:rPr>
                <w:t>NICE NG87</w:t>
              </w:r>
            </w:hyperlink>
            <w:r>
              <w:rPr>
                <w:rFonts w:eastAsia="Times New Roman" w:cstheme="minorHAnsi"/>
                <w:lang w:eastAsia="en-GB"/>
              </w:rPr>
              <w:t xml:space="preserve">: </w:t>
            </w:r>
          </w:p>
          <w:p w14:paraId="14CEA758" w14:textId="77777777" w:rsidR="00C57EE9" w:rsidRDefault="00C57EE9" w:rsidP="00C57EE9">
            <w:pPr>
              <w:numPr>
                <w:ilvl w:val="0"/>
                <w:numId w:val="7"/>
              </w:numPr>
              <w:ind w:left="470" w:hanging="357"/>
              <w:rPr>
                <w:rFonts w:eastAsia="Times New Roman" w:cstheme="minorHAnsi"/>
                <w:lang w:eastAsia="en-GB"/>
              </w:rPr>
            </w:pPr>
            <w:r>
              <w:rPr>
                <w:rFonts w:eastAsia="Times New Roman" w:cstheme="minorHAnsi"/>
                <w:lang w:eastAsia="en-GB"/>
              </w:rPr>
              <w:t>take medication with or after food, not before</w:t>
            </w:r>
          </w:p>
          <w:p w14:paraId="56F69F27" w14:textId="77777777" w:rsidR="00C57EE9" w:rsidRDefault="00C57EE9" w:rsidP="00C57EE9">
            <w:pPr>
              <w:numPr>
                <w:ilvl w:val="0"/>
                <w:numId w:val="7"/>
              </w:numPr>
              <w:ind w:left="470" w:hanging="357"/>
              <w:rPr>
                <w:rFonts w:eastAsia="Times New Roman" w:cstheme="minorHAnsi"/>
                <w:lang w:eastAsia="en-GB"/>
              </w:rPr>
            </w:pPr>
            <w:r>
              <w:rPr>
                <w:rFonts w:eastAsia="Times New Roman" w:cstheme="minorHAnsi"/>
                <w:lang w:eastAsia="en-GB"/>
              </w:rPr>
              <w:t>additional meals or snacks early in the morning or late in the evening when stimulant effects have worn off</w:t>
            </w:r>
          </w:p>
          <w:p w14:paraId="4E44803F" w14:textId="77777777" w:rsidR="00C57EE9" w:rsidRDefault="00C57EE9" w:rsidP="00C57EE9">
            <w:pPr>
              <w:numPr>
                <w:ilvl w:val="0"/>
                <w:numId w:val="7"/>
              </w:numPr>
              <w:ind w:left="470" w:hanging="357"/>
              <w:rPr>
                <w:rFonts w:eastAsia="Times New Roman" w:cstheme="minorHAnsi"/>
                <w:lang w:eastAsia="en-GB"/>
              </w:rPr>
            </w:pPr>
            <w:r>
              <w:rPr>
                <w:rFonts w:eastAsia="Times New Roman" w:cstheme="minorHAnsi"/>
                <w:lang w:eastAsia="en-GB"/>
              </w:rPr>
              <w:t>obtaining dietary advice</w:t>
            </w:r>
          </w:p>
          <w:p w14:paraId="34F8CC00" w14:textId="77777777" w:rsidR="00C57EE9" w:rsidRDefault="00C57EE9" w:rsidP="00C57EE9">
            <w:pPr>
              <w:numPr>
                <w:ilvl w:val="0"/>
                <w:numId w:val="7"/>
              </w:numPr>
              <w:ind w:left="470" w:hanging="357"/>
              <w:rPr>
                <w:rFonts w:eastAsia="Times New Roman" w:cstheme="minorHAnsi"/>
                <w:lang w:eastAsia="en-GB"/>
              </w:rPr>
            </w:pPr>
            <w:r>
              <w:rPr>
                <w:rFonts w:eastAsia="Times New Roman" w:cstheme="minorHAnsi"/>
                <w:lang w:eastAsia="en-GB"/>
              </w:rPr>
              <w:t>consuming high-calorie foods of good nutritional value</w:t>
            </w:r>
          </w:p>
          <w:p w14:paraId="47B6F10B" w14:textId="77777777" w:rsidR="00C57EE9" w:rsidRDefault="00C57EE9" w:rsidP="00D87D5C">
            <w:pPr>
              <w:rPr>
                <w:rFonts w:eastAsia="Times New Roman" w:cs="Arial"/>
                <w:b/>
                <w:lang w:eastAsia="en-GB"/>
              </w:rPr>
            </w:pPr>
            <w:r>
              <w:rPr>
                <w:rFonts w:eastAsia="Times New Roman" w:cstheme="minorHAnsi"/>
                <w:lang w:eastAsia="en-GB"/>
              </w:rPr>
              <w:t>Discuss with specialist if difficulty persists; dose reduction, treatment break, or change of medication may be required.</w:t>
            </w:r>
          </w:p>
        </w:tc>
      </w:tr>
      <w:tr w:rsidR="00C57EE9" w14:paraId="33D8B709" w14:textId="77777777" w:rsidTr="00D87D5C">
        <w:tblPrEx>
          <w:tblCellMar>
            <w:top w:w="0" w:type="dxa"/>
            <w:bottom w:w="0" w:type="dxa"/>
          </w:tblCellMar>
          <w:tblLook w:val="04A0" w:firstRow="1" w:lastRow="0" w:firstColumn="1" w:lastColumn="0" w:noHBand="0" w:noVBand="1"/>
        </w:tblPrEx>
        <w:trPr>
          <w:trHeight w:val="78"/>
        </w:trPr>
        <w:tc>
          <w:tcPr>
            <w:tcW w:w="5245" w:type="dxa"/>
            <w:hideMark/>
          </w:tcPr>
          <w:p w14:paraId="44C9D4AE" w14:textId="77777777" w:rsidR="00C57EE9" w:rsidRPr="00BB1B71" w:rsidRDefault="00C57EE9" w:rsidP="00D87D5C">
            <w:pPr>
              <w:rPr>
                <w:rFonts w:eastAsia="Times New Roman" w:cstheme="minorHAnsi"/>
                <w:b/>
                <w:bCs/>
                <w:lang w:eastAsia="en-GB"/>
              </w:rPr>
            </w:pPr>
            <w:r w:rsidRPr="00BB1B71">
              <w:rPr>
                <w:rFonts w:eastAsia="Times New Roman" w:cstheme="minorHAnsi"/>
                <w:b/>
                <w:bCs/>
                <w:lang w:eastAsia="en-GB"/>
              </w:rPr>
              <w:t>Gastrointestinal disorders</w:t>
            </w:r>
          </w:p>
          <w:p w14:paraId="0DF0F3D3" w14:textId="77777777" w:rsidR="00C57EE9" w:rsidRDefault="00C57EE9" w:rsidP="00D87D5C">
            <w:pPr>
              <w:rPr>
                <w:rFonts w:eastAsia="Times New Roman" w:cs="Arial"/>
                <w:b/>
                <w:lang w:eastAsia="en-GB"/>
              </w:rPr>
            </w:pPr>
            <w:r>
              <w:rPr>
                <w:rFonts w:eastAsia="Times New Roman" w:cstheme="minorHAnsi"/>
                <w:lang w:eastAsia="en-GB"/>
              </w:rPr>
              <w:t xml:space="preserve">Nausea, vomiting, diarrhoea, abdominal pain, constipation, dry mouth </w:t>
            </w:r>
          </w:p>
        </w:tc>
        <w:tc>
          <w:tcPr>
            <w:tcW w:w="5245" w:type="dxa"/>
            <w:hideMark/>
          </w:tcPr>
          <w:p w14:paraId="6FC6AC9B" w14:textId="77777777" w:rsidR="00C57EE9" w:rsidRDefault="00C57EE9" w:rsidP="00D87D5C">
            <w:pPr>
              <w:rPr>
                <w:rFonts w:eastAsia="Times New Roman" w:cs="Arial"/>
                <w:b/>
                <w:lang w:eastAsia="en-GB"/>
              </w:rPr>
            </w:pPr>
            <w:r w:rsidRPr="00D62071">
              <w:rPr>
                <w:rFonts w:eastAsia="Times New Roman" w:cstheme="minorHAnsi"/>
                <w:lang w:eastAsia="en-GB"/>
              </w:rPr>
              <w:t>Usually occur at the beginning of treatment and may be alleviated by concomitant food intake. Discuss with specialist team if difficulty persists.</w:t>
            </w:r>
          </w:p>
        </w:tc>
      </w:tr>
      <w:tr w:rsidR="00C57EE9" w14:paraId="348E88A3" w14:textId="77777777" w:rsidTr="00D87D5C">
        <w:tblPrEx>
          <w:tblCellMar>
            <w:top w:w="0" w:type="dxa"/>
            <w:bottom w:w="0" w:type="dxa"/>
          </w:tblCellMar>
          <w:tblLook w:val="04A0" w:firstRow="1" w:lastRow="0" w:firstColumn="1" w:lastColumn="0" w:noHBand="0" w:noVBand="1"/>
        </w:tblPrEx>
        <w:trPr>
          <w:trHeight w:val="908"/>
        </w:trPr>
        <w:tc>
          <w:tcPr>
            <w:tcW w:w="5245" w:type="dxa"/>
            <w:hideMark/>
          </w:tcPr>
          <w:p w14:paraId="1BF2B082" w14:textId="77777777" w:rsidR="00C57EE9" w:rsidRPr="00E545CB" w:rsidRDefault="00C57EE9" w:rsidP="00D87D5C">
            <w:pPr>
              <w:rPr>
                <w:rFonts w:eastAsia="Times New Roman" w:cstheme="minorHAnsi"/>
                <w:b/>
                <w:bCs/>
                <w:lang w:eastAsia="en-GB"/>
              </w:rPr>
            </w:pPr>
            <w:r w:rsidRPr="00E545CB">
              <w:rPr>
                <w:rFonts w:eastAsia="Times New Roman" w:cstheme="minorHAnsi"/>
                <w:b/>
                <w:bCs/>
                <w:lang w:eastAsia="en-GB"/>
              </w:rPr>
              <w:t>Psychiatric disorders</w:t>
            </w:r>
          </w:p>
          <w:p w14:paraId="486A35B5" w14:textId="77777777" w:rsidR="00C57EE9" w:rsidRDefault="00C57EE9" w:rsidP="00D87D5C">
            <w:pPr>
              <w:rPr>
                <w:b/>
                <w:lang w:eastAsia="en-GB"/>
              </w:rPr>
            </w:pPr>
            <w:r>
              <w:rPr>
                <w:rFonts w:eastAsia="Times New Roman" w:cstheme="minorHAnsi"/>
                <w:lang w:eastAsia="en-GB"/>
              </w:rPr>
              <w:t>New or worsening psychiatric or neuropsychiatric symptoms, e.g. psychosis, suicidal ideation or behaviour, mania, bipolar disorder, depression, paranoia, anxiety, agitation, aggressive or hostile behaviour, motor or verbal tics (including Tourette’s syndrome)</w:t>
            </w:r>
          </w:p>
        </w:tc>
        <w:tc>
          <w:tcPr>
            <w:tcW w:w="5245" w:type="dxa"/>
            <w:hideMark/>
          </w:tcPr>
          <w:p w14:paraId="2D9B295C" w14:textId="77777777" w:rsidR="00C57EE9" w:rsidRDefault="00C57EE9" w:rsidP="00D87D5C">
            <w:pPr>
              <w:rPr>
                <w:lang w:eastAsia="en-GB"/>
              </w:rPr>
            </w:pPr>
            <w:r>
              <w:rPr>
                <w:rFonts w:eastAsia="Times New Roman" w:cstheme="minorHAnsi"/>
                <w:lang w:eastAsia="en-GB"/>
              </w:rPr>
              <w:t>Discuss with specialist team. Stop treatment and consider referral to acute mental health team if suicidal ideation or behaviour, mania, or psychosis are present. Lisdexamfetamine should not be continued unless the benefits outweigh the risks.</w:t>
            </w:r>
          </w:p>
        </w:tc>
      </w:tr>
      <w:tr w:rsidR="00C57EE9" w14:paraId="3B20CDEC" w14:textId="77777777" w:rsidTr="00D87D5C">
        <w:tblPrEx>
          <w:tblCellMar>
            <w:top w:w="0" w:type="dxa"/>
            <w:bottom w:w="0" w:type="dxa"/>
          </w:tblCellMar>
          <w:tblLook w:val="04A0" w:firstRow="1" w:lastRow="0" w:firstColumn="1" w:lastColumn="0" w:noHBand="0" w:noVBand="1"/>
        </w:tblPrEx>
        <w:trPr>
          <w:trHeight w:val="908"/>
        </w:trPr>
        <w:tc>
          <w:tcPr>
            <w:tcW w:w="5245" w:type="dxa"/>
          </w:tcPr>
          <w:p w14:paraId="5B1CA35D" w14:textId="77777777" w:rsidR="00C57EE9" w:rsidRPr="00EF3628" w:rsidRDefault="00C57EE9" w:rsidP="00D87D5C">
            <w:pPr>
              <w:rPr>
                <w:rFonts w:eastAsia="Times New Roman" w:cstheme="minorHAnsi"/>
                <w:b/>
                <w:bCs/>
                <w:lang w:eastAsia="en-GB"/>
              </w:rPr>
            </w:pPr>
            <w:r w:rsidRPr="00EF3628">
              <w:rPr>
                <w:rFonts w:eastAsia="Times New Roman" w:cstheme="minorHAnsi"/>
                <w:b/>
                <w:bCs/>
                <w:lang w:eastAsia="en-GB"/>
              </w:rPr>
              <w:t>Insomnia or other sleep disturbances</w:t>
            </w:r>
          </w:p>
        </w:tc>
        <w:tc>
          <w:tcPr>
            <w:tcW w:w="5245" w:type="dxa"/>
          </w:tcPr>
          <w:p w14:paraId="74B411EE" w14:textId="77777777" w:rsidR="00C57EE9" w:rsidRDefault="00C57EE9" w:rsidP="00D87D5C">
            <w:pPr>
              <w:rPr>
                <w:rFonts w:eastAsia="Times New Roman" w:cstheme="minorHAnsi"/>
                <w:lang w:eastAsia="en-GB"/>
              </w:rPr>
            </w:pPr>
            <w:r w:rsidRPr="008E6E8B">
              <w:rPr>
                <w:rFonts w:eastAsia="Times New Roman" w:cstheme="minorHAnsi"/>
                <w:lang w:eastAsia="en-GB"/>
              </w:rPr>
              <w:t xml:space="preserve">Review timing of </w:t>
            </w:r>
            <w:r>
              <w:rPr>
                <w:rFonts w:eastAsia="Times New Roman" w:cstheme="minorHAnsi"/>
                <w:lang w:eastAsia="en-GB"/>
              </w:rPr>
              <w:t>lis</w:t>
            </w:r>
            <w:r w:rsidRPr="008E6E8B">
              <w:rPr>
                <w:rFonts w:eastAsia="Times New Roman" w:cstheme="minorHAnsi"/>
                <w:lang w:eastAsia="en-GB"/>
              </w:rPr>
              <w:t>dexamfetamine dose and advise as appropriate. Give advice on sleep hygiene. Discuss with specialist team if difficulty persists; dose reduction may be required.</w:t>
            </w:r>
          </w:p>
        </w:tc>
      </w:tr>
      <w:tr w:rsidR="00C57EE9" w14:paraId="3B6352EB" w14:textId="77777777" w:rsidTr="00D87D5C">
        <w:tblPrEx>
          <w:tblCellMar>
            <w:top w:w="0" w:type="dxa"/>
            <w:bottom w:w="0" w:type="dxa"/>
          </w:tblCellMar>
          <w:tblLook w:val="04A0" w:firstRow="1" w:lastRow="0" w:firstColumn="1" w:lastColumn="0" w:noHBand="0" w:noVBand="1"/>
        </w:tblPrEx>
        <w:trPr>
          <w:trHeight w:val="908"/>
        </w:trPr>
        <w:tc>
          <w:tcPr>
            <w:tcW w:w="5245" w:type="dxa"/>
          </w:tcPr>
          <w:p w14:paraId="7488B750" w14:textId="77777777" w:rsidR="00C57EE9" w:rsidRPr="00FD1CAC" w:rsidRDefault="00C57EE9" w:rsidP="00D87D5C">
            <w:pPr>
              <w:spacing w:after="0"/>
              <w:rPr>
                <w:rFonts w:eastAsia="Times New Roman" w:cs="Arial"/>
                <w:lang w:eastAsia="en-GB"/>
              </w:rPr>
            </w:pPr>
            <w:r w:rsidRPr="00FD1CAC">
              <w:rPr>
                <w:rFonts w:eastAsia="Times New Roman" w:cs="Arial"/>
                <w:b/>
                <w:lang w:eastAsia="en-GB"/>
              </w:rPr>
              <w:t>Haematological disorders</w:t>
            </w:r>
          </w:p>
          <w:p w14:paraId="3BED7D6F" w14:textId="77777777" w:rsidR="00C57EE9" w:rsidRPr="00FD1CAC" w:rsidRDefault="00C57EE9" w:rsidP="00D87D5C">
            <w:pPr>
              <w:spacing w:after="0"/>
              <w:rPr>
                <w:rFonts w:eastAsia="Times New Roman" w:cs="Arial"/>
                <w:lang w:eastAsia="en-GB"/>
              </w:rPr>
            </w:pPr>
            <w:r w:rsidRPr="00FD1CAC">
              <w:rPr>
                <w:rFonts w:eastAsia="Times New Roman" w:cs="Arial"/>
                <w:lang w:eastAsia="en-GB"/>
              </w:rPr>
              <w:t>Including leukopenia, thrombocytopenia, anaemia, or other alterations</w:t>
            </w:r>
          </w:p>
          <w:p w14:paraId="20F1F174" w14:textId="77777777" w:rsidR="00C57EE9" w:rsidRPr="006916EA" w:rsidRDefault="00C57EE9" w:rsidP="00D87D5C">
            <w:pPr>
              <w:spacing w:after="0"/>
              <w:rPr>
                <w:rFonts w:eastAsia="Times New Roman" w:cs="Arial"/>
                <w:lang w:eastAsia="en-GB"/>
              </w:rPr>
            </w:pPr>
            <w:r w:rsidRPr="00FD1CAC">
              <w:rPr>
                <w:rFonts w:eastAsia="Times New Roman" w:cs="Arial"/>
                <w:lang w:eastAsia="en-GB"/>
              </w:rPr>
              <w:t xml:space="preserve">NB: no haematological monitoring is recommended. Haematological disorders would be a chance finding/due to patient reporting adverse drug reactions. </w:t>
            </w:r>
          </w:p>
        </w:tc>
        <w:tc>
          <w:tcPr>
            <w:tcW w:w="5245" w:type="dxa"/>
          </w:tcPr>
          <w:p w14:paraId="7CC8B8B8" w14:textId="77777777" w:rsidR="00C57EE9" w:rsidRPr="008E6E8B" w:rsidRDefault="00C57EE9" w:rsidP="00D87D5C">
            <w:pPr>
              <w:rPr>
                <w:rFonts w:eastAsia="Times New Roman" w:cstheme="minorHAnsi"/>
                <w:lang w:eastAsia="en-GB"/>
              </w:rPr>
            </w:pPr>
            <w:r w:rsidRPr="00FD1CAC">
              <w:rPr>
                <w:rFonts w:eastAsia="Times New Roman" w:cs="Arial"/>
                <w:lang w:eastAsia="en-GB"/>
              </w:rPr>
              <w:t xml:space="preserve">Contact specialist team. Discontinuation should be considered. Referral to haematology may be warranted; use clinical discretion. </w:t>
            </w:r>
          </w:p>
        </w:tc>
      </w:tr>
      <w:tr w:rsidR="00C57EE9" w14:paraId="510DF2E1" w14:textId="77777777" w:rsidTr="00D87D5C">
        <w:tblPrEx>
          <w:tblCellMar>
            <w:top w:w="0" w:type="dxa"/>
            <w:bottom w:w="0" w:type="dxa"/>
          </w:tblCellMar>
          <w:tblLook w:val="04A0" w:firstRow="1" w:lastRow="0" w:firstColumn="1" w:lastColumn="0" w:noHBand="0" w:noVBand="1"/>
        </w:tblPrEx>
        <w:trPr>
          <w:trHeight w:val="908"/>
        </w:trPr>
        <w:tc>
          <w:tcPr>
            <w:tcW w:w="5245" w:type="dxa"/>
          </w:tcPr>
          <w:p w14:paraId="6C70E6BF" w14:textId="77777777" w:rsidR="00C57EE9" w:rsidRPr="008E6E8B" w:rsidRDefault="00C57EE9" w:rsidP="00D87D5C">
            <w:pPr>
              <w:rPr>
                <w:rFonts w:eastAsia="Times New Roman" w:cstheme="minorHAnsi"/>
                <w:b/>
                <w:bCs/>
                <w:lang w:eastAsia="en-GB"/>
              </w:rPr>
            </w:pPr>
            <w:r w:rsidRPr="008E6E8B">
              <w:rPr>
                <w:rFonts w:eastAsia="Times New Roman" w:cstheme="minorHAnsi"/>
                <w:b/>
                <w:bCs/>
                <w:lang w:eastAsia="en-GB"/>
              </w:rPr>
              <w:t>Nervous system disorders</w:t>
            </w:r>
          </w:p>
          <w:p w14:paraId="4251245F" w14:textId="77777777" w:rsidR="00C57EE9" w:rsidRDefault="00C57EE9" w:rsidP="00D87D5C">
            <w:pPr>
              <w:rPr>
                <w:rFonts w:eastAsia="Times New Roman" w:cstheme="minorHAnsi"/>
                <w:lang w:eastAsia="en-GB"/>
              </w:rPr>
            </w:pPr>
            <w:r w:rsidRPr="008E6E8B">
              <w:rPr>
                <w:rFonts w:eastAsia="Times New Roman" w:cstheme="minorHAnsi"/>
                <w:lang w:eastAsia="en-GB"/>
              </w:rPr>
              <w:t xml:space="preserve">Symptoms of cerebral ischaemia, e.g. severe headache, numbness, weakness, paralysis, and </w:t>
            </w:r>
            <w:r w:rsidRPr="008E6E8B">
              <w:rPr>
                <w:rFonts w:eastAsia="Times New Roman" w:cstheme="minorHAnsi"/>
                <w:lang w:eastAsia="en-GB"/>
              </w:rPr>
              <w:lastRenderedPageBreak/>
              <w:t>impairment of coordination, vision, speech, language, or memory</w:t>
            </w:r>
          </w:p>
        </w:tc>
        <w:tc>
          <w:tcPr>
            <w:tcW w:w="5245" w:type="dxa"/>
          </w:tcPr>
          <w:p w14:paraId="3DED3B6F" w14:textId="77777777" w:rsidR="00C57EE9" w:rsidRPr="008E6E8B" w:rsidRDefault="00C57EE9" w:rsidP="00D87D5C">
            <w:pPr>
              <w:rPr>
                <w:rFonts w:eastAsia="Times New Roman" w:cstheme="minorHAnsi"/>
                <w:lang w:eastAsia="en-GB"/>
              </w:rPr>
            </w:pPr>
            <w:r w:rsidRPr="008E6E8B">
              <w:rPr>
                <w:rFonts w:eastAsia="Times New Roman" w:cstheme="minorHAnsi"/>
                <w:lang w:eastAsia="en-GB"/>
              </w:rPr>
              <w:lastRenderedPageBreak/>
              <w:t xml:space="preserve">Discontinue </w:t>
            </w:r>
            <w:r>
              <w:rPr>
                <w:rFonts w:eastAsia="Times New Roman" w:cstheme="minorHAnsi"/>
                <w:lang w:eastAsia="en-GB"/>
              </w:rPr>
              <w:t>lis</w:t>
            </w:r>
            <w:r w:rsidRPr="008E6E8B">
              <w:rPr>
                <w:rFonts w:eastAsia="Times New Roman" w:cstheme="minorHAnsi"/>
                <w:lang w:eastAsia="en-GB"/>
              </w:rPr>
              <w:t>dexamfetamine, refer urgently for neurological assessment.</w:t>
            </w:r>
          </w:p>
        </w:tc>
      </w:tr>
      <w:tr w:rsidR="00C57EE9" w14:paraId="6A7DE84E" w14:textId="77777777" w:rsidTr="00D87D5C">
        <w:tblPrEx>
          <w:tblCellMar>
            <w:top w:w="0" w:type="dxa"/>
            <w:bottom w:w="0" w:type="dxa"/>
          </w:tblCellMar>
          <w:tblLook w:val="04A0" w:firstRow="1" w:lastRow="0" w:firstColumn="1" w:lastColumn="0" w:noHBand="0" w:noVBand="1"/>
        </w:tblPrEx>
        <w:trPr>
          <w:trHeight w:val="78"/>
        </w:trPr>
        <w:tc>
          <w:tcPr>
            <w:tcW w:w="5245" w:type="dxa"/>
          </w:tcPr>
          <w:p w14:paraId="1F2B8E9D" w14:textId="77777777" w:rsidR="00C57EE9" w:rsidRDefault="00C57EE9" w:rsidP="00D87D5C">
            <w:pPr>
              <w:rPr>
                <w:rFonts w:eastAsia="Times New Roman" w:cstheme="minorHAnsi"/>
                <w:lang w:eastAsia="en-GB"/>
              </w:rPr>
            </w:pPr>
            <w:r w:rsidRPr="00E635DA">
              <w:rPr>
                <w:rFonts w:eastAsia="Times New Roman" w:cs="Arial"/>
                <w:lang w:eastAsia="en-GB"/>
              </w:rPr>
              <w:t>New or worsening seizures</w:t>
            </w:r>
          </w:p>
        </w:tc>
        <w:tc>
          <w:tcPr>
            <w:tcW w:w="5245" w:type="dxa"/>
          </w:tcPr>
          <w:p w14:paraId="650ACD96" w14:textId="77777777" w:rsidR="00C57EE9" w:rsidRDefault="00C57EE9" w:rsidP="00D87D5C">
            <w:pPr>
              <w:rPr>
                <w:rFonts w:eastAsia="Times New Roman" w:cstheme="minorHAnsi"/>
                <w:lang w:eastAsia="en-GB"/>
              </w:rPr>
            </w:pPr>
            <w:r w:rsidRPr="00E635DA">
              <w:rPr>
                <w:rFonts w:eastAsia="Times New Roman" w:cs="Arial"/>
                <w:lang w:eastAsia="en-GB"/>
              </w:rPr>
              <w:t xml:space="preserve">Stop </w:t>
            </w:r>
            <w:r>
              <w:rPr>
                <w:rFonts w:eastAsia="Times New Roman" w:cs="Arial"/>
                <w:lang w:eastAsia="en-GB"/>
              </w:rPr>
              <w:t>lis</w:t>
            </w:r>
            <w:r w:rsidRPr="00E635DA">
              <w:rPr>
                <w:rFonts w:eastAsia="Times New Roman" w:cs="Arial"/>
                <w:lang w:eastAsia="en-GB"/>
              </w:rPr>
              <w:t>dexamfetamine and discuss with specialist</w:t>
            </w:r>
            <w:r>
              <w:rPr>
                <w:rFonts w:eastAsia="Times New Roman" w:cs="Arial"/>
                <w:lang w:eastAsia="en-GB"/>
              </w:rPr>
              <w:t xml:space="preserve"> team</w:t>
            </w:r>
            <w:r w:rsidRPr="00E635DA">
              <w:rPr>
                <w:rFonts w:eastAsia="Times New Roman" w:cs="Arial"/>
                <w:lang w:eastAsia="en-GB"/>
              </w:rPr>
              <w:t>. Discontinuation may be indicated.</w:t>
            </w:r>
          </w:p>
        </w:tc>
      </w:tr>
      <w:tr w:rsidR="00C57EE9" w14:paraId="0F6C6F56" w14:textId="77777777" w:rsidTr="00D87D5C">
        <w:tblPrEx>
          <w:tblCellMar>
            <w:top w:w="0" w:type="dxa"/>
            <w:bottom w:w="0" w:type="dxa"/>
          </w:tblCellMar>
          <w:tblLook w:val="04A0" w:firstRow="1" w:lastRow="0" w:firstColumn="1" w:lastColumn="0" w:noHBand="0" w:noVBand="1"/>
        </w:tblPrEx>
        <w:trPr>
          <w:trHeight w:val="78"/>
        </w:trPr>
        <w:tc>
          <w:tcPr>
            <w:tcW w:w="5245" w:type="dxa"/>
          </w:tcPr>
          <w:p w14:paraId="7B45D8FD" w14:textId="77777777" w:rsidR="00C57EE9" w:rsidRDefault="00C57EE9" w:rsidP="00D87D5C">
            <w:pPr>
              <w:rPr>
                <w:rFonts w:eastAsia="Times New Roman" w:cstheme="minorHAnsi"/>
                <w:lang w:eastAsia="en-GB"/>
              </w:rPr>
            </w:pPr>
            <w:r>
              <w:rPr>
                <w:rFonts w:eastAsia="Times New Roman" w:cs="Arial"/>
                <w:lang w:eastAsia="en-GB"/>
              </w:rPr>
              <w:t>Headache, dizziness</w:t>
            </w:r>
          </w:p>
        </w:tc>
        <w:tc>
          <w:tcPr>
            <w:tcW w:w="5245" w:type="dxa"/>
          </w:tcPr>
          <w:p w14:paraId="41A26E40" w14:textId="77777777" w:rsidR="00C57EE9" w:rsidRDefault="00C57EE9" w:rsidP="00D87D5C">
            <w:pPr>
              <w:rPr>
                <w:rFonts w:eastAsia="Times New Roman" w:cstheme="minorHAnsi"/>
                <w:lang w:eastAsia="en-GB"/>
              </w:rPr>
            </w:pPr>
            <w:r>
              <w:rPr>
                <w:rFonts w:eastAsia="Times New Roman" w:cs="Arial"/>
                <w:lang w:eastAsia="en-GB"/>
              </w:rPr>
              <w:t>Continue treatment unless severe. Discuss with specialist team if difficulty persists.</w:t>
            </w:r>
          </w:p>
        </w:tc>
      </w:tr>
      <w:tr w:rsidR="00C57EE9" w14:paraId="44CB4411" w14:textId="77777777" w:rsidTr="00D87D5C">
        <w:tblPrEx>
          <w:tblCellMar>
            <w:top w:w="0" w:type="dxa"/>
            <w:bottom w:w="0" w:type="dxa"/>
          </w:tblCellMar>
          <w:tblLook w:val="04A0" w:firstRow="1" w:lastRow="0" w:firstColumn="1" w:lastColumn="0" w:noHBand="0" w:noVBand="1"/>
        </w:tblPrEx>
        <w:trPr>
          <w:trHeight w:val="78"/>
        </w:trPr>
        <w:tc>
          <w:tcPr>
            <w:tcW w:w="5245" w:type="dxa"/>
            <w:hideMark/>
          </w:tcPr>
          <w:p w14:paraId="4DF7E0CD" w14:textId="77777777" w:rsidR="00C57EE9" w:rsidRDefault="00C57EE9" w:rsidP="00D87D5C">
            <w:pPr>
              <w:rPr>
                <w:rFonts w:eastAsia="Times New Roman"/>
                <w:lang w:eastAsia="en-GB"/>
              </w:rPr>
            </w:pPr>
            <w:r>
              <w:rPr>
                <w:rFonts w:eastAsia="Times New Roman" w:cstheme="minorHAnsi"/>
                <w:lang w:eastAsia="en-GB"/>
              </w:rPr>
              <w:t>Symptoms of serotonin syndrome, e.g. agitation, hallucinations, coma, tachycardia, labile blood pressure, hyperthermia, hyperreflexia, incoordination, rigidity, nausea, vomiting, diarrhoea</w:t>
            </w:r>
          </w:p>
        </w:tc>
        <w:tc>
          <w:tcPr>
            <w:tcW w:w="5245" w:type="dxa"/>
            <w:hideMark/>
          </w:tcPr>
          <w:p w14:paraId="3977F8E8" w14:textId="77777777" w:rsidR="00C57EE9" w:rsidRDefault="00C57EE9" w:rsidP="00D87D5C">
            <w:pPr>
              <w:rPr>
                <w:rFonts w:eastAsia="Times New Roman" w:cstheme="minorHAnsi"/>
                <w:lang w:eastAsia="en-GB"/>
              </w:rPr>
            </w:pPr>
            <w:r>
              <w:rPr>
                <w:rFonts w:eastAsia="Times New Roman" w:cstheme="minorHAnsi"/>
                <w:lang w:eastAsia="en-GB"/>
              </w:rPr>
              <w:t xml:space="preserve">Discontinue lisdexamfetamine as soon as possible. Management depends on severity; use clinical judgement and seek advice if necessary. </w:t>
            </w:r>
          </w:p>
          <w:p w14:paraId="4A94AD5A" w14:textId="77777777" w:rsidR="00C57EE9" w:rsidRDefault="00C57EE9" w:rsidP="00D87D5C">
            <w:pPr>
              <w:rPr>
                <w:rFonts w:eastAsia="Times New Roman"/>
                <w:lang w:eastAsia="en-GB"/>
              </w:rPr>
            </w:pPr>
            <w:r>
              <w:rPr>
                <w:rFonts w:eastAsia="Times New Roman" w:cstheme="minorHAnsi"/>
                <w:lang w:eastAsia="en-GB"/>
              </w:rPr>
              <w:t>Discuss with specialist team to determine whether lisdexamfetamine can be re-started.</w:t>
            </w:r>
          </w:p>
        </w:tc>
      </w:tr>
      <w:tr w:rsidR="00C57EE9" w14:paraId="0CE108D6" w14:textId="77777777" w:rsidTr="00D87D5C">
        <w:tblPrEx>
          <w:tblCellMar>
            <w:top w:w="0" w:type="dxa"/>
            <w:bottom w:w="0" w:type="dxa"/>
          </w:tblCellMar>
          <w:tblLook w:val="04A0" w:firstRow="1" w:lastRow="0" w:firstColumn="1" w:lastColumn="0" w:noHBand="0" w:noVBand="1"/>
        </w:tblPrEx>
        <w:trPr>
          <w:trHeight w:val="78"/>
        </w:trPr>
        <w:tc>
          <w:tcPr>
            <w:tcW w:w="5245" w:type="dxa"/>
            <w:hideMark/>
          </w:tcPr>
          <w:p w14:paraId="44FF0902" w14:textId="77777777" w:rsidR="00C57EE9" w:rsidRDefault="00C57EE9" w:rsidP="00D87D5C">
            <w:pPr>
              <w:rPr>
                <w:rFonts w:eastAsia="Times New Roman"/>
                <w:lang w:eastAsia="en-GB"/>
              </w:rPr>
            </w:pPr>
            <w:r>
              <w:t>Suspicion of abuse, misuse, or diversion</w:t>
            </w:r>
          </w:p>
        </w:tc>
        <w:tc>
          <w:tcPr>
            <w:tcW w:w="5245" w:type="dxa"/>
            <w:hideMark/>
          </w:tcPr>
          <w:p w14:paraId="07095A7C" w14:textId="77777777" w:rsidR="00C57EE9" w:rsidRDefault="00C57EE9" w:rsidP="00D87D5C">
            <w:pPr>
              <w:rPr>
                <w:rFonts w:eastAsia="Times New Roman"/>
                <w:lang w:eastAsia="en-GB"/>
              </w:rPr>
            </w:pPr>
            <w:r>
              <w:t>Discuss with specialist team.</w:t>
            </w:r>
          </w:p>
        </w:tc>
      </w:tr>
    </w:tbl>
    <w:p w14:paraId="301CBFA7" w14:textId="77777777" w:rsidR="00C57EE9" w:rsidRDefault="00C57EE9" w:rsidP="00C57EE9"/>
    <w:p w14:paraId="59F12F33" w14:textId="77777777" w:rsidR="00C57EE9" w:rsidRDefault="00C57EE9" w:rsidP="00C57EE9"/>
    <w:tbl>
      <w:tblPr>
        <w:tblStyle w:val="TableGridLight1"/>
        <w:tblW w:w="0" w:type="auto"/>
        <w:tblInd w:w="-5" w:type="dxa"/>
        <w:tblCellMar>
          <w:top w:w="57" w:type="dxa"/>
          <w:bottom w:w="57" w:type="dxa"/>
        </w:tblCellMar>
        <w:tblLook w:val="0480" w:firstRow="0" w:lastRow="0" w:firstColumn="1" w:lastColumn="0" w:noHBand="0" w:noVBand="1"/>
      </w:tblPr>
      <w:tblGrid>
        <w:gridCol w:w="2268"/>
        <w:gridCol w:w="8193"/>
      </w:tblGrid>
      <w:tr w:rsidR="00C57EE9" w:rsidRPr="00F321FC" w14:paraId="2EACD871" w14:textId="77777777" w:rsidTr="00D87D5C">
        <w:tc>
          <w:tcPr>
            <w:tcW w:w="2268" w:type="dxa"/>
          </w:tcPr>
          <w:p w14:paraId="14ACA6F3" w14:textId="77777777" w:rsidR="00C57EE9" w:rsidRDefault="00C57EE9" w:rsidP="00D87D5C">
            <w:pPr>
              <w:pStyle w:val="Heading2"/>
              <w:outlineLvl w:val="1"/>
              <w:rPr>
                <w:rFonts w:cs="Arial"/>
              </w:rPr>
            </w:pPr>
            <w:bookmarkStart w:id="39" w:name="eleven_patient_advice"/>
            <w:bookmarkStart w:id="40" w:name="_Toc149231795"/>
            <w:r w:rsidRPr="00F321FC">
              <w:rPr>
                <w:rFonts w:cs="Arial"/>
              </w:rPr>
              <w:t>Advice to patients and carers</w:t>
            </w:r>
            <w:bookmarkEnd w:id="39"/>
            <w:bookmarkEnd w:id="40"/>
          </w:p>
          <w:p w14:paraId="3E8D6F93" w14:textId="77777777" w:rsidR="00C57EE9" w:rsidRDefault="00C57EE9" w:rsidP="00D87D5C"/>
          <w:p w14:paraId="52FE3630" w14:textId="77777777" w:rsidR="00C57EE9" w:rsidRPr="005D79FA" w:rsidRDefault="00C57EE9" w:rsidP="00D87D5C">
            <w:r w:rsidRPr="00F321FC">
              <w:rPr>
                <w:rFonts w:cs="Arial"/>
              </w:rPr>
              <w:t>The specialist will counsel the patient with regard to the benefits and risks of treatment and will provide the patient with any relevant information and advice, including patient information leaflets on individual drugs.</w:t>
            </w:r>
          </w:p>
        </w:tc>
        <w:tc>
          <w:tcPr>
            <w:tcW w:w="8193" w:type="dxa"/>
          </w:tcPr>
          <w:p w14:paraId="7D71BCD4" w14:textId="77777777" w:rsidR="00C57EE9" w:rsidRPr="003C26FF" w:rsidRDefault="00C57EE9" w:rsidP="00D87D5C">
            <w:pPr>
              <w:rPr>
                <w:rFonts w:cs="Arial"/>
                <w:b/>
              </w:rPr>
            </w:pPr>
            <w:r w:rsidRPr="003C26FF">
              <w:rPr>
                <w:rFonts w:cs="Arial"/>
                <w:b/>
              </w:rPr>
              <w:t xml:space="preserve">The patient/carer should be advised to report any of the following signs or symptoms to their primary care prescriber without delay:           </w:t>
            </w:r>
          </w:p>
          <w:p w14:paraId="0F6618B7" w14:textId="77777777" w:rsidR="00C57EE9" w:rsidRPr="00E676CD" w:rsidRDefault="00C57EE9" w:rsidP="00C57EE9">
            <w:pPr>
              <w:pStyle w:val="ListParagraph"/>
              <w:numPr>
                <w:ilvl w:val="0"/>
                <w:numId w:val="8"/>
              </w:numPr>
              <w:rPr>
                <w:rFonts w:cs="Arial"/>
              </w:rPr>
            </w:pPr>
            <w:r w:rsidRPr="00E676CD">
              <w:rPr>
                <w:rFonts w:cs="Arial"/>
              </w:rPr>
              <w:t xml:space="preserve">New or worsening psychiatric symptoms (e.g. paranoia, anxiety, depressive symptoms, agitation, psychotic or manic symptoms, aggressive or hostile behaviour, suicide-related behaviour (suicide attempts or suicidal ideation), motor or verbal tics. </w:t>
            </w:r>
          </w:p>
          <w:p w14:paraId="5ACED628" w14:textId="77777777" w:rsidR="00C57EE9" w:rsidRPr="003C26FF" w:rsidRDefault="00C57EE9" w:rsidP="00C57EE9">
            <w:pPr>
              <w:numPr>
                <w:ilvl w:val="0"/>
                <w:numId w:val="8"/>
              </w:numPr>
              <w:rPr>
                <w:rFonts w:cs="Arial"/>
              </w:rPr>
            </w:pPr>
            <w:r>
              <w:rPr>
                <w:rFonts w:cs="Arial"/>
              </w:rPr>
              <w:t>Symptoms suggestive of cardiac disease (e.g. p</w:t>
            </w:r>
            <w:r w:rsidRPr="003C26FF">
              <w:rPr>
                <w:rFonts w:cs="Arial"/>
              </w:rPr>
              <w:t xml:space="preserve">alpitations, </w:t>
            </w:r>
            <w:r>
              <w:rPr>
                <w:rFonts w:cs="Arial"/>
              </w:rPr>
              <w:t xml:space="preserve">exertional </w:t>
            </w:r>
            <w:r w:rsidRPr="003C26FF">
              <w:rPr>
                <w:rFonts w:cs="Arial"/>
              </w:rPr>
              <w:t>chest pain</w:t>
            </w:r>
            <w:r>
              <w:rPr>
                <w:rFonts w:cs="Arial"/>
              </w:rPr>
              <w:t xml:space="preserve">, unexplained </w:t>
            </w:r>
            <w:r w:rsidRPr="003C26FF">
              <w:rPr>
                <w:rFonts w:cs="Arial"/>
              </w:rPr>
              <w:t>syncope</w:t>
            </w:r>
            <w:r>
              <w:rPr>
                <w:rFonts w:cs="Arial"/>
              </w:rPr>
              <w:t>, or dyspnoea).</w:t>
            </w:r>
          </w:p>
          <w:p w14:paraId="4BFAA6C7" w14:textId="77777777" w:rsidR="00C57EE9" w:rsidRPr="003C26FF" w:rsidRDefault="00C57EE9" w:rsidP="00C57EE9">
            <w:pPr>
              <w:numPr>
                <w:ilvl w:val="0"/>
                <w:numId w:val="8"/>
              </w:numPr>
              <w:rPr>
                <w:rFonts w:cs="Arial"/>
              </w:rPr>
            </w:pPr>
            <w:r>
              <w:rPr>
                <w:rFonts w:cs="Arial"/>
              </w:rPr>
              <w:t>New or worsening neurological</w:t>
            </w:r>
            <w:r w:rsidRPr="003C26FF">
              <w:rPr>
                <w:rFonts w:cs="Arial"/>
              </w:rPr>
              <w:t xml:space="preserve"> symptoms</w:t>
            </w:r>
            <w:r>
              <w:rPr>
                <w:rFonts w:cs="Arial"/>
              </w:rPr>
              <w:t xml:space="preserve"> (e.g. </w:t>
            </w:r>
            <w:r w:rsidRPr="003C26FF">
              <w:rPr>
                <w:rFonts w:cs="Arial"/>
              </w:rPr>
              <w:t xml:space="preserve">severe headache, numbness, weakness, paralysis, </w:t>
            </w:r>
            <w:r>
              <w:rPr>
                <w:rFonts w:cs="Arial"/>
              </w:rPr>
              <w:t xml:space="preserve">or </w:t>
            </w:r>
            <w:r w:rsidRPr="003C26FF">
              <w:rPr>
                <w:rFonts w:cs="Arial"/>
              </w:rPr>
              <w:t>impairment of coordination, vision, speech, language, or memory</w:t>
            </w:r>
            <w:r>
              <w:rPr>
                <w:rFonts w:cs="Arial"/>
              </w:rPr>
              <w:t>).</w:t>
            </w:r>
          </w:p>
          <w:p w14:paraId="69DD0FDC" w14:textId="77777777" w:rsidR="00C57EE9" w:rsidRPr="003C26FF" w:rsidRDefault="00C57EE9" w:rsidP="00C57EE9">
            <w:pPr>
              <w:numPr>
                <w:ilvl w:val="0"/>
                <w:numId w:val="8"/>
              </w:numPr>
              <w:rPr>
                <w:rFonts w:cs="Arial"/>
              </w:rPr>
            </w:pPr>
            <w:r>
              <w:rPr>
                <w:rFonts w:cs="Arial"/>
              </w:rPr>
              <w:t>Symptoms suggestive of hepatic injury (e.g. new onset severe or persistent a</w:t>
            </w:r>
            <w:r w:rsidRPr="003C26FF">
              <w:rPr>
                <w:rFonts w:cs="Arial"/>
              </w:rPr>
              <w:t xml:space="preserve">bdominal pain, </w:t>
            </w:r>
            <w:r>
              <w:rPr>
                <w:rFonts w:cs="Arial"/>
              </w:rPr>
              <w:t xml:space="preserve">unexplained nausea, </w:t>
            </w:r>
            <w:r w:rsidRPr="003C26FF">
              <w:rPr>
                <w:rFonts w:cs="Arial"/>
              </w:rPr>
              <w:t>malaise, jaundice or darkening of urine</w:t>
            </w:r>
            <w:r>
              <w:rPr>
                <w:rFonts w:cs="Arial"/>
              </w:rPr>
              <w:t>).</w:t>
            </w:r>
          </w:p>
          <w:p w14:paraId="60B65684" w14:textId="77777777" w:rsidR="00C57EE9" w:rsidRPr="003C26FF" w:rsidRDefault="00C57EE9" w:rsidP="00C57EE9">
            <w:pPr>
              <w:numPr>
                <w:ilvl w:val="0"/>
                <w:numId w:val="8"/>
              </w:numPr>
              <w:rPr>
                <w:rFonts w:cs="Arial"/>
              </w:rPr>
            </w:pPr>
            <w:r w:rsidRPr="003C26FF">
              <w:rPr>
                <w:rFonts w:cs="Arial"/>
              </w:rPr>
              <w:t>Skin rashes</w:t>
            </w:r>
            <w:del w:id="41" w:author="Wood, Ria (Pharmacy)" w:date="2024-12-12T15:40:00Z">
              <w:r w:rsidRPr="003C26FF" w:rsidDel="00421B67">
                <w:rPr>
                  <w:rFonts w:cs="Arial"/>
                </w:rPr>
                <w:delText>,</w:delText>
              </w:r>
            </w:del>
            <w:r w:rsidRPr="003C26FF">
              <w:rPr>
                <w:rFonts w:cs="Arial"/>
              </w:rPr>
              <w:t xml:space="preserve"> or bruising easily</w:t>
            </w:r>
            <w:r>
              <w:rPr>
                <w:rFonts w:cs="Arial"/>
              </w:rPr>
              <w:t>.</w:t>
            </w:r>
          </w:p>
          <w:p w14:paraId="4E21FFDC" w14:textId="77777777" w:rsidR="00C57EE9" w:rsidRPr="003C26FF" w:rsidRDefault="00C57EE9" w:rsidP="00C57EE9">
            <w:pPr>
              <w:numPr>
                <w:ilvl w:val="0"/>
                <w:numId w:val="8"/>
              </w:numPr>
              <w:rPr>
                <w:rFonts w:cs="Arial"/>
              </w:rPr>
            </w:pPr>
            <w:r w:rsidRPr="003C26FF">
              <w:rPr>
                <w:rFonts w:cs="Arial"/>
              </w:rPr>
              <w:t>Any visual changes such as difficulty with accommodation or blurring of vision</w:t>
            </w:r>
            <w:r>
              <w:rPr>
                <w:rFonts w:cs="Arial"/>
              </w:rPr>
              <w:t>.</w:t>
            </w:r>
          </w:p>
          <w:p w14:paraId="09618912" w14:textId="77777777" w:rsidR="00C57EE9" w:rsidRPr="003C26FF" w:rsidRDefault="00C57EE9" w:rsidP="00C57EE9">
            <w:pPr>
              <w:numPr>
                <w:ilvl w:val="0"/>
                <w:numId w:val="8"/>
              </w:numPr>
              <w:rPr>
                <w:rFonts w:cs="Arial"/>
              </w:rPr>
            </w:pPr>
            <w:r w:rsidRPr="003C26FF">
              <w:rPr>
                <w:rFonts w:cs="Arial"/>
              </w:rPr>
              <w:t>If they suspect they may be pregnant</w:t>
            </w:r>
            <w:del w:id="42" w:author="Wood, Ria (Pharmacy)" w:date="2024-12-12T15:40:00Z">
              <w:r w:rsidRPr="003C26FF" w:rsidDel="00421B67">
                <w:rPr>
                  <w:rFonts w:cs="Arial"/>
                </w:rPr>
                <w:delText>,</w:delText>
              </w:r>
            </w:del>
            <w:r w:rsidRPr="003C26FF">
              <w:rPr>
                <w:rFonts w:cs="Arial"/>
              </w:rPr>
              <w:t xml:space="preserve"> or are planning a pregnancy. Patients of childbearing potential should use appropriate contraception</w:t>
            </w:r>
            <w:del w:id="43" w:author="Wood, Ria (Pharmacy)" w:date="2024-12-12T15:40:00Z">
              <w:r w:rsidRPr="003C26FF" w:rsidDel="00421B67">
                <w:rPr>
                  <w:rFonts w:cs="Arial"/>
                </w:rPr>
                <w:delText>,</w:delText>
              </w:r>
            </w:del>
            <w:r w:rsidRPr="003C26FF">
              <w:rPr>
                <w:rFonts w:cs="Arial"/>
              </w:rPr>
              <w:t xml:space="preserve"> and take a pregnancy test if they think there is a possibility they could be pregnant.</w:t>
            </w:r>
          </w:p>
          <w:p w14:paraId="7DD42B76" w14:textId="77777777" w:rsidR="00C57EE9" w:rsidRDefault="00C57EE9" w:rsidP="00D87D5C">
            <w:pPr>
              <w:pStyle w:val="Heading4"/>
              <w:outlineLvl w:val="3"/>
            </w:pPr>
          </w:p>
          <w:p w14:paraId="4F944959" w14:textId="77777777" w:rsidR="00C57EE9" w:rsidRPr="00F34C5E" w:rsidRDefault="00C57EE9" w:rsidP="00D87D5C">
            <w:pPr>
              <w:pStyle w:val="Heading4"/>
              <w:outlineLvl w:val="3"/>
            </w:pPr>
            <w:r w:rsidRPr="00F34C5E">
              <w:t>The patient should be advised:</w:t>
            </w:r>
          </w:p>
          <w:p w14:paraId="06CEC25D" w14:textId="2D904609" w:rsidR="00C57EE9" w:rsidRPr="003C26FF" w:rsidRDefault="00C57EE9" w:rsidP="00C57EE9">
            <w:pPr>
              <w:numPr>
                <w:ilvl w:val="0"/>
                <w:numId w:val="8"/>
              </w:numPr>
              <w:rPr>
                <w:rFonts w:cs="Arial"/>
              </w:rPr>
            </w:pPr>
            <w:r w:rsidRPr="003C26FF">
              <w:rPr>
                <w:rFonts w:cs="Arial"/>
              </w:rPr>
              <w:t>Attend regularly for monitoring and review appointments with primary care and specialis</w:t>
            </w:r>
            <w:r w:rsidR="00421B67">
              <w:rPr>
                <w:rFonts w:cs="Arial"/>
              </w:rPr>
              <w:t>t</w:t>
            </w:r>
            <w:r w:rsidRPr="003C26FF">
              <w:rPr>
                <w:rFonts w:cs="Arial"/>
              </w:rPr>
              <w:t xml:space="preserve"> and keep contact details up to date with both prescribers. It may not be safe to continue prescribing without regular review, and patients should be aware that their medicines could be stopped if they do not attend appointments.</w:t>
            </w:r>
          </w:p>
          <w:p w14:paraId="450313E5" w14:textId="77777777" w:rsidR="00C57EE9" w:rsidRPr="003C26FF" w:rsidRDefault="00C57EE9" w:rsidP="00C57EE9">
            <w:pPr>
              <w:numPr>
                <w:ilvl w:val="0"/>
                <w:numId w:val="9"/>
              </w:numPr>
              <w:rPr>
                <w:rFonts w:cs="Arial"/>
              </w:rPr>
            </w:pPr>
            <w:r>
              <w:rPr>
                <w:rFonts w:cs="Arial"/>
              </w:rPr>
              <w:t xml:space="preserve">Not to drive, cycle, or operate machines if lisdexamfetamine affects their ability to do so safely </w:t>
            </w:r>
            <w:r w:rsidRPr="00B66E14">
              <w:rPr>
                <w:rFonts w:cs="Arial"/>
              </w:rPr>
              <w:t xml:space="preserve">e.g. by causing dizziness, drowsiness, or </w:t>
            </w:r>
            <w:r>
              <w:rPr>
                <w:rFonts w:cs="Arial"/>
              </w:rPr>
              <w:t>visual disturbances</w:t>
            </w:r>
            <w:r w:rsidRPr="003C26FF">
              <w:rPr>
                <w:rFonts w:cs="Arial"/>
              </w:rPr>
              <w:t xml:space="preserve">. For information on 2015 legislation regarding driving whilst taking certain controlled drugs, including amfetamines, see </w:t>
            </w:r>
            <w:hyperlink r:id="rId28" w:history="1">
              <w:r w:rsidRPr="003C26FF">
                <w:rPr>
                  <w:rStyle w:val="Hyperlink"/>
                  <w:rFonts w:cs="Arial"/>
                </w:rPr>
                <w:t xml:space="preserve">drugs and driving: </w:t>
              </w:r>
              <w:r w:rsidRPr="003C26FF">
                <w:rPr>
                  <w:rStyle w:val="Hyperlink"/>
                  <w:rFonts w:cs="Arial"/>
                </w:rPr>
                <w:lastRenderedPageBreak/>
                <w:t>the law</w:t>
              </w:r>
            </w:hyperlink>
            <w:r w:rsidRPr="003C26FF">
              <w:rPr>
                <w:rFonts w:cs="Arial"/>
                <w:u w:val="single"/>
              </w:rPr>
              <w:t xml:space="preserve">. </w:t>
            </w:r>
            <w:r w:rsidRPr="003C26FF">
              <w:rPr>
                <w:rFonts w:cs="Arial"/>
              </w:rPr>
              <w:t>People who drive must inform the DVLA if their ADHD</w:t>
            </w:r>
            <w:r>
              <w:rPr>
                <w:rFonts w:cs="Arial"/>
              </w:rPr>
              <w:t xml:space="preserve"> </w:t>
            </w:r>
            <w:r w:rsidRPr="003C26FF">
              <w:rPr>
                <w:rFonts w:cs="Arial"/>
              </w:rPr>
              <w:t xml:space="preserve">or medicines affect their ability to drive safely. See </w:t>
            </w:r>
            <w:hyperlink r:id="rId29" w:history="1">
              <w:r w:rsidRPr="003C26FF">
                <w:rPr>
                  <w:rStyle w:val="Hyperlink"/>
                  <w:rFonts w:cs="Arial"/>
                </w:rPr>
                <w:t>https://www.gov.uk/adhd-and-driving</w:t>
              </w:r>
            </w:hyperlink>
            <w:r w:rsidRPr="003C26FF">
              <w:rPr>
                <w:rFonts w:cs="Arial"/>
              </w:rPr>
              <w:t xml:space="preserve">. </w:t>
            </w:r>
          </w:p>
          <w:p w14:paraId="221F152E" w14:textId="77777777" w:rsidR="00C57EE9" w:rsidRPr="003C26FF" w:rsidRDefault="00C57EE9" w:rsidP="00C57EE9">
            <w:pPr>
              <w:numPr>
                <w:ilvl w:val="0"/>
                <w:numId w:val="8"/>
              </w:numPr>
              <w:rPr>
                <w:rFonts w:cs="Arial"/>
              </w:rPr>
            </w:pPr>
            <w:r w:rsidRPr="003C26FF">
              <w:rPr>
                <w:rFonts w:cs="Arial"/>
              </w:rPr>
              <w:t>Avoid alcohol while taking lisdexamfetamine</w:t>
            </w:r>
            <w:del w:id="44" w:author="Wood, Ria (Pharmacy)" w:date="2024-12-12T15:41:00Z">
              <w:r w:rsidRPr="003C26FF" w:rsidDel="00421B67">
                <w:rPr>
                  <w:rFonts w:cs="Arial"/>
                </w:rPr>
                <w:delText>,</w:delText>
              </w:r>
            </w:del>
            <w:r w:rsidRPr="003C26FF">
              <w:rPr>
                <w:rFonts w:cs="Arial"/>
              </w:rPr>
              <w:t xml:space="preserve"> as it may make some side effects worse. Avoid recreational drugs. Due to the risks of depression, and fatigue, abrupt withdrawal after a prolonged period of intake of high doses of lisdexamfetamine should be avoided. Patients wishing to reduce their dose or stop lisdexamfetamine treatment should discuss with their specialist before doing so.</w:t>
            </w:r>
          </w:p>
          <w:p w14:paraId="1D7C4926" w14:textId="77777777" w:rsidR="00C57EE9" w:rsidRPr="003C26FF" w:rsidRDefault="00C57EE9" w:rsidP="00C57EE9">
            <w:pPr>
              <w:numPr>
                <w:ilvl w:val="0"/>
                <w:numId w:val="8"/>
              </w:numPr>
              <w:rPr>
                <w:rFonts w:cs="Arial"/>
              </w:rPr>
            </w:pPr>
            <w:r w:rsidRPr="003C26FF">
              <w:rPr>
                <w:rFonts w:cs="Arial"/>
              </w:rPr>
              <w:t>Lisdexamfetamine is a schedule 2 controlled drug. Patients may be required to prove their identity when collecting prescriptions</w:t>
            </w:r>
            <w:del w:id="45" w:author="Wood, Ria (Pharmacy)" w:date="2024-12-12T15:41:00Z">
              <w:r w:rsidRPr="003C26FF" w:rsidDel="00421B67">
                <w:rPr>
                  <w:rFonts w:cs="Arial"/>
                </w:rPr>
                <w:delText>,</w:delText>
              </w:r>
            </w:del>
            <w:r w:rsidRPr="003C26FF">
              <w:rPr>
                <w:rFonts w:cs="Arial"/>
              </w:rPr>
              <w:t xml:space="preserve"> and should store lisdexamfetamine safely and securely. It must not be shared with anyone else. There are restrictions on travelling with controlled drugs: see </w:t>
            </w:r>
            <w:hyperlink r:id="rId30" w:history="1">
              <w:r w:rsidRPr="003C26FF">
                <w:rPr>
                  <w:rStyle w:val="Hyperlink"/>
                  <w:rFonts w:cs="Arial"/>
                </w:rPr>
                <w:t>https://www.gov.uk/guidance/controlled-drugs-personal-licences</w:t>
              </w:r>
            </w:hyperlink>
            <w:r w:rsidRPr="003C26FF">
              <w:rPr>
                <w:rFonts w:cs="Arial"/>
              </w:rPr>
              <w:t>.</w:t>
            </w:r>
          </w:p>
          <w:p w14:paraId="440EFC90" w14:textId="77777777" w:rsidR="00C57EE9" w:rsidRPr="00F34C5E" w:rsidRDefault="00C57EE9" w:rsidP="00D87D5C">
            <w:pPr>
              <w:rPr>
                <w:rFonts w:cs="Arial"/>
              </w:rPr>
            </w:pPr>
          </w:p>
          <w:p w14:paraId="0DFBFE47" w14:textId="77777777" w:rsidR="00C57EE9" w:rsidRPr="00F34C5E" w:rsidRDefault="00C57EE9" w:rsidP="00D87D5C">
            <w:pPr>
              <w:rPr>
                <w:rFonts w:cs="Arial"/>
              </w:rPr>
            </w:pPr>
            <w:r w:rsidRPr="00F34C5E">
              <w:rPr>
                <w:rStyle w:val="Heading4Char"/>
              </w:rPr>
              <w:t>Patient information</w:t>
            </w:r>
            <w:r w:rsidRPr="00F34C5E">
              <w:rPr>
                <w:rFonts w:cs="Arial"/>
              </w:rPr>
              <w:t>:</w:t>
            </w:r>
          </w:p>
          <w:p w14:paraId="175694BB" w14:textId="77777777" w:rsidR="00C57EE9" w:rsidRPr="003C26FF" w:rsidRDefault="00C57EE9" w:rsidP="00C57EE9">
            <w:pPr>
              <w:numPr>
                <w:ilvl w:val="0"/>
                <w:numId w:val="10"/>
              </w:numPr>
              <w:rPr>
                <w:rFonts w:cs="Arial"/>
              </w:rPr>
            </w:pPr>
            <w:r w:rsidRPr="003C26FF">
              <w:rPr>
                <w:rFonts w:cs="Arial"/>
              </w:rPr>
              <w:t xml:space="preserve">Royal College of Psychiatrists – ADHD in adults. </w:t>
            </w:r>
            <w:hyperlink r:id="rId31" w:history="1">
              <w:r w:rsidRPr="003C26FF">
                <w:rPr>
                  <w:rStyle w:val="Hyperlink"/>
                  <w:rFonts w:cs="Arial"/>
                </w:rPr>
                <w:t>https://www.rcpsych.ac.uk/mental-health/problems-disorders/adhd-in-adults</w:t>
              </w:r>
            </w:hyperlink>
            <w:r w:rsidRPr="003C26FF">
              <w:rPr>
                <w:rFonts w:cs="Arial"/>
              </w:rPr>
              <w:t xml:space="preserve"> </w:t>
            </w:r>
          </w:p>
          <w:p w14:paraId="6F94807B" w14:textId="77777777" w:rsidR="00C57EE9" w:rsidRPr="00F24DF2" w:rsidRDefault="00C57EE9" w:rsidP="00C57EE9">
            <w:pPr>
              <w:numPr>
                <w:ilvl w:val="0"/>
                <w:numId w:val="10"/>
              </w:numPr>
              <w:rPr>
                <w:rStyle w:val="Hyperlink"/>
                <w:rFonts w:cs="Arial"/>
                <w:b/>
              </w:rPr>
            </w:pPr>
            <w:r w:rsidRPr="003C26FF">
              <w:rPr>
                <w:rFonts w:cs="Arial"/>
              </w:rPr>
              <w:t xml:space="preserve">NHS – Attention deficit hyperactivity disorder. </w:t>
            </w:r>
            <w:hyperlink r:id="rId32" w:history="1">
              <w:r w:rsidRPr="003C26FF">
                <w:rPr>
                  <w:rStyle w:val="Hyperlink"/>
                  <w:rFonts w:cs="Arial"/>
                </w:rPr>
                <w:t>https://www.nhs.uk/conditions/attention-deficit-hyperactivity-disorder-adhd/</w:t>
              </w:r>
            </w:hyperlink>
          </w:p>
          <w:p w14:paraId="2F11D184" w14:textId="77777777" w:rsidR="00C57EE9" w:rsidRDefault="00C57EE9" w:rsidP="00D87D5C">
            <w:pPr>
              <w:rPr>
                <w:rFonts w:cs="Arial"/>
                <w:b/>
              </w:rPr>
            </w:pPr>
          </w:p>
          <w:p w14:paraId="599F7EE8" w14:textId="77777777" w:rsidR="00C57EE9" w:rsidRPr="00F24DF2" w:rsidRDefault="00C57EE9" w:rsidP="00D87D5C">
            <w:pPr>
              <w:rPr>
                <w:rFonts w:cs="Arial"/>
                <w:b/>
                <w:u w:val="single"/>
              </w:rPr>
            </w:pPr>
            <w:r w:rsidRPr="00F24DF2">
              <w:rPr>
                <w:rFonts w:cs="Arial"/>
                <w:b/>
              </w:rPr>
              <w:t>Patient information leaflets</w:t>
            </w:r>
            <w:r>
              <w:rPr>
                <w:rFonts w:cs="Arial"/>
                <w:b/>
              </w:rPr>
              <w:t xml:space="preserve"> </w:t>
            </w:r>
            <w:r w:rsidRPr="00F24DF2">
              <w:rPr>
                <w:rFonts w:cs="Arial"/>
                <w:b/>
              </w:rPr>
              <w:t>are also available from:</w:t>
            </w:r>
          </w:p>
          <w:p w14:paraId="56D46ED5" w14:textId="77777777" w:rsidR="00C57EE9" w:rsidRPr="00F24DF2" w:rsidRDefault="00A1618E" w:rsidP="00D87D5C">
            <w:pPr>
              <w:rPr>
                <w:rFonts w:cs="Arial"/>
                <w:bCs/>
              </w:rPr>
            </w:pPr>
            <w:hyperlink r:id="rId33" w:history="1">
              <w:r w:rsidR="00C57EE9" w:rsidRPr="007D729A">
                <w:rPr>
                  <w:rStyle w:val="Hyperlink"/>
                  <w:rFonts w:cs="Arial"/>
                  <w:bCs/>
                </w:rPr>
                <w:t>https://www.medicines.org.uk/emc/search?q=dexamfetamine</w:t>
              </w:r>
            </w:hyperlink>
          </w:p>
        </w:tc>
      </w:tr>
      <w:tr w:rsidR="00C57EE9" w:rsidRPr="00F321FC" w14:paraId="1557676C" w14:textId="77777777" w:rsidTr="00D87D5C">
        <w:tc>
          <w:tcPr>
            <w:tcW w:w="2268" w:type="dxa"/>
          </w:tcPr>
          <w:p w14:paraId="37F83294" w14:textId="77777777" w:rsidR="00C57EE9" w:rsidRDefault="00C57EE9" w:rsidP="00D87D5C">
            <w:pPr>
              <w:pStyle w:val="Heading2"/>
              <w:outlineLvl w:val="1"/>
              <w:rPr>
                <w:rFonts w:cs="Arial"/>
              </w:rPr>
            </w:pPr>
            <w:bookmarkStart w:id="46" w:name="_Pregnancy,_paternal_exposure"/>
            <w:bookmarkStart w:id="47" w:name="twelve_pregnancy"/>
            <w:bookmarkStart w:id="48" w:name="_Toc149231796"/>
            <w:bookmarkEnd w:id="46"/>
            <w:r w:rsidRPr="00F321FC">
              <w:rPr>
                <w:rFonts w:cs="Arial"/>
              </w:rPr>
              <w:lastRenderedPageBreak/>
              <w:t>Pregnancy</w:t>
            </w:r>
            <w:r>
              <w:rPr>
                <w:rFonts w:cs="Arial"/>
              </w:rPr>
              <w:t>, paternal exposure</w:t>
            </w:r>
            <w:r w:rsidRPr="00F321FC">
              <w:rPr>
                <w:rFonts w:cs="Arial"/>
              </w:rPr>
              <w:t xml:space="preserve"> and breastfeeding</w:t>
            </w:r>
            <w:bookmarkEnd w:id="47"/>
            <w:bookmarkEnd w:id="48"/>
          </w:p>
          <w:p w14:paraId="47B93533" w14:textId="77777777" w:rsidR="00C57EE9" w:rsidRDefault="00C57EE9" w:rsidP="00D87D5C"/>
          <w:p w14:paraId="273AD2C6" w14:textId="77777777" w:rsidR="00C57EE9" w:rsidRPr="005D79FA" w:rsidRDefault="00C57EE9" w:rsidP="00D87D5C"/>
        </w:tc>
        <w:tc>
          <w:tcPr>
            <w:tcW w:w="8193" w:type="dxa"/>
          </w:tcPr>
          <w:p w14:paraId="16B4C954" w14:textId="77777777" w:rsidR="00C57EE9" w:rsidRDefault="00C57EE9" w:rsidP="00D87D5C">
            <w:pPr>
              <w:rPr>
                <w:rFonts w:cs="Arial"/>
              </w:rPr>
            </w:pPr>
            <w:r w:rsidRPr="00FB404F">
              <w:rPr>
                <w:rFonts w:cs="Arial"/>
              </w:rPr>
              <w:t>It is the responsibility of the specialist to provide advice on the need for contraception to male and female patients on initiation and at each review, but the ongoing responsibility for providing this advice rests with both the primary care prescriber and the specialist.</w:t>
            </w:r>
          </w:p>
          <w:p w14:paraId="309C555D" w14:textId="77777777" w:rsidR="00C57EE9" w:rsidRDefault="00C57EE9" w:rsidP="00D87D5C">
            <w:pPr>
              <w:rPr>
                <w:rFonts w:cs="Arial"/>
              </w:rPr>
            </w:pPr>
          </w:p>
          <w:p w14:paraId="78838CF3" w14:textId="77777777" w:rsidR="00C57EE9" w:rsidRPr="00F34C5E" w:rsidRDefault="00C57EE9" w:rsidP="00D87D5C">
            <w:pPr>
              <w:rPr>
                <w:rFonts w:cs="Arial"/>
              </w:rPr>
            </w:pPr>
            <w:r w:rsidRPr="007A56FB">
              <w:rPr>
                <w:b/>
                <w:bCs/>
              </w:rPr>
              <w:t>Pregnancy</w:t>
            </w:r>
            <w:r w:rsidRPr="00F34C5E">
              <w:rPr>
                <w:rFonts w:cs="Arial"/>
              </w:rPr>
              <w:t>:</w:t>
            </w:r>
          </w:p>
          <w:p w14:paraId="69C34102" w14:textId="77777777" w:rsidR="00C57EE9" w:rsidRPr="003C26FF" w:rsidRDefault="00C57EE9" w:rsidP="00D87D5C">
            <w:pPr>
              <w:rPr>
                <w:rFonts w:cs="Arial"/>
              </w:rPr>
            </w:pPr>
            <w:r w:rsidRPr="003C26FF">
              <w:rPr>
                <w:rFonts w:cs="Arial"/>
              </w:rPr>
              <w:t>The active metabolite of lisdexamfetamine, dexamfetamine, cross</w:t>
            </w:r>
            <w:r>
              <w:rPr>
                <w:rFonts w:cs="Arial"/>
              </w:rPr>
              <w:t>es</w:t>
            </w:r>
            <w:r w:rsidRPr="003C26FF">
              <w:rPr>
                <w:rFonts w:cs="Arial"/>
              </w:rPr>
              <w:t xml:space="preserve"> the placenta. </w:t>
            </w:r>
            <w:r w:rsidRPr="00091A26">
              <w:rPr>
                <w:rFonts w:cs="Arial"/>
              </w:rPr>
              <w:t xml:space="preserve">Limited safety data suggest that use of therapeutic amfetamines in early pregnancy is not associated with an increased risk of malformations, however their impact on fetal growth later in pregnancy is unknown. </w:t>
            </w:r>
            <w:r>
              <w:rPr>
                <w:rFonts w:cs="Arial"/>
              </w:rPr>
              <w:t>T</w:t>
            </w:r>
            <w:r w:rsidRPr="00091A26">
              <w:rPr>
                <w:rFonts w:cs="Arial"/>
              </w:rPr>
              <w:t>here is evidence suggest</w:t>
            </w:r>
            <w:r>
              <w:rPr>
                <w:rFonts w:cs="Arial"/>
              </w:rPr>
              <w:t xml:space="preserve">ing </w:t>
            </w:r>
            <w:r w:rsidRPr="00091A26">
              <w:rPr>
                <w:rFonts w:cs="Arial"/>
              </w:rPr>
              <w:t>a possible small increased risk of preterm delivery, which may be further increased with use in later pregnancy</w:t>
            </w:r>
            <w:r>
              <w:rPr>
                <w:rFonts w:cs="Arial"/>
              </w:rPr>
              <w:t>. Other possible associations such as placental abruption, preeclampsia, low Apgar scores and the requirement for neonatal resuscitation and admission have also been noted</w:t>
            </w:r>
            <w:r w:rsidRPr="00091A26">
              <w:rPr>
                <w:rFonts w:cs="Arial"/>
              </w:rPr>
              <w:t>. Given th</w:t>
            </w:r>
            <w:r>
              <w:rPr>
                <w:rFonts w:cs="Arial"/>
              </w:rPr>
              <w:t xml:space="preserve">e </w:t>
            </w:r>
            <w:r w:rsidRPr="00091A26">
              <w:rPr>
                <w:rFonts w:cs="Arial"/>
              </w:rPr>
              <w:t>CNS stimulant properties</w:t>
            </w:r>
            <w:r>
              <w:rPr>
                <w:rFonts w:cs="Arial"/>
              </w:rPr>
              <w:t xml:space="preserve"> of amfetamines</w:t>
            </w:r>
            <w:r w:rsidRPr="00091A26">
              <w:rPr>
                <w:rFonts w:cs="Arial"/>
              </w:rPr>
              <w:t xml:space="preserve">, there is also a possibility of neonatal withdrawal and associated complications. </w:t>
            </w:r>
          </w:p>
          <w:p w14:paraId="02A1D7F3" w14:textId="77777777" w:rsidR="00C57EE9" w:rsidRPr="003C26FF" w:rsidRDefault="00C57EE9" w:rsidP="00D87D5C">
            <w:pPr>
              <w:rPr>
                <w:rFonts w:cs="Arial"/>
              </w:rPr>
            </w:pPr>
            <w:r w:rsidRPr="003C26FF">
              <w:rPr>
                <w:rFonts w:cs="Arial"/>
              </w:rPr>
              <w:t>If a patient becomes pregnant or is planning a pregnancy during treatment they should discuss treatment options with their specialist. The specialist will reassume prescribing responsibility, ending the shared care agreement.</w:t>
            </w:r>
            <w:r>
              <w:rPr>
                <w:rFonts w:cs="Arial"/>
              </w:rPr>
              <w:t xml:space="preserve"> The manufacturer recommends that l</w:t>
            </w:r>
            <w:r w:rsidRPr="003C26FF">
              <w:rPr>
                <w:rFonts w:cs="Arial"/>
              </w:rPr>
              <w:t>isdexamfetamine should only be used during pregnancy if the potential benefit outweighs the risks.</w:t>
            </w:r>
          </w:p>
          <w:p w14:paraId="15E6402D" w14:textId="77777777" w:rsidR="00C57EE9" w:rsidRDefault="00C57EE9" w:rsidP="00D87D5C">
            <w:pPr>
              <w:rPr>
                <w:rFonts w:cs="Arial"/>
              </w:rPr>
            </w:pPr>
            <w:r>
              <w:rPr>
                <w:rFonts w:cs="Arial"/>
              </w:rPr>
              <w:t xml:space="preserve">Information for healthcare professionals: </w:t>
            </w:r>
            <w:hyperlink r:id="rId34" w:history="1">
              <w:r w:rsidRPr="0070481A">
                <w:rPr>
                  <w:rStyle w:val="Hyperlink"/>
                  <w:rFonts w:cs="Arial"/>
                </w:rPr>
                <w:t>UK Teratology Information Service</w:t>
              </w:r>
            </w:hyperlink>
          </w:p>
          <w:p w14:paraId="3D38A8FC" w14:textId="77777777" w:rsidR="00C57EE9" w:rsidRPr="003C26FF" w:rsidRDefault="00C57EE9" w:rsidP="00D87D5C">
            <w:pPr>
              <w:rPr>
                <w:rFonts w:cs="Arial"/>
              </w:rPr>
            </w:pPr>
            <w:r>
              <w:rPr>
                <w:rFonts w:cs="Arial"/>
              </w:rPr>
              <w:t xml:space="preserve">Information for patients: </w:t>
            </w:r>
            <w:hyperlink r:id="rId35" w:history="1">
              <w:r w:rsidRPr="0070481A">
                <w:rPr>
                  <w:rStyle w:val="Hyperlink"/>
                  <w:rFonts w:cs="Arial"/>
                </w:rPr>
                <w:t>Best Use of Medicines in Pregnancy</w:t>
              </w:r>
            </w:hyperlink>
            <w:r>
              <w:rPr>
                <w:rFonts w:cs="Arial"/>
              </w:rPr>
              <w:t xml:space="preserve"> </w:t>
            </w:r>
          </w:p>
          <w:p w14:paraId="41B7A396" w14:textId="77777777" w:rsidR="00C57EE9" w:rsidRPr="00F34C5E" w:rsidRDefault="00C57EE9" w:rsidP="00D87D5C">
            <w:pPr>
              <w:rPr>
                <w:rFonts w:cs="Arial"/>
              </w:rPr>
            </w:pPr>
          </w:p>
          <w:p w14:paraId="3D0B9BBE" w14:textId="77777777" w:rsidR="00C57EE9" w:rsidRPr="00F34C5E" w:rsidRDefault="00C57EE9" w:rsidP="00D87D5C">
            <w:pPr>
              <w:rPr>
                <w:rFonts w:cs="Arial"/>
              </w:rPr>
            </w:pPr>
            <w:r w:rsidRPr="007A56FB">
              <w:rPr>
                <w:b/>
                <w:bCs/>
              </w:rPr>
              <w:t>Breastfeeding</w:t>
            </w:r>
            <w:r w:rsidRPr="00F34C5E">
              <w:rPr>
                <w:rFonts w:cs="Arial"/>
              </w:rPr>
              <w:t>:</w:t>
            </w:r>
          </w:p>
          <w:p w14:paraId="0162913C" w14:textId="77777777" w:rsidR="00C57EE9" w:rsidRPr="003C26FF" w:rsidRDefault="00C57EE9" w:rsidP="00D87D5C">
            <w:pPr>
              <w:rPr>
                <w:rFonts w:cs="Arial"/>
              </w:rPr>
            </w:pPr>
            <w:r>
              <w:rPr>
                <w:rFonts w:cs="Arial"/>
              </w:rPr>
              <w:t>The active metabolite of l</w:t>
            </w:r>
            <w:r w:rsidRPr="003C26FF">
              <w:rPr>
                <w:rFonts w:cs="Arial"/>
              </w:rPr>
              <w:t>isdexamfetamine</w:t>
            </w:r>
            <w:r>
              <w:rPr>
                <w:rFonts w:cs="Arial"/>
              </w:rPr>
              <w:t xml:space="preserve">, </w:t>
            </w:r>
            <w:r w:rsidRPr="003C26FF">
              <w:rPr>
                <w:rFonts w:cs="Arial"/>
              </w:rPr>
              <w:t xml:space="preserve">dexamfetamine, </w:t>
            </w:r>
            <w:r>
              <w:rPr>
                <w:rFonts w:cs="Arial"/>
              </w:rPr>
              <w:t>is</w:t>
            </w:r>
            <w:r w:rsidRPr="003C26FF">
              <w:rPr>
                <w:rFonts w:cs="Arial"/>
              </w:rPr>
              <w:t xml:space="preserve"> excreted in human milk, therefore a risk to infants cannot be excluded. </w:t>
            </w:r>
            <w:r>
              <w:rPr>
                <w:rFonts w:cs="Arial"/>
              </w:rPr>
              <w:t>T</w:t>
            </w:r>
            <w:r w:rsidRPr="003C26FF">
              <w:rPr>
                <w:rFonts w:cs="Arial"/>
              </w:rPr>
              <w:t>he manufacturer</w:t>
            </w:r>
            <w:r>
              <w:rPr>
                <w:rFonts w:cs="Arial"/>
              </w:rPr>
              <w:t xml:space="preserve"> of lisdexamfetamine </w:t>
            </w:r>
            <w:r w:rsidRPr="003C26FF">
              <w:rPr>
                <w:rFonts w:cs="Arial"/>
              </w:rPr>
              <w:t>recommend</w:t>
            </w:r>
            <w:r>
              <w:rPr>
                <w:rFonts w:cs="Arial"/>
              </w:rPr>
              <w:t>s</w:t>
            </w:r>
            <w:r w:rsidRPr="003C26FF">
              <w:rPr>
                <w:rFonts w:cs="Arial"/>
              </w:rPr>
              <w:t xml:space="preserve"> against use</w:t>
            </w:r>
            <w:r>
              <w:rPr>
                <w:rFonts w:cs="Arial"/>
              </w:rPr>
              <w:t xml:space="preserve"> during breastfeeding. </w:t>
            </w:r>
            <w:r w:rsidRPr="003C26FF">
              <w:rPr>
                <w:rFonts w:cs="Arial"/>
              </w:rPr>
              <w:t xml:space="preserve">An individual </w:t>
            </w:r>
            <w:r w:rsidRPr="003C26FF">
              <w:rPr>
                <w:rFonts w:cs="Arial"/>
              </w:rPr>
              <w:lastRenderedPageBreak/>
              <w:t xml:space="preserve">risk assessment must be made, taking into account the benefit of breast feeding for the child and the benefit of therapy for the woman. </w:t>
            </w:r>
            <w:r>
              <w:rPr>
                <w:rFonts w:cs="Arial"/>
              </w:rPr>
              <w:t xml:space="preserve">High levels of dexamfetamine may </w:t>
            </w:r>
            <w:r w:rsidRPr="00BA71A6">
              <w:rPr>
                <w:rFonts w:cs="Arial"/>
              </w:rPr>
              <w:t>interfere with lactation, although this is not confirmed in practice.</w:t>
            </w:r>
            <w:r>
              <w:rPr>
                <w:rFonts w:cs="Arial"/>
              </w:rPr>
              <w:t xml:space="preserve"> </w:t>
            </w:r>
            <w:r w:rsidRPr="00BA71A6">
              <w:rPr>
                <w:rFonts w:cs="Arial"/>
              </w:rPr>
              <w:t>If breastfeeding does take place, infants should be monitored for symptoms of CNS stimulation (e.g. decreased appetite, slow weight gain, sleep disturbances, irritability), although these may be difficult to detect.</w:t>
            </w:r>
            <w:r>
              <w:rPr>
                <w:rFonts w:cs="Arial"/>
              </w:rPr>
              <w:t xml:space="preserve"> </w:t>
            </w:r>
            <w:r w:rsidRPr="00472ED9">
              <w:rPr>
                <w:rFonts w:cs="Arial"/>
              </w:rPr>
              <w:t xml:space="preserve">For further support, contact the </w:t>
            </w:r>
            <w:hyperlink r:id="rId36" w:history="1">
              <w:r w:rsidRPr="00472ED9">
                <w:rPr>
                  <w:rStyle w:val="Hyperlink"/>
                  <w:rFonts w:cs="Arial"/>
                </w:rPr>
                <w:t>UK Drugs in Lactation Advisory Service</w:t>
              </w:r>
            </w:hyperlink>
            <w:r w:rsidRPr="00472ED9">
              <w:rPr>
                <w:rFonts w:cs="Arial"/>
              </w:rPr>
              <w:t>.</w:t>
            </w:r>
          </w:p>
          <w:p w14:paraId="3D6A49AB" w14:textId="77777777" w:rsidR="00C57EE9" w:rsidRDefault="00C57EE9" w:rsidP="00D87D5C">
            <w:pPr>
              <w:rPr>
                <w:rFonts w:cs="Arial"/>
              </w:rPr>
            </w:pPr>
          </w:p>
          <w:p w14:paraId="3198F8AB" w14:textId="77777777" w:rsidR="00C57EE9" w:rsidRDefault="00C57EE9" w:rsidP="00D87D5C">
            <w:pPr>
              <w:rPr>
                <w:rFonts w:cs="Arial"/>
              </w:rPr>
            </w:pPr>
            <w:r w:rsidRPr="007A56FB">
              <w:rPr>
                <w:rFonts w:cs="Arial"/>
                <w:b/>
                <w:bCs/>
              </w:rPr>
              <w:t>Paternal exposure</w:t>
            </w:r>
            <w:r>
              <w:rPr>
                <w:rFonts w:cs="Arial"/>
              </w:rPr>
              <w:t xml:space="preserve">: </w:t>
            </w:r>
          </w:p>
          <w:p w14:paraId="54888B5E" w14:textId="77777777" w:rsidR="00C57EE9" w:rsidRPr="007A56FB" w:rsidRDefault="00C57EE9" w:rsidP="00D87D5C">
            <w:pPr>
              <w:rPr>
                <w:rFonts w:cs="Arial"/>
              </w:rPr>
            </w:pPr>
            <w:r w:rsidRPr="003C26FF">
              <w:rPr>
                <w:rFonts w:cs="Arial"/>
              </w:rPr>
              <w:t xml:space="preserve">No </w:t>
            </w:r>
            <w:r>
              <w:rPr>
                <w:rFonts w:cs="Arial"/>
              </w:rPr>
              <w:t xml:space="preserve">data </w:t>
            </w:r>
            <w:r w:rsidRPr="003C26FF">
              <w:rPr>
                <w:rFonts w:cs="Arial"/>
              </w:rPr>
              <w:t xml:space="preserve">regarding outcomes following paternal exposure was identified.  </w:t>
            </w:r>
          </w:p>
        </w:tc>
      </w:tr>
      <w:tr w:rsidR="00C57EE9" w:rsidRPr="00F321FC" w14:paraId="19036A11" w14:textId="77777777" w:rsidTr="00D87D5C">
        <w:tc>
          <w:tcPr>
            <w:tcW w:w="2268" w:type="dxa"/>
          </w:tcPr>
          <w:p w14:paraId="55275EA5" w14:textId="77777777" w:rsidR="00C57EE9" w:rsidRPr="00F321FC" w:rsidRDefault="00C57EE9" w:rsidP="00D87D5C">
            <w:pPr>
              <w:pStyle w:val="Heading2"/>
              <w:outlineLvl w:val="1"/>
              <w:rPr>
                <w:rFonts w:cs="Arial"/>
              </w:rPr>
            </w:pPr>
            <w:bookmarkStart w:id="49" w:name="thirteen_specialist_contact"/>
            <w:bookmarkStart w:id="50" w:name="_Toc149231797"/>
            <w:r w:rsidRPr="00F321FC">
              <w:rPr>
                <w:rFonts w:cs="Arial"/>
              </w:rPr>
              <w:lastRenderedPageBreak/>
              <w:t>Specialist contact information</w:t>
            </w:r>
            <w:r>
              <w:rPr>
                <w:rFonts w:cs="Arial"/>
              </w:rPr>
              <w:t xml:space="preserve"> and arrangements for referral</w:t>
            </w:r>
            <w:bookmarkEnd w:id="49"/>
            <w:bookmarkEnd w:id="50"/>
          </w:p>
        </w:tc>
        <w:tc>
          <w:tcPr>
            <w:tcW w:w="8193" w:type="dxa"/>
          </w:tcPr>
          <w:p w14:paraId="6266B38F" w14:textId="7CB8C93B" w:rsidR="00C57EE9" w:rsidRPr="00F321FC" w:rsidRDefault="00211F27" w:rsidP="00900703">
            <w:pPr>
              <w:rPr>
                <w:rFonts w:cs="Arial"/>
              </w:rPr>
            </w:pPr>
            <w:r w:rsidRPr="00211F27">
              <w:rPr>
                <w:rFonts w:cs="Arial"/>
              </w:rPr>
              <w:t>Details for contacting specialist must be included on clinic letter.</w:t>
            </w:r>
          </w:p>
        </w:tc>
      </w:tr>
      <w:tr w:rsidR="00C57EE9" w:rsidRPr="00F321FC" w14:paraId="01CB9F5B" w14:textId="77777777" w:rsidTr="00D87D5C">
        <w:tc>
          <w:tcPr>
            <w:tcW w:w="2268" w:type="dxa"/>
          </w:tcPr>
          <w:p w14:paraId="3308BDFB" w14:textId="77777777" w:rsidR="00C57EE9" w:rsidRPr="00F321FC" w:rsidRDefault="00C57EE9" w:rsidP="00D87D5C">
            <w:pPr>
              <w:pStyle w:val="Heading2"/>
              <w:outlineLvl w:val="1"/>
              <w:rPr>
                <w:rFonts w:cs="Arial"/>
              </w:rPr>
            </w:pPr>
            <w:bookmarkStart w:id="51" w:name="fourteen_additional_info"/>
            <w:bookmarkStart w:id="52" w:name="_Toc149231798"/>
            <w:r w:rsidRPr="00F321FC">
              <w:rPr>
                <w:rFonts w:cs="Arial"/>
              </w:rPr>
              <w:t>Additional information</w:t>
            </w:r>
            <w:bookmarkEnd w:id="51"/>
            <w:bookmarkEnd w:id="52"/>
          </w:p>
        </w:tc>
        <w:tc>
          <w:tcPr>
            <w:tcW w:w="8193" w:type="dxa"/>
          </w:tcPr>
          <w:p w14:paraId="169EB7AE" w14:textId="77777777" w:rsidR="00C57EE9" w:rsidRDefault="00C57EE9" w:rsidP="00D87D5C">
            <w:pPr>
              <w:rPr>
                <w:rFonts w:cs="Arial"/>
              </w:rPr>
            </w:pPr>
            <w:r w:rsidRPr="005D79FA">
              <w:rPr>
                <w:rFonts w:cs="Arial"/>
              </w:rPr>
              <w:t>Where patient care is transferred from one specialist service or GP practice to another, a new shared care agreement must be completed. Ensure that the specialist is informed in writing of any changes to the patient’s GP or their contact details.</w:t>
            </w:r>
          </w:p>
          <w:p w14:paraId="7B26E3A5" w14:textId="77777777" w:rsidR="00815941" w:rsidRPr="00900703" w:rsidRDefault="00815941" w:rsidP="00D87D5C">
            <w:pPr>
              <w:rPr>
                <w:rFonts w:cs="Arial"/>
                <w:color w:val="0070C0"/>
              </w:rPr>
            </w:pPr>
            <w:r w:rsidRPr="00900703">
              <w:rPr>
                <w:rFonts w:cs="Arial"/>
                <w:color w:val="0070C0"/>
              </w:rPr>
              <w:t>Notify specialist immediately (within 2 weeks) if transfer of prescribing and monitoring responsibility is not accepted so that alternative arrangements can be put in place</w:t>
            </w:r>
          </w:p>
          <w:p w14:paraId="716D1BAD" w14:textId="5A85DD12" w:rsidR="00815941" w:rsidRPr="00F321FC" w:rsidRDefault="00815941" w:rsidP="00D87D5C">
            <w:pPr>
              <w:rPr>
                <w:rFonts w:cs="Arial"/>
              </w:rPr>
            </w:pPr>
            <w:r w:rsidRPr="00900703">
              <w:rPr>
                <w:rFonts w:cs="Arial"/>
                <w:color w:val="0070C0"/>
              </w:rPr>
              <w:t>Contact specialist if communication of prescribing &amp; monitoring requirements is</w:t>
            </w:r>
            <w:r w:rsidR="00900703" w:rsidRPr="00900703">
              <w:rPr>
                <w:rFonts w:cs="Arial"/>
                <w:color w:val="0070C0"/>
              </w:rPr>
              <w:t xml:space="preserve"> unclear. </w:t>
            </w:r>
          </w:p>
        </w:tc>
      </w:tr>
      <w:tr w:rsidR="00C57EE9" w:rsidRPr="00F321FC" w14:paraId="4C10BA1E" w14:textId="77777777" w:rsidTr="00D87D5C">
        <w:tc>
          <w:tcPr>
            <w:tcW w:w="2268" w:type="dxa"/>
          </w:tcPr>
          <w:p w14:paraId="7BAD21EC" w14:textId="77777777" w:rsidR="00C57EE9" w:rsidRPr="00F321FC" w:rsidRDefault="00C57EE9" w:rsidP="00D87D5C">
            <w:pPr>
              <w:pStyle w:val="Heading2"/>
              <w:outlineLvl w:val="1"/>
              <w:rPr>
                <w:rFonts w:cs="Arial"/>
              </w:rPr>
            </w:pPr>
            <w:bookmarkStart w:id="53" w:name="fifteen_references"/>
            <w:bookmarkStart w:id="54" w:name="_Toc149231799"/>
            <w:r w:rsidRPr="00F321FC">
              <w:rPr>
                <w:rFonts w:cs="Arial"/>
              </w:rPr>
              <w:t>References</w:t>
            </w:r>
            <w:bookmarkEnd w:id="53"/>
            <w:bookmarkEnd w:id="54"/>
          </w:p>
        </w:tc>
        <w:tc>
          <w:tcPr>
            <w:tcW w:w="8193" w:type="dxa"/>
          </w:tcPr>
          <w:p w14:paraId="3BFB5FF6" w14:textId="77777777" w:rsidR="00C57EE9" w:rsidRPr="00943D0C" w:rsidRDefault="00C57EE9" w:rsidP="00C57EE9">
            <w:pPr>
              <w:pStyle w:val="ListParagraph"/>
              <w:numPr>
                <w:ilvl w:val="0"/>
                <w:numId w:val="11"/>
              </w:numPr>
              <w:rPr>
                <w:rFonts w:cs="Arial"/>
              </w:rPr>
            </w:pPr>
            <w:r w:rsidRPr="00943D0C">
              <w:rPr>
                <w:rFonts w:cs="Arial"/>
              </w:rPr>
              <w:t xml:space="preserve">NICE NG87: Attention deficit hyperactivity disorder: diagnosis and management. Last updated September 2019. Accessed via </w:t>
            </w:r>
            <w:hyperlink r:id="rId37" w:history="1">
              <w:r w:rsidRPr="00943D0C">
                <w:rPr>
                  <w:rStyle w:val="Hyperlink"/>
                  <w:rFonts w:cs="Arial"/>
                </w:rPr>
                <w:t>https://www.nice.org.uk/guidance/ng87/</w:t>
              </w:r>
            </w:hyperlink>
            <w:r w:rsidRPr="00943D0C">
              <w:rPr>
                <w:rFonts w:cs="Arial"/>
              </w:rPr>
              <w:t xml:space="preserve"> on 08/05/24.</w:t>
            </w:r>
          </w:p>
          <w:p w14:paraId="359D2946" w14:textId="77777777" w:rsidR="00C57EE9" w:rsidRPr="00351E06" w:rsidRDefault="00C57EE9" w:rsidP="00C57EE9">
            <w:pPr>
              <w:numPr>
                <w:ilvl w:val="0"/>
                <w:numId w:val="11"/>
              </w:numPr>
              <w:rPr>
                <w:rFonts w:cs="Arial"/>
              </w:rPr>
            </w:pPr>
            <w:r w:rsidRPr="00351E06">
              <w:rPr>
                <w:rFonts w:cs="Arial"/>
              </w:rPr>
              <w:t xml:space="preserve">eBNF. Lisdexamfetamine. Accessed via </w:t>
            </w:r>
            <w:hyperlink r:id="rId38" w:history="1">
              <w:r w:rsidRPr="00351E06">
                <w:rPr>
                  <w:rStyle w:val="Hyperlink"/>
                  <w:rFonts w:cs="Arial"/>
                </w:rPr>
                <w:t>https://bnf.nice.org.uk/</w:t>
              </w:r>
            </w:hyperlink>
            <w:r w:rsidRPr="00351E06">
              <w:rPr>
                <w:rFonts w:cs="Arial"/>
              </w:rPr>
              <w:t xml:space="preserve"> on 0</w:t>
            </w:r>
            <w:r>
              <w:rPr>
                <w:rFonts w:cs="Arial"/>
              </w:rPr>
              <w:t>8</w:t>
            </w:r>
            <w:r w:rsidRPr="00351E06">
              <w:rPr>
                <w:rFonts w:cs="Arial"/>
              </w:rPr>
              <w:t>/05/2</w:t>
            </w:r>
            <w:r>
              <w:rPr>
                <w:rFonts w:cs="Arial"/>
              </w:rPr>
              <w:t>4.</w:t>
            </w:r>
          </w:p>
          <w:p w14:paraId="69453227" w14:textId="77777777" w:rsidR="00C57EE9" w:rsidRPr="00351E06" w:rsidRDefault="00C57EE9" w:rsidP="00C57EE9">
            <w:pPr>
              <w:numPr>
                <w:ilvl w:val="0"/>
                <w:numId w:val="11"/>
              </w:numPr>
              <w:rPr>
                <w:rFonts w:cs="Arial"/>
              </w:rPr>
            </w:pPr>
            <w:r w:rsidRPr="00351E06">
              <w:rPr>
                <w:rFonts w:cs="Arial"/>
              </w:rPr>
              <w:t>Lisdexamfetamine dimesylate 20mg hard capsules (Elvanse®)</w:t>
            </w:r>
            <w:r>
              <w:rPr>
                <w:rFonts w:cs="Arial"/>
              </w:rPr>
              <w:t xml:space="preserve"> SPC</w:t>
            </w:r>
            <w:r w:rsidRPr="00351E06">
              <w:rPr>
                <w:rFonts w:cs="Arial"/>
              </w:rPr>
              <w:t>.</w:t>
            </w:r>
            <w:r>
              <w:rPr>
                <w:rFonts w:cs="Arial"/>
              </w:rPr>
              <w:t xml:space="preserve"> Takeda UK Ltd.</w:t>
            </w:r>
            <w:r w:rsidRPr="00351E06">
              <w:rPr>
                <w:rFonts w:cs="Arial"/>
              </w:rPr>
              <w:t xml:space="preserve"> Date of revision of the text: 1</w:t>
            </w:r>
            <w:r>
              <w:rPr>
                <w:rFonts w:cs="Arial"/>
              </w:rPr>
              <w:t>6</w:t>
            </w:r>
            <w:r w:rsidRPr="00351E06">
              <w:rPr>
                <w:rFonts w:cs="Arial"/>
              </w:rPr>
              <w:t>/01/2</w:t>
            </w:r>
            <w:r>
              <w:rPr>
                <w:rFonts w:cs="Arial"/>
              </w:rPr>
              <w:t>4</w:t>
            </w:r>
            <w:r w:rsidRPr="00351E06">
              <w:rPr>
                <w:rFonts w:cs="Arial"/>
              </w:rPr>
              <w:t xml:space="preserve">. Accessed via </w:t>
            </w:r>
            <w:hyperlink r:id="rId39" w:history="1">
              <w:r w:rsidRPr="00A2365F">
                <w:rPr>
                  <w:rStyle w:val="Hyperlink"/>
                  <w:rFonts w:cs="Arial"/>
                </w:rPr>
                <w:t>https://www.medicines.org.uk/emc/product/14091/smpc</w:t>
              </w:r>
            </w:hyperlink>
            <w:r>
              <w:rPr>
                <w:rFonts w:cs="Arial"/>
              </w:rPr>
              <w:t xml:space="preserve"> </w:t>
            </w:r>
            <w:r w:rsidRPr="00351E06">
              <w:rPr>
                <w:rFonts w:cs="Arial"/>
              </w:rPr>
              <w:t xml:space="preserve">on </w:t>
            </w:r>
            <w:r>
              <w:rPr>
                <w:rFonts w:cs="Arial"/>
              </w:rPr>
              <w:t>08/05/24.</w:t>
            </w:r>
          </w:p>
          <w:p w14:paraId="1EA1E633" w14:textId="77777777" w:rsidR="00C57EE9" w:rsidRPr="00351E06" w:rsidRDefault="00C57EE9" w:rsidP="00C57EE9">
            <w:pPr>
              <w:numPr>
                <w:ilvl w:val="0"/>
                <w:numId w:val="11"/>
              </w:numPr>
              <w:rPr>
                <w:rFonts w:cs="Arial"/>
              </w:rPr>
            </w:pPr>
            <w:r w:rsidRPr="00351E06">
              <w:rPr>
                <w:rFonts w:cs="Arial"/>
              </w:rPr>
              <w:t>Lisdexamfetamine dimesylate 30mg hard capsules (Elvanse® Adult)</w:t>
            </w:r>
            <w:r>
              <w:rPr>
                <w:rFonts w:cs="Arial"/>
              </w:rPr>
              <w:t xml:space="preserve"> SPC</w:t>
            </w:r>
            <w:r w:rsidRPr="00351E06">
              <w:rPr>
                <w:rFonts w:cs="Arial"/>
              </w:rPr>
              <w:t xml:space="preserve">. </w:t>
            </w:r>
            <w:r>
              <w:rPr>
                <w:rFonts w:cs="Arial"/>
              </w:rPr>
              <w:t xml:space="preserve">Takeda UK Ltd. </w:t>
            </w:r>
            <w:r w:rsidRPr="00351E06">
              <w:rPr>
                <w:rFonts w:cs="Arial"/>
              </w:rPr>
              <w:t xml:space="preserve">Date of revision of the text: </w:t>
            </w:r>
            <w:r>
              <w:rPr>
                <w:rFonts w:cs="Arial"/>
              </w:rPr>
              <w:t>20/03/24</w:t>
            </w:r>
            <w:r w:rsidRPr="00351E06">
              <w:rPr>
                <w:rFonts w:cs="Arial"/>
              </w:rPr>
              <w:t xml:space="preserve">. Accessed via </w:t>
            </w:r>
            <w:hyperlink r:id="rId40" w:history="1">
              <w:r w:rsidRPr="00351E06">
                <w:rPr>
                  <w:rStyle w:val="Hyperlink"/>
                  <w:rFonts w:cs="Arial"/>
                </w:rPr>
                <w:t>https://www.medicines.org.uk/emc/product/6828/smpc</w:t>
              </w:r>
            </w:hyperlink>
            <w:r w:rsidRPr="00351E06">
              <w:rPr>
                <w:rFonts w:cs="Arial"/>
              </w:rPr>
              <w:t xml:space="preserve"> on </w:t>
            </w:r>
            <w:r>
              <w:rPr>
                <w:rFonts w:cs="Arial"/>
              </w:rPr>
              <w:t>08/05/24.</w:t>
            </w:r>
          </w:p>
          <w:p w14:paraId="4408F8CF" w14:textId="77777777" w:rsidR="00C57EE9" w:rsidRDefault="00C57EE9" w:rsidP="00C57EE9">
            <w:pPr>
              <w:numPr>
                <w:ilvl w:val="0"/>
                <w:numId w:val="11"/>
              </w:numPr>
              <w:rPr>
                <w:rFonts w:cs="Arial"/>
              </w:rPr>
            </w:pPr>
            <w:r w:rsidRPr="00351E06">
              <w:rPr>
                <w:rFonts w:cs="Arial"/>
              </w:rPr>
              <w:t xml:space="preserve">NICE NG46: Controlled drugs: safe use and management. April 2016. Accessed via </w:t>
            </w:r>
            <w:hyperlink r:id="rId41" w:history="1">
              <w:r w:rsidRPr="00351E06">
                <w:rPr>
                  <w:rStyle w:val="Hyperlink"/>
                  <w:rFonts w:cs="Arial"/>
                </w:rPr>
                <w:t>https://www.nice.org.uk/guidance/ng46/</w:t>
              </w:r>
            </w:hyperlink>
            <w:r w:rsidRPr="00351E06">
              <w:rPr>
                <w:rFonts w:cs="Arial"/>
              </w:rPr>
              <w:t xml:space="preserve"> on </w:t>
            </w:r>
            <w:r>
              <w:rPr>
                <w:rFonts w:cs="Arial"/>
              </w:rPr>
              <w:t>08/05/24.</w:t>
            </w:r>
          </w:p>
          <w:p w14:paraId="273E0593" w14:textId="77777777" w:rsidR="00C57EE9" w:rsidRDefault="00C57EE9" w:rsidP="00C57EE9">
            <w:pPr>
              <w:numPr>
                <w:ilvl w:val="0"/>
                <w:numId w:val="11"/>
              </w:numPr>
              <w:rPr>
                <w:rFonts w:cs="Arial"/>
              </w:rPr>
            </w:pPr>
            <w:r w:rsidRPr="00F73124">
              <w:rPr>
                <w:rFonts w:cs="Arial"/>
              </w:rPr>
              <w:t xml:space="preserve">NICE NG43: Transition from children’s to adults’ services for young people using health or social care services. Last updated February 2016. Accessed via </w:t>
            </w:r>
            <w:hyperlink r:id="rId42" w:history="1">
              <w:r w:rsidRPr="00F73124">
                <w:rPr>
                  <w:rStyle w:val="Hyperlink"/>
                  <w:rFonts w:cs="Arial"/>
                </w:rPr>
                <w:t>https://www.nice.org.uk/guidance/ng43/</w:t>
              </w:r>
            </w:hyperlink>
            <w:r w:rsidRPr="00F73124">
              <w:rPr>
                <w:rFonts w:cs="Arial"/>
              </w:rPr>
              <w:t xml:space="preserve"> on </w:t>
            </w:r>
            <w:r>
              <w:rPr>
                <w:rFonts w:cs="Arial"/>
              </w:rPr>
              <w:t>08/05</w:t>
            </w:r>
            <w:r w:rsidRPr="00F73124">
              <w:rPr>
                <w:rFonts w:cs="Arial"/>
              </w:rPr>
              <w:t>/24.</w:t>
            </w:r>
          </w:p>
          <w:p w14:paraId="1168B338" w14:textId="77777777" w:rsidR="00C57EE9" w:rsidRDefault="00C57EE9" w:rsidP="00C57EE9">
            <w:pPr>
              <w:numPr>
                <w:ilvl w:val="0"/>
                <w:numId w:val="11"/>
              </w:numPr>
              <w:spacing w:line="256" w:lineRule="auto"/>
              <w:rPr>
                <w:rFonts w:eastAsia="Times New Roman" w:cs="Arial"/>
                <w:lang w:eastAsia="en-GB"/>
              </w:rPr>
            </w:pPr>
            <w:r>
              <w:rPr>
                <w:rFonts w:eastAsia="Times New Roman" w:cs="Arial"/>
                <w:lang w:eastAsia="en-GB"/>
              </w:rPr>
              <w:t xml:space="preserve">UKTIS. Use of therapeutic amfetamines in pregnancy. Last updated May 2023. Accessed via </w:t>
            </w:r>
            <w:hyperlink r:id="rId43" w:history="1">
              <w:r w:rsidRPr="00A2365F">
                <w:rPr>
                  <w:rStyle w:val="Hyperlink"/>
                  <w:rFonts w:eastAsia="Times New Roman" w:cs="Arial"/>
                  <w:lang w:eastAsia="en-GB"/>
                </w:rPr>
                <w:t>https://uktis.org/monographs/use-of-therapeutic-amfetamines-in-pregnancy/</w:t>
              </w:r>
            </w:hyperlink>
            <w:r>
              <w:rPr>
                <w:rFonts w:eastAsia="Times New Roman" w:cs="Arial"/>
                <w:lang w:eastAsia="en-GB"/>
              </w:rPr>
              <w:t xml:space="preserve"> on 08/05/2024.</w:t>
            </w:r>
          </w:p>
          <w:p w14:paraId="78B02483" w14:textId="77777777" w:rsidR="00C57EE9" w:rsidRPr="00F52A6D" w:rsidRDefault="00C57EE9" w:rsidP="00C57EE9">
            <w:pPr>
              <w:numPr>
                <w:ilvl w:val="0"/>
                <w:numId w:val="11"/>
              </w:numPr>
              <w:spacing w:line="256" w:lineRule="auto"/>
              <w:rPr>
                <w:rFonts w:eastAsia="Times New Roman" w:cs="Arial"/>
                <w:lang w:eastAsia="en-GB"/>
              </w:rPr>
            </w:pPr>
            <w:r>
              <w:rPr>
                <w:rFonts w:eastAsia="Times New Roman" w:cs="Arial"/>
                <w:lang w:eastAsia="en-GB"/>
              </w:rPr>
              <w:t xml:space="preserve">Drugs and Lactation Database (LactMed®). Lisdexamfetamine. Last updated August 2023. Accessed via </w:t>
            </w:r>
            <w:hyperlink r:id="rId44" w:history="1">
              <w:r w:rsidRPr="00F52E96">
                <w:rPr>
                  <w:rStyle w:val="Hyperlink"/>
                </w:rPr>
                <w:t>https://www.ncbi.nlm.nih.gov/books/NBK501741/</w:t>
              </w:r>
            </w:hyperlink>
            <w:r>
              <w:t xml:space="preserve"> </w:t>
            </w:r>
            <w:r>
              <w:rPr>
                <w:rFonts w:eastAsia="Times New Roman" w:cs="Arial"/>
                <w:lang w:eastAsia="en-GB"/>
              </w:rPr>
              <w:t>on 08/05/24.</w:t>
            </w:r>
            <w:r w:rsidRPr="00F52A6D">
              <w:rPr>
                <w:rFonts w:cs="Arial"/>
              </w:rPr>
              <w:t xml:space="preserve"> </w:t>
            </w:r>
          </w:p>
          <w:p w14:paraId="1875A623" w14:textId="77777777" w:rsidR="00C57EE9" w:rsidRPr="00351E06" w:rsidRDefault="00C57EE9" w:rsidP="00C57EE9">
            <w:pPr>
              <w:numPr>
                <w:ilvl w:val="0"/>
                <w:numId w:val="11"/>
              </w:numPr>
              <w:rPr>
                <w:rFonts w:cs="Arial"/>
              </w:rPr>
            </w:pPr>
            <w:r w:rsidRPr="00351E06">
              <w:rPr>
                <w:rFonts w:cs="Arial"/>
              </w:rPr>
              <w:t xml:space="preserve">Gov.uk: Drugs and driving: the law. Accessed via </w:t>
            </w:r>
            <w:hyperlink r:id="rId45" w:history="1">
              <w:r w:rsidRPr="00351E06">
                <w:rPr>
                  <w:rStyle w:val="Hyperlink"/>
                  <w:rFonts w:cs="Arial"/>
                </w:rPr>
                <w:t>https://www.gov.uk/drug-driving-law</w:t>
              </w:r>
            </w:hyperlink>
            <w:r w:rsidRPr="00351E06">
              <w:rPr>
                <w:rFonts w:cs="Arial"/>
              </w:rPr>
              <w:t xml:space="preserve"> on </w:t>
            </w:r>
            <w:r>
              <w:rPr>
                <w:rFonts w:cs="Arial"/>
              </w:rPr>
              <w:t>08/05/24.</w:t>
            </w:r>
          </w:p>
          <w:p w14:paraId="74733998" w14:textId="77777777" w:rsidR="00C57EE9" w:rsidRDefault="00C57EE9" w:rsidP="00C57EE9">
            <w:pPr>
              <w:numPr>
                <w:ilvl w:val="0"/>
                <w:numId w:val="11"/>
              </w:numPr>
              <w:rPr>
                <w:rFonts w:cs="Arial"/>
              </w:rPr>
            </w:pPr>
            <w:r w:rsidRPr="00351E06">
              <w:rPr>
                <w:rFonts w:cs="Arial"/>
              </w:rPr>
              <w:t xml:space="preserve">NICE Clinical Knowledge Summaries. Attention deficit hyperactivity disorder: last revised </w:t>
            </w:r>
            <w:r>
              <w:rPr>
                <w:rFonts w:cs="Arial"/>
              </w:rPr>
              <w:t>April 2024</w:t>
            </w:r>
            <w:r w:rsidRPr="00351E06">
              <w:rPr>
                <w:rFonts w:cs="Arial"/>
              </w:rPr>
              <w:t xml:space="preserve">. Accessed via </w:t>
            </w:r>
            <w:hyperlink r:id="rId46" w:history="1">
              <w:r w:rsidRPr="00351E06">
                <w:rPr>
                  <w:rStyle w:val="Hyperlink"/>
                  <w:rFonts w:cs="Arial"/>
                </w:rPr>
                <w:t>https://cks.nice.org.uk/topics/attention-</w:t>
              </w:r>
              <w:r w:rsidRPr="00351E06">
                <w:rPr>
                  <w:rStyle w:val="Hyperlink"/>
                  <w:rFonts w:cs="Arial"/>
                </w:rPr>
                <w:lastRenderedPageBreak/>
                <w:t>deficit-hyperactivity-disorder/prescribing-information/amfetamines/</w:t>
              </w:r>
            </w:hyperlink>
            <w:r w:rsidRPr="00351E06">
              <w:rPr>
                <w:rFonts w:cs="Arial"/>
              </w:rPr>
              <w:t xml:space="preserve"> on </w:t>
            </w:r>
            <w:r>
              <w:rPr>
                <w:rFonts w:cs="Arial"/>
              </w:rPr>
              <w:t>08</w:t>
            </w:r>
            <w:r w:rsidRPr="00351E06">
              <w:rPr>
                <w:rFonts w:cs="Arial"/>
              </w:rPr>
              <w:t>/05/2</w:t>
            </w:r>
            <w:r>
              <w:rPr>
                <w:rFonts w:cs="Arial"/>
              </w:rPr>
              <w:t>4</w:t>
            </w:r>
          </w:p>
          <w:p w14:paraId="037574DB" w14:textId="77777777" w:rsidR="00C57EE9" w:rsidRPr="00351E06" w:rsidRDefault="00C57EE9" w:rsidP="00C57EE9">
            <w:pPr>
              <w:numPr>
                <w:ilvl w:val="0"/>
                <w:numId w:val="11"/>
              </w:numPr>
              <w:rPr>
                <w:rFonts w:cs="Arial"/>
              </w:rPr>
            </w:pPr>
            <w:r w:rsidRPr="00D45EF1">
              <w:rPr>
                <w:rFonts w:cs="Arial"/>
              </w:rPr>
              <w:t xml:space="preserve">Regional Medicines Optimisation Committee (RMOC). February 2021. Shared Care for Medicines Guidance – A Standard Approach. Available via </w:t>
            </w:r>
            <w:hyperlink r:id="rId47" w:history="1">
              <w:r w:rsidRPr="00D45EF1">
                <w:rPr>
                  <w:rStyle w:val="Hyperlink"/>
                  <w:rFonts w:cs="Arial"/>
                </w:rPr>
                <w:t>FutureNHS</w:t>
              </w:r>
            </w:hyperlink>
            <w:r w:rsidRPr="00D45EF1">
              <w:rPr>
                <w:rFonts w:cs="Arial"/>
              </w:rPr>
              <w:t xml:space="preserve"> (log in required).</w:t>
            </w:r>
          </w:p>
        </w:tc>
      </w:tr>
      <w:tr w:rsidR="00C57EE9" w:rsidRPr="00F321FC" w14:paraId="2D1CA502" w14:textId="77777777" w:rsidTr="00D87D5C">
        <w:tc>
          <w:tcPr>
            <w:tcW w:w="2268" w:type="dxa"/>
          </w:tcPr>
          <w:p w14:paraId="38C0F275" w14:textId="77777777" w:rsidR="00C57EE9" w:rsidRPr="00F321FC" w:rsidRDefault="00C57EE9" w:rsidP="00D87D5C">
            <w:pPr>
              <w:pStyle w:val="Heading2"/>
              <w:outlineLvl w:val="1"/>
              <w:rPr>
                <w:rFonts w:cs="Arial"/>
              </w:rPr>
            </w:pPr>
            <w:bookmarkStart w:id="55" w:name="sixteen_read_with"/>
            <w:bookmarkStart w:id="56" w:name="_Toc149231800"/>
            <w:r w:rsidRPr="00F321FC">
              <w:rPr>
                <w:rFonts w:cs="Arial"/>
              </w:rPr>
              <w:lastRenderedPageBreak/>
              <w:t>To be read in conjunction with the following documents</w:t>
            </w:r>
            <w:bookmarkEnd w:id="55"/>
            <w:bookmarkEnd w:id="56"/>
          </w:p>
        </w:tc>
        <w:tc>
          <w:tcPr>
            <w:tcW w:w="8193" w:type="dxa"/>
          </w:tcPr>
          <w:p w14:paraId="5D223903" w14:textId="77777777" w:rsidR="00C57EE9" w:rsidRPr="00FB404F" w:rsidRDefault="00C57EE9" w:rsidP="00C57EE9">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NHSE guidance – </w:t>
            </w:r>
            <w:r w:rsidRPr="00FB404F">
              <w:rPr>
                <w:rFonts w:cs="Arial"/>
              </w:rPr>
              <w:t xml:space="preserve">Responsibility for prescribing between primary &amp; secondary/tertiary care. Available from </w:t>
            </w:r>
            <w:hyperlink r:id="rId48" w:history="1">
              <w:r w:rsidRPr="00FB404F">
                <w:rPr>
                  <w:rStyle w:val="Hyperlink"/>
                  <w:rFonts w:cs="Arial"/>
                </w:rPr>
                <w:t>https://www.england.nhs.uk/publication/responsibility-for-prescribing-between-primary-and-secondary-tertiary-care/</w:t>
              </w:r>
            </w:hyperlink>
            <w:r>
              <w:rPr>
                <w:rStyle w:val="Hyperlink"/>
                <w:rFonts w:cs="Arial"/>
              </w:rPr>
              <w:t>.</w:t>
            </w:r>
            <w:r w:rsidRPr="00FB404F">
              <w:rPr>
                <w:rFonts w:cs="Arial"/>
              </w:rPr>
              <w:t xml:space="preserve"> </w:t>
            </w:r>
          </w:p>
          <w:p w14:paraId="04F1FF03" w14:textId="77777777" w:rsidR="00C57EE9" w:rsidRPr="00FB404F" w:rsidRDefault="00C57EE9" w:rsidP="00C57EE9">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General Medical Council. Good practice in prescribing and managing medicines and devices. Shared care. Available from </w:t>
            </w:r>
            <w:hyperlink r:id="rId49" w:history="1">
              <w:r w:rsidRPr="00FB404F">
                <w:rPr>
                  <w:rStyle w:val="Hyperlink"/>
                  <w:rFonts w:eastAsia="Times New Roman" w:cs="Arial"/>
                  <w:lang w:eastAsia="en-GB"/>
                </w:rPr>
                <w:t>https://www.gmc-uk.org/ethical-guidance/ethical-guidance-for-doctors/good-practice-in-prescribing-and-managing-medicines-and-devices/shared-care</w:t>
              </w:r>
            </w:hyperlink>
            <w:r>
              <w:rPr>
                <w:rStyle w:val="Hyperlink"/>
                <w:rFonts w:eastAsia="Times New Roman" w:cs="Arial"/>
                <w:lang w:eastAsia="en-GB"/>
              </w:rPr>
              <w:t>.</w:t>
            </w:r>
            <w:r w:rsidRPr="00FB404F">
              <w:rPr>
                <w:rFonts w:eastAsia="Times New Roman" w:cs="Arial"/>
                <w:lang w:eastAsia="en-GB"/>
              </w:rPr>
              <w:t xml:space="preserve"> </w:t>
            </w:r>
          </w:p>
          <w:p w14:paraId="52D0BE2D" w14:textId="77777777" w:rsidR="00C57EE9" w:rsidRPr="00FB404F" w:rsidRDefault="00C57EE9" w:rsidP="00D87D5C">
            <w:pPr>
              <w:pStyle w:val="References"/>
              <w:spacing w:after="60"/>
              <w:rPr>
                <w:rFonts w:cs="Arial"/>
              </w:rPr>
            </w:pPr>
            <w:r w:rsidRPr="00FB404F">
              <w:rPr>
                <w:rFonts w:eastAsia="Times New Roman" w:cs="Arial"/>
                <w:lang w:eastAsia="en-GB"/>
              </w:rPr>
              <w:t xml:space="preserve">NICE NG197: Shared decision making. Last updated June 2021. </w:t>
            </w:r>
            <w:hyperlink r:id="rId50" w:history="1">
              <w:r w:rsidRPr="00FB404F">
                <w:rPr>
                  <w:rStyle w:val="Hyperlink"/>
                  <w:rFonts w:eastAsia="Times New Roman" w:cs="Arial"/>
                  <w:lang w:eastAsia="en-GB"/>
                </w:rPr>
                <w:t>https://www.nice.org.uk/guidance/ng197/</w:t>
              </w:r>
            </w:hyperlink>
            <w:r w:rsidRPr="00FB404F">
              <w:rPr>
                <w:rFonts w:eastAsia="Times New Roman" w:cs="Arial"/>
                <w:lang w:eastAsia="en-GB"/>
              </w:rPr>
              <w:t>.</w:t>
            </w:r>
          </w:p>
        </w:tc>
      </w:tr>
    </w:tbl>
    <w:p w14:paraId="3EF2FD57" w14:textId="77777777" w:rsidR="00C57EE9" w:rsidRDefault="00C57EE9" w:rsidP="00C57EE9"/>
    <w:p w14:paraId="0A429454" w14:textId="77777777" w:rsidR="00F363AE" w:rsidRDefault="00F363AE"/>
    <w:sectPr w:rsidR="00F363AE" w:rsidSect="00C57EE9">
      <w:headerReference w:type="even" r:id="rId51"/>
      <w:headerReference w:type="default" r:id="rId52"/>
      <w:footerReference w:type="even" r:id="rId53"/>
      <w:footerReference w:type="default" r:id="rId54"/>
      <w:headerReference w:type="first" r:id="rId55"/>
      <w:footerReference w:type="first" r:id="rId56"/>
      <w:pgSz w:w="11906" w:h="16838"/>
      <w:pgMar w:top="851" w:right="720" w:bottom="1135"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5" w:author="Watson, Caroline" w:date="2025-03-20T13:34:00Z" w:initials="CW">
    <w:p w14:paraId="6B3DF3C8" w14:textId="77777777" w:rsidR="00CC2884" w:rsidRDefault="00CC2884" w:rsidP="00CC2884">
      <w:pPr>
        <w:pStyle w:val="CommentText"/>
      </w:pPr>
      <w:r>
        <w:rPr>
          <w:rStyle w:val="CommentReference"/>
        </w:rPr>
        <w:annotationRef/>
      </w:r>
      <w:r>
        <w:t>40mg adult capsules have been discontinued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B3DF3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6A121D" w16cex:dateUtc="2025-03-20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3DF3C8" w16cid:durableId="736A12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F19B8" w14:textId="77777777" w:rsidR="00C71367" w:rsidRDefault="00C71367" w:rsidP="00230D3A">
      <w:pPr>
        <w:spacing w:before="0" w:after="0" w:line="240" w:lineRule="auto"/>
      </w:pPr>
      <w:r>
        <w:separator/>
      </w:r>
    </w:p>
  </w:endnote>
  <w:endnote w:type="continuationSeparator" w:id="0">
    <w:p w14:paraId="39AF9DB3" w14:textId="77777777" w:rsidR="00C71367" w:rsidRDefault="00C71367" w:rsidP="00230D3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EE2DF" w14:textId="77777777" w:rsidR="00211F27" w:rsidRDefault="00211F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DD49E" w14:textId="6188D635" w:rsidR="00223794" w:rsidRPr="00003E35" w:rsidRDefault="00F02F4A" w:rsidP="00003E35">
    <w:pPr>
      <w:pStyle w:val="Footer"/>
    </w:pPr>
    <w:r w:rsidRPr="00003E35">
      <w:t xml:space="preserve">Shared care protocol: </w:t>
    </w:r>
    <w:r>
      <w:t>Lisdexamfetamine</w:t>
    </w:r>
    <w:r w:rsidRPr="00003E35">
      <w:t xml:space="preserve"> in </w:t>
    </w:r>
    <w:r w:rsidR="00230D3A" w:rsidRPr="002107D4">
      <w:rPr>
        <w:color w:val="0070C0"/>
      </w:rPr>
      <w:t xml:space="preserve">children and </w:t>
    </w:r>
    <w:r w:rsidRPr="00003E35">
      <w:t xml:space="preserve">adults </w:t>
    </w:r>
    <w:r w:rsidRPr="00003E35">
      <w:tab/>
    </w:r>
    <w:r w:rsidRPr="00003E35">
      <w:tab/>
    </w:r>
    <w:r>
      <w:t>v1.0</w:t>
    </w:r>
  </w:p>
  <w:p w14:paraId="610254FD" w14:textId="77777777" w:rsidR="00223794" w:rsidRDefault="00F02F4A" w:rsidP="00003E35">
    <w:pPr>
      <w:pStyle w:val="Footer"/>
    </w:pPr>
    <w:r w:rsidRPr="00003E35">
      <w:t xml:space="preserve">Clinical content reviewed by RDTC: </w:t>
    </w:r>
    <w:r>
      <w:t>8</w:t>
    </w:r>
    <w:r w:rsidRPr="00BB1B71">
      <w:rPr>
        <w:vertAlign w:val="superscript"/>
      </w:rPr>
      <w:t>th</w:t>
    </w:r>
    <w:r>
      <w:t xml:space="preserve"> May 2024</w:t>
    </w:r>
    <w:r w:rsidRPr="00003E35">
      <w:tab/>
    </w:r>
    <w:r w:rsidRPr="00003E35">
      <w:tab/>
      <w:t xml:space="preserve">Approved by </w:t>
    </w:r>
    <w:r w:rsidRPr="00003E35">
      <w:rPr>
        <w:highlight w:val="yellow"/>
      </w:rPr>
      <w:t>xx</w:t>
    </w:r>
    <w:r w:rsidRPr="00003E35">
      <w:t xml:space="preserve"> ICB: DATE</w:t>
    </w:r>
  </w:p>
  <w:p w14:paraId="31835277" w14:textId="37C40EFA" w:rsidR="00223794" w:rsidRPr="0092446D" w:rsidRDefault="00F02F4A" w:rsidP="0092446D">
    <w:pPr>
      <w:pStyle w:val="Footer"/>
      <w:jc w:val="right"/>
    </w:pPr>
    <w:r w:rsidRPr="0092446D">
      <w:t xml:space="preserve">Page </w:t>
    </w:r>
    <w:r w:rsidRPr="0092446D">
      <w:fldChar w:fldCharType="begin"/>
    </w:r>
    <w:r w:rsidRPr="0092446D">
      <w:instrText xml:space="preserve"> PAGE  \* Arabic  \* MERGEFORMAT </w:instrText>
    </w:r>
    <w:r w:rsidRPr="0092446D">
      <w:fldChar w:fldCharType="separate"/>
    </w:r>
    <w:r w:rsidR="00A1618E">
      <w:rPr>
        <w:noProof/>
      </w:rPr>
      <w:t>14</w:t>
    </w:r>
    <w:r w:rsidRPr="0092446D">
      <w:fldChar w:fldCharType="end"/>
    </w:r>
    <w:r w:rsidRPr="0092446D">
      <w:t xml:space="preserve"> of </w:t>
    </w:r>
    <w:r w:rsidR="00A1618E">
      <w:fldChar w:fldCharType="begin"/>
    </w:r>
    <w:r w:rsidR="00A1618E">
      <w:instrText xml:space="preserve"> NUMPAGES  \* Arabic  \* MERGEFORMAT </w:instrText>
    </w:r>
    <w:r w:rsidR="00A1618E">
      <w:fldChar w:fldCharType="separate"/>
    </w:r>
    <w:r w:rsidR="00A1618E">
      <w:rPr>
        <w:noProof/>
      </w:rPr>
      <w:t>14</w:t>
    </w:r>
    <w:r w:rsidR="00A1618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F1BA" w14:textId="77777777" w:rsidR="00211F27" w:rsidRDefault="00211F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0C578" w14:textId="77777777" w:rsidR="00C71367" w:rsidRDefault="00C71367" w:rsidP="00230D3A">
      <w:pPr>
        <w:spacing w:before="0" w:after="0" w:line="240" w:lineRule="auto"/>
      </w:pPr>
      <w:r>
        <w:separator/>
      </w:r>
    </w:p>
  </w:footnote>
  <w:footnote w:type="continuationSeparator" w:id="0">
    <w:p w14:paraId="5D7B25A2" w14:textId="77777777" w:rsidR="00C71367" w:rsidRDefault="00C71367" w:rsidP="00230D3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20EAF" w14:textId="334FAF8E" w:rsidR="00211F27" w:rsidRDefault="00A1618E">
    <w:pPr>
      <w:pStyle w:val="Header"/>
    </w:pPr>
    <w:r>
      <w:rPr>
        <w:noProof/>
      </w:rPr>
      <w:pict w14:anchorId="43DA93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27110" o:spid="_x0000_s2050" type="#_x0000_t136" style="position:absolute;margin-left:0;margin-top:0;width:527pt;height:210.8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76328" w14:textId="51217696" w:rsidR="00211F27" w:rsidRDefault="00A1618E">
    <w:pPr>
      <w:pStyle w:val="Header"/>
    </w:pPr>
    <w:r>
      <w:rPr>
        <w:noProof/>
      </w:rPr>
      <w:pict w14:anchorId="5454B7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27111" o:spid="_x0000_s2051" type="#_x0000_t136" style="position:absolute;margin-left:0;margin-top:0;width:527pt;height:210.8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5C8FE" w14:textId="37D560E8" w:rsidR="00223794" w:rsidRPr="003C21D1" w:rsidRDefault="00A1618E" w:rsidP="003C21D1">
    <w:pPr>
      <w:pStyle w:val="Header"/>
      <w:spacing w:after="0"/>
    </w:pPr>
    <w:r>
      <w:rPr>
        <w:noProof/>
      </w:rPr>
      <w:pict w14:anchorId="156DFE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27109" o:spid="_x0000_s2049" type="#_x0000_t136" style="position:absolute;margin-left:0;margin-top:0;width:527pt;height:210.8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sidR="00211F27" w:rsidRPr="00EC13F4">
      <w:rPr>
        <w:noProof/>
        <w:lang w:eastAsia="en-GB"/>
      </w:rPr>
      <w:drawing>
        <wp:anchor distT="0" distB="0" distL="114300" distR="114300" simplePos="0" relativeHeight="251661312" behindDoc="1" locked="0" layoutInCell="1" allowOverlap="1" wp14:anchorId="0ABE8129" wp14:editId="1EA6B516">
          <wp:simplePos x="0" y="0"/>
          <wp:positionH relativeFrom="margin">
            <wp:align>right</wp:align>
          </wp:positionH>
          <wp:positionV relativeFrom="paragraph">
            <wp:posOffset>-405250</wp:posOffset>
          </wp:positionV>
          <wp:extent cx="1259840" cy="766445"/>
          <wp:effectExtent l="0" t="0" r="0" b="0"/>
          <wp:wrapTight wrapText="bothSides">
            <wp:wrapPolygon edited="0">
              <wp:start x="0" y="0"/>
              <wp:lineTo x="0" y="20938"/>
              <wp:lineTo x="21230" y="20938"/>
              <wp:lineTo x="21230" y="0"/>
              <wp:lineTo x="0" y="0"/>
            </wp:wrapPolygon>
          </wp:wrapTight>
          <wp:docPr id="18" name="Picture 18"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up of a logo&#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766445"/>
                  </a:xfrm>
                  <a:prstGeom prst="rect">
                    <a:avLst/>
                  </a:prstGeom>
                </pic:spPr>
              </pic:pic>
            </a:graphicData>
          </a:graphic>
        </wp:anchor>
      </w:drawing>
    </w:r>
    <w:r w:rsidR="00211F27" w:rsidRPr="00EC13F4">
      <w:rPr>
        <w:noProof/>
        <w:lang w:eastAsia="en-GB"/>
      </w:rPr>
      <w:drawing>
        <wp:anchor distT="0" distB="0" distL="114300" distR="114300" simplePos="0" relativeHeight="251659264" behindDoc="1" locked="0" layoutInCell="1" allowOverlap="1" wp14:anchorId="59B175DC" wp14:editId="76D4A227">
          <wp:simplePos x="0" y="0"/>
          <wp:positionH relativeFrom="margin">
            <wp:posOffset>-258792</wp:posOffset>
          </wp:positionH>
          <wp:positionV relativeFrom="paragraph">
            <wp:posOffset>-276404</wp:posOffset>
          </wp:positionV>
          <wp:extent cx="2209800" cy="466725"/>
          <wp:effectExtent l="0" t="0" r="0" b="9525"/>
          <wp:wrapTight wrapText="bothSides">
            <wp:wrapPolygon edited="0">
              <wp:start x="0" y="0"/>
              <wp:lineTo x="0" y="21159"/>
              <wp:lineTo x="21414" y="21159"/>
              <wp:lineTo x="21414" y="0"/>
              <wp:lineTo x="0" y="0"/>
            </wp:wrapPolygon>
          </wp:wrapTight>
          <wp:docPr id="21" name="Picture 2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close-up of a logo&#10;&#10;AI-generated content may be incorrect."/>
                  <pic:cNvPicPr/>
                </pic:nvPicPr>
                <pic:blipFill rotWithShape="1">
                  <a:blip r:embed="rId2">
                    <a:extLst>
                      <a:ext uri="{28A0092B-C50C-407E-A947-70E740481C1C}">
                        <a14:useLocalDpi xmlns:a14="http://schemas.microsoft.com/office/drawing/2010/main" val="0"/>
                      </a:ext>
                    </a:extLst>
                  </a:blip>
                  <a:srcRect l="6384" t="23001" r="11348" b="28000"/>
                  <a:stretch/>
                </pic:blipFill>
                <pic:spPr bwMode="auto">
                  <a:xfrm>
                    <a:off x="0" y="0"/>
                    <a:ext cx="2209800" cy="466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02F4A" w:rsidRPr="001179FD">
      <w:rPr>
        <w:rStyle w:val="Heading1Char"/>
      </w:rPr>
      <w:t>Shared care protocol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259E2"/>
    <w:multiLevelType w:val="hybridMultilevel"/>
    <w:tmpl w:val="3A4E4D74"/>
    <w:lvl w:ilvl="0" w:tplc="DB7EF662">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12E03C5D"/>
    <w:multiLevelType w:val="hybridMultilevel"/>
    <w:tmpl w:val="A3B4D33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24CF49A8"/>
    <w:multiLevelType w:val="hybridMultilevel"/>
    <w:tmpl w:val="905230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235805"/>
    <w:multiLevelType w:val="hybridMultilevel"/>
    <w:tmpl w:val="6B4E00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BD80D61"/>
    <w:multiLevelType w:val="hybridMultilevel"/>
    <w:tmpl w:val="CAF240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3EF664C"/>
    <w:multiLevelType w:val="hybridMultilevel"/>
    <w:tmpl w:val="B128D8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4CF22F71"/>
    <w:multiLevelType w:val="hybridMultilevel"/>
    <w:tmpl w:val="94842DC0"/>
    <w:lvl w:ilvl="0" w:tplc="AC60822E">
      <w:start w:val="1"/>
      <w:numFmt w:val="decimal"/>
      <w:lvlText w:val="%1."/>
      <w:lvlJc w:val="left"/>
      <w:pPr>
        <w:ind w:left="360" w:hanging="360"/>
      </w:pPr>
      <w:rPr>
        <w:rFonts w:ascii="Arial" w:eastAsiaTheme="minorHAnsi" w:hAnsi="Arial" w:cs="Arial"/>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4E6D724B"/>
    <w:multiLevelType w:val="hybridMultilevel"/>
    <w:tmpl w:val="D6A4E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0477811"/>
    <w:multiLevelType w:val="hybridMultilevel"/>
    <w:tmpl w:val="F17849AE"/>
    <w:lvl w:ilvl="0" w:tplc="2ECC9050">
      <w:start w:val="1"/>
      <w:numFmt w:val="decimal"/>
      <w:pStyle w:val="Heading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61DA3C86"/>
    <w:multiLevelType w:val="hybridMultilevel"/>
    <w:tmpl w:val="438268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7C715578"/>
    <w:multiLevelType w:val="hybridMultilevel"/>
    <w:tmpl w:val="43A48068"/>
    <w:lvl w:ilvl="0" w:tplc="32B83B1E">
      <w:start w:val="1"/>
      <w:numFmt w:val="bullet"/>
      <w:pStyle w:val="References"/>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E1D7236"/>
    <w:multiLevelType w:val="hybridMultilevel"/>
    <w:tmpl w:val="9476E5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4"/>
  </w:num>
  <w:num w:numId="4">
    <w:abstractNumId w:val="5"/>
  </w:num>
  <w:num w:numId="5">
    <w:abstractNumId w:val="3"/>
  </w:num>
  <w:num w:numId="6">
    <w:abstractNumId w:val="11"/>
  </w:num>
  <w:num w:numId="7">
    <w:abstractNumId w:val="2"/>
  </w:num>
  <w:num w:numId="8">
    <w:abstractNumId w:val="0"/>
  </w:num>
  <w:num w:numId="9">
    <w:abstractNumId w:val="1"/>
  </w:num>
  <w:num w:numId="10">
    <w:abstractNumId w:val="9"/>
  </w:num>
  <w:num w:numId="11">
    <w:abstractNumId w:val="6"/>
  </w:num>
  <w:num w:numId="1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ood, Ria (Pharmacy)">
    <w15:presenceInfo w15:providerId="AD" w15:userId="S::Ria.Wood@cntw.nhs.uk::1a38ef22-f609-474b-83a4-85e158f3396c"/>
  </w15:person>
  <w15:person w15:author="HAIDER, Maymouna (TEES, ESK AND WEAR VALLEYS NHS FOUNDATION TRUST)">
    <w15:presenceInfo w15:providerId="AD" w15:userId="S::mhaider@nhs.net::8ace972a-74c2-4fbf-a273-88bbe30954d1"/>
  </w15:person>
  <w15:person w15:author="Watson, Caroline">
    <w15:presenceInfo w15:providerId="AD" w15:userId="S::Caroline.Watson@cntw.nhs.uk::6197f1b9-5a00-4022-92b0-ec2ff75a3f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EE9"/>
    <w:rsid w:val="000418E3"/>
    <w:rsid w:val="001C1B5C"/>
    <w:rsid w:val="002107D4"/>
    <w:rsid w:val="00211F27"/>
    <w:rsid w:val="00223794"/>
    <w:rsid w:val="00230D3A"/>
    <w:rsid w:val="00233A3F"/>
    <w:rsid w:val="00240B4E"/>
    <w:rsid w:val="002E7A92"/>
    <w:rsid w:val="0033569B"/>
    <w:rsid w:val="003F3EDB"/>
    <w:rsid w:val="00421B67"/>
    <w:rsid w:val="00432965"/>
    <w:rsid w:val="004456FE"/>
    <w:rsid w:val="004662D4"/>
    <w:rsid w:val="00494D5A"/>
    <w:rsid w:val="006C0F36"/>
    <w:rsid w:val="00715232"/>
    <w:rsid w:val="007A40A9"/>
    <w:rsid w:val="007E68EA"/>
    <w:rsid w:val="00815941"/>
    <w:rsid w:val="0082234A"/>
    <w:rsid w:val="00846FD1"/>
    <w:rsid w:val="008F5DF3"/>
    <w:rsid w:val="00900703"/>
    <w:rsid w:val="009A3F9F"/>
    <w:rsid w:val="00A1618E"/>
    <w:rsid w:val="00AC7E18"/>
    <w:rsid w:val="00C30FC9"/>
    <w:rsid w:val="00C57EE9"/>
    <w:rsid w:val="00C71367"/>
    <w:rsid w:val="00CC2884"/>
    <w:rsid w:val="00D92F1E"/>
    <w:rsid w:val="00DC43BD"/>
    <w:rsid w:val="00EF3628"/>
    <w:rsid w:val="00F02F4A"/>
    <w:rsid w:val="00F363AE"/>
    <w:rsid w:val="00FC4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66F132F"/>
  <w15:chartTrackingRefBased/>
  <w15:docId w15:val="{FC41707F-54B9-4DA5-B7AF-1E38745F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B4E"/>
    <w:pPr>
      <w:spacing w:before="60" w:after="60"/>
    </w:pPr>
    <w:rPr>
      <w:rFonts w:ascii="Arial" w:hAnsi="Arial"/>
      <w:kern w:val="0"/>
      <w14:ligatures w14:val="none"/>
    </w:rPr>
  </w:style>
  <w:style w:type="paragraph" w:styleId="Heading1">
    <w:name w:val="heading 1"/>
    <w:basedOn w:val="Header"/>
    <w:next w:val="Normal"/>
    <w:link w:val="Heading1Char"/>
    <w:uiPriority w:val="9"/>
    <w:qFormat/>
    <w:rsid w:val="00C57EE9"/>
    <w:pPr>
      <w:spacing w:after="0"/>
      <w:outlineLvl w:val="0"/>
    </w:pPr>
    <w:rPr>
      <w:b/>
      <w:bCs/>
      <w:sz w:val="44"/>
      <w:szCs w:val="44"/>
    </w:rPr>
  </w:style>
  <w:style w:type="paragraph" w:styleId="Heading2">
    <w:name w:val="heading 2"/>
    <w:basedOn w:val="Normal"/>
    <w:next w:val="Normal"/>
    <w:link w:val="Heading2Char"/>
    <w:uiPriority w:val="9"/>
    <w:unhideWhenUsed/>
    <w:qFormat/>
    <w:rsid w:val="00C57EE9"/>
    <w:pPr>
      <w:keepLines/>
      <w:numPr>
        <w:numId w:val="1"/>
      </w:numPr>
      <w:spacing w:before="40" w:after="0"/>
      <w:ind w:left="357" w:hanging="357"/>
      <w:outlineLvl w:val="1"/>
    </w:pPr>
    <w:rPr>
      <w:rFonts w:eastAsiaTheme="majorEastAsia" w:cstheme="majorBidi"/>
      <w:b/>
      <w:szCs w:val="26"/>
    </w:rPr>
  </w:style>
  <w:style w:type="paragraph" w:styleId="Heading4">
    <w:name w:val="heading 4"/>
    <w:basedOn w:val="Normal"/>
    <w:next w:val="Normal"/>
    <w:link w:val="Heading4Char"/>
    <w:uiPriority w:val="9"/>
    <w:unhideWhenUsed/>
    <w:qFormat/>
    <w:rsid w:val="00C57EE9"/>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EE9"/>
    <w:rPr>
      <w:rFonts w:ascii="Arial" w:hAnsi="Arial"/>
      <w:b/>
      <w:bCs/>
      <w:kern w:val="0"/>
      <w:sz w:val="44"/>
      <w:szCs w:val="44"/>
      <w14:ligatures w14:val="none"/>
    </w:rPr>
  </w:style>
  <w:style w:type="character" w:customStyle="1" w:styleId="Heading2Char">
    <w:name w:val="Heading 2 Char"/>
    <w:basedOn w:val="DefaultParagraphFont"/>
    <w:link w:val="Heading2"/>
    <w:uiPriority w:val="9"/>
    <w:rsid w:val="00C57EE9"/>
    <w:rPr>
      <w:rFonts w:ascii="Arial" w:eastAsiaTheme="majorEastAsia" w:hAnsi="Arial" w:cstheme="majorBidi"/>
      <w:b/>
      <w:kern w:val="0"/>
      <w:szCs w:val="26"/>
      <w14:ligatures w14:val="none"/>
    </w:rPr>
  </w:style>
  <w:style w:type="character" w:customStyle="1" w:styleId="Heading4Char">
    <w:name w:val="Heading 4 Char"/>
    <w:basedOn w:val="DefaultParagraphFont"/>
    <w:link w:val="Heading4"/>
    <w:uiPriority w:val="9"/>
    <w:rsid w:val="00C57EE9"/>
    <w:rPr>
      <w:rFonts w:ascii="Arial" w:eastAsiaTheme="majorEastAsia" w:hAnsi="Arial" w:cstheme="majorBidi"/>
      <w:b/>
      <w:iCs/>
      <w:kern w:val="0"/>
      <w14:ligatures w14:val="none"/>
    </w:rPr>
  </w:style>
  <w:style w:type="paragraph" w:styleId="Header">
    <w:name w:val="header"/>
    <w:basedOn w:val="Normal"/>
    <w:link w:val="HeaderChar"/>
    <w:uiPriority w:val="99"/>
    <w:unhideWhenUsed/>
    <w:rsid w:val="00C57EE9"/>
    <w:pPr>
      <w:tabs>
        <w:tab w:val="right" w:pos="10433"/>
      </w:tabs>
      <w:spacing w:after="120" w:line="240" w:lineRule="auto"/>
    </w:pPr>
  </w:style>
  <w:style w:type="character" w:customStyle="1" w:styleId="HeaderChar">
    <w:name w:val="Header Char"/>
    <w:basedOn w:val="DefaultParagraphFont"/>
    <w:link w:val="Header"/>
    <w:uiPriority w:val="99"/>
    <w:rsid w:val="00C57EE9"/>
    <w:rPr>
      <w:rFonts w:ascii="Arial" w:hAnsi="Arial"/>
      <w:kern w:val="0"/>
      <w14:ligatures w14:val="none"/>
    </w:rPr>
  </w:style>
  <w:style w:type="paragraph" w:styleId="Footer">
    <w:name w:val="footer"/>
    <w:basedOn w:val="Normal"/>
    <w:link w:val="FooterChar"/>
    <w:uiPriority w:val="99"/>
    <w:unhideWhenUsed/>
    <w:rsid w:val="00C57EE9"/>
    <w:pPr>
      <w:tabs>
        <w:tab w:val="center" w:pos="8051"/>
        <w:tab w:val="right" w:pos="10433"/>
      </w:tabs>
      <w:spacing w:before="120" w:after="0" w:line="240" w:lineRule="auto"/>
      <w:contextualSpacing/>
    </w:pPr>
    <w:rPr>
      <w:sz w:val="20"/>
      <w:szCs w:val="20"/>
    </w:rPr>
  </w:style>
  <w:style w:type="character" w:customStyle="1" w:styleId="FooterChar">
    <w:name w:val="Footer Char"/>
    <w:basedOn w:val="DefaultParagraphFont"/>
    <w:link w:val="Footer"/>
    <w:uiPriority w:val="99"/>
    <w:rsid w:val="00C57EE9"/>
    <w:rPr>
      <w:rFonts w:ascii="Arial" w:hAnsi="Arial"/>
      <w:kern w:val="0"/>
      <w:sz w:val="20"/>
      <w:szCs w:val="20"/>
      <w14:ligatures w14:val="none"/>
    </w:rPr>
  </w:style>
  <w:style w:type="paragraph" w:customStyle="1" w:styleId="References">
    <w:name w:val="References"/>
    <w:basedOn w:val="ListParagraph"/>
    <w:qFormat/>
    <w:rsid w:val="00C57EE9"/>
    <w:pPr>
      <w:numPr>
        <w:numId w:val="2"/>
      </w:numPr>
      <w:spacing w:after="0" w:line="240" w:lineRule="auto"/>
    </w:pPr>
  </w:style>
  <w:style w:type="table" w:styleId="TableGrid">
    <w:name w:val="Table Grid"/>
    <w:basedOn w:val="TableNormal"/>
    <w:uiPriority w:val="39"/>
    <w:rsid w:val="00C57EE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57EE9"/>
    <w:rPr>
      <w:color w:val="0563C1" w:themeColor="hyperlink"/>
      <w:u w:val="single"/>
    </w:rPr>
  </w:style>
  <w:style w:type="paragraph" w:styleId="ListParagraph">
    <w:name w:val="List Paragraph"/>
    <w:basedOn w:val="Normal"/>
    <w:uiPriority w:val="34"/>
    <w:qFormat/>
    <w:rsid w:val="00C57EE9"/>
    <w:pPr>
      <w:ind w:left="720"/>
    </w:pPr>
  </w:style>
  <w:style w:type="table" w:customStyle="1" w:styleId="TableGridLight1">
    <w:name w:val="Table Grid Light1"/>
    <w:basedOn w:val="TableNormal"/>
    <w:uiPriority w:val="40"/>
    <w:rsid w:val="00C57EE9"/>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C57EE9"/>
    <w:pPr>
      <w:spacing w:after="0" w:line="240" w:lineRule="auto"/>
    </w:pPr>
    <w:rPr>
      <w:rFonts w:ascii="Arial" w:hAnsi="Arial"/>
      <w:kern w:val="0"/>
      <w14:ligatures w14:val="none"/>
    </w:rPr>
  </w:style>
  <w:style w:type="character" w:styleId="CommentReference">
    <w:name w:val="annotation reference"/>
    <w:basedOn w:val="DefaultParagraphFont"/>
    <w:uiPriority w:val="99"/>
    <w:semiHidden/>
    <w:unhideWhenUsed/>
    <w:rsid w:val="0033569B"/>
    <w:rPr>
      <w:sz w:val="16"/>
      <w:szCs w:val="16"/>
    </w:rPr>
  </w:style>
  <w:style w:type="paragraph" w:styleId="CommentText">
    <w:name w:val="annotation text"/>
    <w:basedOn w:val="Normal"/>
    <w:link w:val="CommentTextChar"/>
    <w:uiPriority w:val="99"/>
    <w:unhideWhenUsed/>
    <w:rsid w:val="0033569B"/>
    <w:pPr>
      <w:spacing w:line="240" w:lineRule="auto"/>
    </w:pPr>
    <w:rPr>
      <w:sz w:val="20"/>
      <w:szCs w:val="20"/>
    </w:rPr>
  </w:style>
  <w:style w:type="character" w:customStyle="1" w:styleId="CommentTextChar">
    <w:name w:val="Comment Text Char"/>
    <w:basedOn w:val="DefaultParagraphFont"/>
    <w:link w:val="CommentText"/>
    <w:uiPriority w:val="99"/>
    <w:rsid w:val="0033569B"/>
    <w:rPr>
      <w:rFonts w:ascii="Arial" w:hAnsi="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3569B"/>
    <w:rPr>
      <w:b/>
      <w:bCs/>
    </w:rPr>
  </w:style>
  <w:style w:type="character" w:customStyle="1" w:styleId="CommentSubjectChar">
    <w:name w:val="Comment Subject Char"/>
    <w:basedOn w:val="CommentTextChar"/>
    <w:link w:val="CommentSubject"/>
    <w:uiPriority w:val="99"/>
    <w:semiHidden/>
    <w:rsid w:val="0033569B"/>
    <w:rPr>
      <w:rFonts w:ascii="Arial" w:hAnsi="Arial"/>
      <w:b/>
      <w:bCs/>
      <w:kern w:val="0"/>
      <w:sz w:val="20"/>
      <w:szCs w:val="20"/>
      <w14:ligatures w14:val="none"/>
    </w:rPr>
  </w:style>
  <w:style w:type="paragraph" w:styleId="BalloonText">
    <w:name w:val="Balloon Text"/>
    <w:basedOn w:val="Normal"/>
    <w:link w:val="BalloonTextChar"/>
    <w:uiPriority w:val="99"/>
    <w:semiHidden/>
    <w:unhideWhenUsed/>
    <w:rsid w:val="00A1618E"/>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18E"/>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236702">
      <w:bodyDiv w:val="1"/>
      <w:marLeft w:val="0"/>
      <w:marRight w:val="0"/>
      <w:marTop w:val="0"/>
      <w:marBottom w:val="0"/>
      <w:divBdr>
        <w:top w:val="none" w:sz="0" w:space="0" w:color="auto"/>
        <w:left w:val="none" w:sz="0" w:space="0" w:color="auto"/>
        <w:bottom w:val="none" w:sz="0" w:space="0" w:color="auto"/>
        <w:right w:val="none" w:sz="0" w:space="0" w:color="auto"/>
      </w:divBdr>
    </w:div>
    <w:div w:id="1588422846">
      <w:bodyDiv w:val="1"/>
      <w:marLeft w:val="0"/>
      <w:marRight w:val="0"/>
      <w:marTop w:val="0"/>
      <w:marBottom w:val="0"/>
      <w:divBdr>
        <w:top w:val="none" w:sz="0" w:space="0" w:color="auto"/>
        <w:left w:val="none" w:sz="0" w:space="0" w:color="auto"/>
        <w:bottom w:val="none" w:sz="0" w:space="0" w:color="auto"/>
        <w:right w:val="none" w:sz="0" w:space="0" w:color="auto"/>
      </w:divBdr>
    </w:div>
    <w:div w:id="189677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ice.org.uk/guidance/ng197/" TargetMode="External"/><Relationship Id="rId18" Type="http://schemas.openxmlformats.org/officeDocument/2006/relationships/hyperlink" Target="https://www.nice.org.uk/guidance/ng87/chapter/Recommendations?q=lisdexamfetamine" TargetMode="External"/><Relationship Id="rId26" Type="http://schemas.openxmlformats.org/officeDocument/2006/relationships/hyperlink" Target="https://www.medicines.org.uk/emc/search" TargetMode="External"/><Relationship Id="rId39" Type="http://schemas.openxmlformats.org/officeDocument/2006/relationships/hyperlink" Target="https://uktis.org/monographs/use-of-therapeutic-amfetamines-in-pregnancy/" TargetMode="External"/><Relationship Id="rId21" Type="http://schemas.openxmlformats.org/officeDocument/2006/relationships/hyperlink" Target="https://future.nhs.uk/connect.ti/PrescribingMedicinesOptimisation/view" TargetMode="External"/><Relationship Id="rId34" Type="http://schemas.openxmlformats.org/officeDocument/2006/relationships/hyperlink" Target="https://yellowcard.mhra.gov.uk/" TargetMode="External"/><Relationship Id="rId42" Type="http://schemas.openxmlformats.org/officeDocument/2006/relationships/hyperlink" Target="https://bnf.nice.org.uk/" TargetMode="External"/><Relationship Id="rId47" Type="http://schemas.openxmlformats.org/officeDocument/2006/relationships/hyperlink" Target="https://www.medicines.org.uk/emc/product/14091/smpc?objectId=44553232" TargetMode="External"/><Relationship Id="rId50" Type="http://schemas.openxmlformats.org/officeDocument/2006/relationships/hyperlink" Target="https://www.nice.org.uk/guidance/ng87/" TargetMode="External"/><Relationship Id="rId55"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mments" Target="comments.xml"/><Relationship Id="rId29" Type="http://schemas.openxmlformats.org/officeDocument/2006/relationships/hyperlink" Target="https://www.medicines.org.uk/emc/search" TargetMode="External"/><Relationship Id="rId11" Type="http://schemas.openxmlformats.org/officeDocument/2006/relationships/hyperlink" Target="https://www.gmc-uk.org/ethical-guidance/ethical-guidance-for-doctors/good-practice-in-prescribing-and-managing-medicines-and-devices/shared-care" TargetMode="External"/><Relationship Id="rId24" Type="http://schemas.openxmlformats.org/officeDocument/2006/relationships/hyperlink" Target="https://www.nice.org.uk/guidance/ng43/?q=lisdexamfetamine" TargetMode="External"/><Relationship Id="rId32" Type="http://schemas.openxmlformats.org/officeDocument/2006/relationships/hyperlink" Target="https://www.nice.org.uk/guidance/ng46/chapter/Recommendations" TargetMode="External"/><Relationship Id="rId37" Type="http://schemas.openxmlformats.org/officeDocument/2006/relationships/hyperlink" Target="https://www.gov.uk/adhd-and-driving" TargetMode="External"/><Relationship Id="rId40" Type="http://schemas.openxmlformats.org/officeDocument/2006/relationships/hyperlink" Target="https://www.medicines.org.uk/emc/product/6828/smpc" TargetMode="External"/><Relationship Id="rId45" Type="http://schemas.openxmlformats.org/officeDocument/2006/relationships/hyperlink" Target="https://www.nhs.uk/conditions/attention-deficit-hyperactivity-disorder-adhd/" TargetMode="External"/><Relationship Id="rId53" Type="http://schemas.openxmlformats.org/officeDocument/2006/relationships/footer" Target="footer1.xml"/><Relationship Id="rId58" Type="http://schemas.microsoft.com/office/2011/relationships/people" Target="people.xml"/><Relationship Id="rId5" Type="http://schemas.openxmlformats.org/officeDocument/2006/relationships/numbering" Target="numbering.xml"/><Relationship Id="rId61" Type="http://schemas.microsoft.com/office/2016/09/relationships/commentsIds" Target="commentsIds.xml"/><Relationship Id="rId19" Type="http://schemas.openxmlformats.org/officeDocument/2006/relationships/hyperlink" Target="https://www.medicines.org.uk/emc/search?q=lisdexamfetamine" TargetMode="External"/><Relationship Id="rId14" Type="http://schemas.openxmlformats.org/officeDocument/2006/relationships/hyperlink" Target="https://www.nice.org.uk/guidance/ng43" TargetMode="External"/><Relationship Id="rId22" Type="http://schemas.openxmlformats.org/officeDocument/2006/relationships/hyperlink" Target="https://www.medicines.org.uk/emc/search?q=lisdexamfetamine" TargetMode="External"/><Relationship Id="rId27" Type="http://schemas.openxmlformats.org/officeDocument/2006/relationships/hyperlink" Target="https://www.nice.org.uk/guidance/ng87/" TargetMode="External"/><Relationship Id="rId30" Type="http://schemas.openxmlformats.org/officeDocument/2006/relationships/hyperlink" Target="https://www.gov.uk/guidance/controlled-drugs-personal-licences" TargetMode="External"/><Relationship Id="rId35" Type="http://schemas.openxmlformats.org/officeDocument/2006/relationships/hyperlink" Target="https://www.medicinesinpregnancy.org/leaflets-a-z/therapeutic-amfetamines/" TargetMode="External"/><Relationship Id="rId43" Type="http://schemas.openxmlformats.org/officeDocument/2006/relationships/hyperlink" Target="https://uktis.org/monographs/use-of-therapeutic-amfetamines-in-pregnancy/" TargetMode="External"/><Relationship Id="rId48" Type="http://schemas.openxmlformats.org/officeDocument/2006/relationships/hyperlink" Target="https://www.england.nhs.uk/publication/responsibility-for-prescribing-between-primary-and-secondary-tertiary-care/" TargetMode="External"/><Relationship Id="rId56"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s://www.gov.uk/drug-driving-law" TargetMode="External"/><Relationship Id="rId17" Type="http://schemas.microsoft.com/office/2011/relationships/commentsExtended" Target="commentsExtended.xml"/><Relationship Id="rId25" Type="http://schemas.openxmlformats.org/officeDocument/2006/relationships/hyperlink" Target="https://www.medicines.org.uk/emc/search?q=lisdexamfetamine" TargetMode="External"/><Relationship Id="rId33" Type="http://schemas.openxmlformats.org/officeDocument/2006/relationships/hyperlink" Target="https://www.medicines.org.uk/emc/search?q=dexamfetamine" TargetMode="External"/><Relationship Id="rId38" Type="http://schemas.openxmlformats.org/officeDocument/2006/relationships/hyperlink" Target="https://bnf.nice.org.uk/" TargetMode="External"/><Relationship Id="rId46" Type="http://schemas.openxmlformats.org/officeDocument/2006/relationships/hyperlink" Target="https://cks.nice.org.uk/topics/attention-deficit-hyperactivity-disorder/prescribing-information/amfetamines/" TargetMode="External"/><Relationship Id="rId59" Type="http://schemas.openxmlformats.org/officeDocument/2006/relationships/theme" Target="theme/theme1.xml"/><Relationship Id="rId20" Type="http://schemas.openxmlformats.org/officeDocument/2006/relationships/hyperlink" Target="https://bnf.nice.org.uk/guidance/controlled-drugs-and-drug-dependence.html" TargetMode="External"/><Relationship Id="rId41" Type="http://schemas.openxmlformats.org/officeDocument/2006/relationships/hyperlink" Target="https://www.nice.org.uk/guidance/ng46/"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rdtc.nhs.uk/prescribing-support-document/shared-care-protocol-lisdexamfetamine-in-adults/" TargetMode="External"/><Relationship Id="rId23" Type="http://schemas.openxmlformats.org/officeDocument/2006/relationships/hyperlink" Target="https://www.nice.org.uk/guidance/ng87/chapter/Recommendations" TargetMode="External"/><Relationship Id="rId28" Type="http://schemas.openxmlformats.org/officeDocument/2006/relationships/hyperlink" Target="https://bnf.nice.org.uk/" TargetMode="External"/><Relationship Id="rId36" Type="http://schemas.openxmlformats.org/officeDocument/2006/relationships/hyperlink" Target="https://www.rcpsych.ac.uk/mental-health/problems-disorders/adhd-in-adults" TargetMode="External"/><Relationship Id="rId49" Type="http://schemas.openxmlformats.org/officeDocument/2006/relationships/hyperlink" Target="https://www.ncbi.nlm.nih.gov/books/NBK501741/"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www.gov.uk/drug-driving-law" TargetMode="External"/><Relationship Id="rId44" Type="http://schemas.openxmlformats.org/officeDocument/2006/relationships/hyperlink" Target="https://www.sps.nhs.uk/home/about-sps/get-in-touch/medicines-information-services-contact-details/breastfeeding-medicines-advice-service/" TargetMode="External"/><Relationship Id="rId52" Type="http://schemas.openxmlformats.org/officeDocument/2006/relationships/header" Target="header2.xml"/><Relationship Id="rId60"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20c8ee1-5c4d-4fe6-a884-671ceaf52101">
      <Terms xmlns="http://schemas.microsoft.com/office/infopath/2007/PartnerControls"/>
    </lcf76f155ced4ddcb4097134ff3c332f>
    <TaxCatchAll xmlns="daf8bb99-f63a-4e33-b200-ec62ac311639"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174624CA836641BE22D1EB9A9E2204" ma:contentTypeVersion="19" ma:contentTypeDescription="Create a new document." ma:contentTypeScope="" ma:versionID="8c534e726c896b57c82b5b99f4f319a2">
  <xsd:schema xmlns:xsd="http://www.w3.org/2001/XMLSchema" xmlns:xs="http://www.w3.org/2001/XMLSchema" xmlns:p="http://schemas.microsoft.com/office/2006/metadata/properties" xmlns:ns1="http://schemas.microsoft.com/sharepoint/v3" xmlns:ns2="f20c8ee1-5c4d-4fe6-a884-671ceaf52101" xmlns:ns3="daf8bb99-f63a-4e33-b200-ec62ac311639" targetNamespace="http://schemas.microsoft.com/office/2006/metadata/properties" ma:root="true" ma:fieldsID="27677d382d494c3cc9cf583fe71f4b5e" ns1:_="" ns2:_="" ns3:_="">
    <xsd:import namespace="http://schemas.microsoft.com/sharepoint/v3"/>
    <xsd:import namespace="f20c8ee1-5c4d-4fe6-a884-671ceaf52101"/>
    <xsd:import namespace="daf8bb99-f63a-4e33-b200-ec62ac3116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0c8ee1-5c4d-4fe6-a884-671ceaf521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f8bb99-f63a-4e33-b200-ec62ac31163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8631231-6f43-4857-8242-87355a4339e9}" ma:internalName="TaxCatchAll" ma:showField="CatchAllData" ma:web="daf8bb99-f63a-4e33-b200-ec62ac31163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C82B1-6311-492B-976F-52C433EC6A7F}">
  <ds:schemaRefs>
    <ds:schemaRef ds:uri="http://schemas.microsoft.com/office/2006/metadata/properties"/>
    <ds:schemaRef ds:uri="http://schemas.microsoft.com/office/infopath/2007/PartnerControls"/>
    <ds:schemaRef ds:uri="http://schemas.microsoft.com/sharepoint/v3"/>
    <ds:schemaRef ds:uri="f20c8ee1-5c4d-4fe6-a884-671ceaf52101"/>
    <ds:schemaRef ds:uri="daf8bb99-f63a-4e33-b200-ec62ac311639"/>
  </ds:schemaRefs>
</ds:datastoreItem>
</file>

<file path=customXml/itemProps2.xml><?xml version="1.0" encoding="utf-8"?>
<ds:datastoreItem xmlns:ds="http://schemas.openxmlformats.org/officeDocument/2006/customXml" ds:itemID="{3AEBD80A-4F64-44B0-AECD-CD07A5DF9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0c8ee1-5c4d-4fe6-a884-671ceaf52101"/>
    <ds:schemaRef ds:uri="daf8bb99-f63a-4e33-b200-ec62ac3116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469DD1-C8A4-4A7D-84C3-6C20E41722AC}">
  <ds:schemaRefs>
    <ds:schemaRef ds:uri="http://schemas.microsoft.com/sharepoint/v3/contenttype/forms"/>
  </ds:schemaRefs>
</ds:datastoreItem>
</file>

<file path=customXml/itemProps4.xml><?xml version="1.0" encoding="utf-8"?>
<ds:datastoreItem xmlns:ds="http://schemas.openxmlformats.org/officeDocument/2006/customXml" ds:itemID="{EE40537B-20CC-44C4-AD29-01132767E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5228</Words>
  <Characters>29806</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HAIDER, Maymouna (TEES, ESK AND WEAR VALLEYS NHS FOUNDATION TRUST)</dc:creator>
  <cp:keywords/>
  <dc:description/>
  <cp:lastModifiedBy>Kane, Nancy</cp:lastModifiedBy>
  <cp:revision>3</cp:revision>
  <dcterms:created xsi:type="dcterms:W3CDTF">2025-04-28T10:44:00Z</dcterms:created>
  <dcterms:modified xsi:type="dcterms:W3CDTF">2025-06-03T13:48:00Z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0x01010031174624CA836641BE22D1EB9A9E2204</vt:lpwstr>
  </property>
</Properties>
</file>