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8EA1C" w14:textId="3BE5CF9E" w:rsidR="003C21D1" w:rsidRDefault="00753498">
      <w:bookmarkStart w:id="0" w:name="_GoBack"/>
      <w:bookmarkEnd w:id="0"/>
      <w:r>
        <w:t xml:space="preserve"> </w:t>
      </w:r>
    </w:p>
    <w:p w14:paraId="1A9789A2" w14:textId="364F777C" w:rsidR="005228A2" w:rsidRPr="005228A2" w:rsidRDefault="005228A2" w:rsidP="005228A2">
      <w:pPr>
        <w:pStyle w:val="Heading2"/>
        <w:numPr>
          <w:ilvl w:val="0"/>
          <w:numId w:val="0"/>
        </w:numPr>
        <w:ind w:left="357" w:hanging="357"/>
        <w:jc w:val="center"/>
        <w:rPr>
          <w:sz w:val="28"/>
          <w:szCs w:val="32"/>
        </w:rPr>
      </w:pPr>
      <w:r w:rsidRPr="005228A2">
        <w:rPr>
          <w:sz w:val="28"/>
          <w:szCs w:val="32"/>
        </w:rPr>
        <w:t>G</w:t>
      </w:r>
      <w:r w:rsidR="00F24C6C">
        <w:rPr>
          <w:sz w:val="28"/>
          <w:szCs w:val="32"/>
        </w:rPr>
        <w:t>uanfacine</w:t>
      </w:r>
      <w:r w:rsidRPr="005228A2">
        <w:rPr>
          <w:sz w:val="28"/>
          <w:szCs w:val="32"/>
        </w:rPr>
        <w:t xml:space="preserve"> for patients within </w:t>
      </w:r>
      <w:r w:rsidR="007E5D61" w:rsidRPr="000C7A3C">
        <w:rPr>
          <w:color w:val="0070C0"/>
          <w:sz w:val="28"/>
          <w:szCs w:val="32"/>
        </w:rPr>
        <w:t xml:space="preserve">children and </w:t>
      </w:r>
      <w:r w:rsidRPr="005228A2">
        <w:rPr>
          <w:sz w:val="28"/>
          <w:szCs w:val="32"/>
        </w:rPr>
        <w:t>adult services</w:t>
      </w:r>
    </w:p>
    <w:tbl>
      <w:tblPr>
        <w:tblStyle w:val="TableGrid"/>
        <w:tblW w:w="0" w:type="auto"/>
        <w:tblLook w:val="04A0" w:firstRow="1" w:lastRow="0" w:firstColumn="1" w:lastColumn="0" w:noHBand="0" w:noVBand="1"/>
      </w:tblPr>
      <w:tblGrid>
        <w:gridCol w:w="3256"/>
        <w:gridCol w:w="2305"/>
        <w:gridCol w:w="2447"/>
        <w:gridCol w:w="2448"/>
      </w:tblGrid>
      <w:tr w:rsidR="00812579" w14:paraId="117D375B" w14:textId="77777777" w:rsidTr="00812579">
        <w:tc>
          <w:tcPr>
            <w:tcW w:w="3256" w:type="dxa"/>
          </w:tcPr>
          <w:p w14:paraId="1FC4E973" w14:textId="4D6B42DA" w:rsidR="00812579" w:rsidRDefault="00812579" w:rsidP="00BF1406">
            <w:pPr>
              <w:rPr>
                <w:rFonts w:cs="Arial"/>
              </w:rPr>
            </w:pPr>
            <w:r>
              <w:rPr>
                <w:rFonts w:cs="Arial"/>
              </w:rPr>
              <w:t>Version:</w:t>
            </w:r>
          </w:p>
        </w:tc>
        <w:tc>
          <w:tcPr>
            <w:tcW w:w="2305" w:type="dxa"/>
          </w:tcPr>
          <w:p w14:paraId="1B35B75E" w14:textId="22DF228C" w:rsidR="00812579" w:rsidRDefault="00946787" w:rsidP="00BF1406">
            <w:pPr>
              <w:rPr>
                <w:rFonts w:cs="Arial"/>
              </w:rPr>
            </w:pPr>
            <w:r>
              <w:rPr>
                <w:rFonts w:cs="Arial"/>
              </w:rPr>
              <w:t xml:space="preserve">RDTC </w:t>
            </w:r>
            <w:r w:rsidR="0090559C">
              <w:rPr>
                <w:rFonts w:cs="Arial"/>
              </w:rPr>
              <w:t>v1.0</w:t>
            </w:r>
          </w:p>
        </w:tc>
        <w:tc>
          <w:tcPr>
            <w:tcW w:w="2447" w:type="dxa"/>
          </w:tcPr>
          <w:p w14:paraId="76C84DC3" w14:textId="7BC745AD" w:rsidR="00812579" w:rsidRDefault="00812579" w:rsidP="00BF1406">
            <w:pPr>
              <w:rPr>
                <w:rFonts w:cs="Arial"/>
              </w:rPr>
            </w:pPr>
            <w:r>
              <w:rPr>
                <w:rFonts w:cs="Arial"/>
              </w:rPr>
              <w:t>Replaces version:</w:t>
            </w:r>
          </w:p>
        </w:tc>
        <w:tc>
          <w:tcPr>
            <w:tcW w:w="2448" w:type="dxa"/>
          </w:tcPr>
          <w:p w14:paraId="603CA470" w14:textId="370A087D" w:rsidR="00812579" w:rsidRDefault="000D470E" w:rsidP="00BF1406">
            <w:pPr>
              <w:rPr>
                <w:rFonts w:cs="Arial"/>
              </w:rPr>
            </w:pPr>
            <w:r>
              <w:rPr>
                <w:rFonts w:cs="Arial"/>
              </w:rPr>
              <w:t>NHSE v1.0</w:t>
            </w:r>
          </w:p>
        </w:tc>
      </w:tr>
      <w:tr w:rsidR="00812579" w14:paraId="69C53677" w14:textId="77777777" w:rsidTr="00812579">
        <w:tc>
          <w:tcPr>
            <w:tcW w:w="3256" w:type="dxa"/>
          </w:tcPr>
          <w:p w14:paraId="0BC1494C" w14:textId="356B9B36" w:rsidR="00812579" w:rsidRDefault="00812579" w:rsidP="00BF1406">
            <w:pPr>
              <w:rPr>
                <w:rFonts w:cs="Arial"/>
              </w:rPr>
            </w:pPr>
            <w:r>
              <w:rPr>
                <w:rFonts w:cs="Arial"/>
              </w:rPr>
              <w:t>Clinical content last reviewed:</w:t>
            </w:r>
          </w:p>
        </w:tc>
        <w:tc>
          <w:tcPr>
            <w:tcW w:w="2305" w:type="dxa"/>
          </w:tcPr>
          <w:p w14:paraId="456B394F" w14:textId="70A51C16" w:rsidR="00812579" w:rsidRDefault="00F87896" w:rsidP="00BF1406">
            <w:pPr>
              <w:rPr>
                <w:rFonts w:cs="Arial"/>
              </w:rPr>
            </w:pPr>
            <w:r>
              <w:rPr>
                <w:rFonts w:cs="Arial"/>
              </w:rPr>
              <w:t>April 2024</w:t>
            </w:r>
          </w:p>
        </w:tc>
        <w:tc>
          <w:tcPr>
            <w:tcW w:w="2447" w:type="dxa"/>
          </w:tcPr>
          <w:p w14:paraId="3D826204" w14:textId="26C8FFED" w:rsidR="00812579" w:rsidRDefault="00812579" w:rsidP="00BF1406">
            <w:pPr>
              <w:rPr>
                <w:rFonts w:cs="Arial"/>
              </w:rPr>
            </w:pPr>
            <w:r>
              <w:rPr>
                <w:rFonts w:cs="Arial"/>
              </w:rPr>
              <w:t>Next review date:</w:t>
            </w:r>
          </w:p>
        </w:tc>
        <w:tc>
          <w:tcPr>
            <w:tcW w:w="2448" w:type="dxa"/>
          </w:tcPr>
          <w:p w14:paraId="112594AC" w14:textId="50500185" w:rsidR="00812579" w:rsidRDefault="00633F5E" w:rsidP="00BF1406">
            <w:pPr>
              <w:rPr>
                <w:rFonts w:cs="Arial"/>
              </w:rPr>
            </w:pPr>
            <w:r>
              <w:rPr>
                <w:rFonts w:cs="Arial"/>
              </w:rPr>
              <w:t>April 2026</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5A7119">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tcPr>
          <w:p w14:paraId="4232EE9B" w14:textId="3A9FAF69" w:rsidR="00812579" w:rsidRDefault="003664E1" w:rsidP="00812579">
            <w:pPr>
              <w:rPr>
                <w:rFonts w:cs="Arial"/>
              </w:rPr>
            </w:pPr>
            <w:r>
              <w:rPr>
                <w:rFonts w:cs="Arial"/>
              </w:rPr>
              <w:t>15/05/2024</w:t>
            </w:r>
          </w:p>
        </w:tc>
        <w:tc>
          <w:tcPr>
            <w:tcW w:w="7200" w:type="dxa"/>
          </w:tcPr>
          <w:p w14:paraId="36F87864" w14:textId="0DFBA374" w:rsidR="000C4AF9" w:rsidRPr="007A56FB" w:rsidRDefault="000D470E" w:rsidP="000C4AF9">
            <w:pPr>
              <w:rPr>
                <w:rFonts w:cs="Arial"/>
              </w:rPr>
            </w:pPr>
            <w:r>
              <w:rPr>
                <w:rFonts w:cs="Arial"/>
              </w:rPr>
              <w:t xml:space="preserve">Clarified information regarding dose adjustments required with enzyme </w:t>
            </w:r>
            <w:r w:rsidR="000C4AF9">
              <w:rPr>
                <w:rFonts w:cs="Arial"/>
              </w:rPr>
              <w:t>inducers/</w:t>
            </w:r>
            <w:r>
              <w:rPr>
                <w:rFonts w:cs="Arial"/>
              </w:rPr>
              <w:t>inhibitors</w:t>
            </w:r>
            <w:r w:rsidR="000C4AF9">
              <w:rPr>
                <w:rFonts w:cs="Arial"/>
              </w:rPr>
              <w:t>. Included</w:t>
            </w:r>
            <w:r>
              <w:rPr>
                <w:rFonts w:cs="Arial"/>
              </w:rPr>
              <w:t xml:space="preserve"> interaction with metformin</w:t>
            </w:r>
            <w:r w:rsidR="000C4AF9">
              <w:rPr>
                <w:rFonts w:cs="Arial"/>
              </w:rPr>
              <w:t xml:space="preserve">. </w:t>
            </w:r>
            <w:r>
              <w:rPr>
                <w:rFonts w:cs="Arial"/>
              </w:rPr>
              <w:t>Added information about avoiding abrupt withdrawal to cautions and adverse effects sections</w:t>
            </w:r>
            <w:r w:rsidR="000C4AF9">
              <w:rPr>
                <w:rFonts w:cs="Arial"/>
              </w:rPr>
              <w:t xml:space="preserve">. </w:t>
            </w:r>
            <w:r w:rsidR="005B3461">
              <w:rPr>
                <w:rFonts w:cs="Arial"/>
              </w:rPr>
              <w:t>Added clarity to some</w:t>
            </w:r>
            <w:r>
              <w:rPr>
                <w:rFonts w:cs="Arial"/>
              </w:rPr>
              <w:t xml:space="preserve"> </w:t>
            </w:r>
            <w:r w:rsidR="000C4AF9">
              <w:rPr>
                <w:rFonts w:cs="Arial"/>
              </w:rPr>
              <w:t xml:space="preserve">information regarding </w:t>
            </w:r>
            <w:r>
              <w:rPr>
                <w:rFonts w:cs="Arial"/>
              </w:rPr>
              <w:t xml:space="preserve">management of </w:t>
            </w:r>
            <w:r w:rsidR="0042404A">
              <w:rPr>
                <w:rFonts w:cs="Arial"/>
              </w:rPr>
              <w:t>adverse effects</w:t>
            </w:r>
            <w:r w:rsidR="000C4AF9">
              <w:rPr>
                <w:rFonts w:cs="Arial"/>
              </w:rPr>
              <w:t>. Updated breastfeeding section to reflect information currently available. Hyperlinks and references updated to current versions.</w:t>
            </w:r>
          </w:p>
        </w:tc>
      </w:tr>
      <w:tr w:rsidR="00812579" w14:paraId="120F2CF5" w14:textId="77777777" w:rsidTr="005A7119">
        <w:tc>
          <w:tcPr>
            <w:tcW w:w="1413" w:type="dxa"/>
          </w:tcPr>
          <w:p w14:paraId="36E8A0C3" w14:textId="5B44E86E" w:rsidR="00812579" w:rsidRDefault="008A5BB4" w:rsidP="00812579">
            <w:pPr>
              <w:rPr>
                <w:rFonts w:cs="Arial"/>
              </w:rPr>
            </w:pPr>
            <w:ins w:id="1" w:author="RANSON, Christopher (NHS HUMBER AND NORTH YORKSHIRE ICB - 42D)" w:date="2025-04-28T15:54:00Z">
              <w:r>
                <w:rPr>
                  <w:rFonts w:cs="Arial"/>
                </w:rPr>
                <w:t xml:space="preserve">HNY </w:t>
              </w:r>
            </w:ins>
            <w:r w:rsidR="00E90316">
              <w:rPr>
                <w:rFonts w:cs="Arial"/>
              </w:rPr>
              <w:t xml:space="preserve"> v1.1</w:t>
            </w:r>
          </w:p>
        </w:tc>
        <w:tc>
          <w:tcPr>
            <w:tcW w:w="1843" w:type="dxa"/>
          </w:tcPr>
          <w:p w14:paraId="156C2558" w14:textId="39B1D9BC" w:rsidR="00812579" w:rsidRDefault="008A5BB4" w:rsidP="00812579">
            <w:pPr>
              <w:rPr>
                <w:rFonts w:cs="Arial"/>
              </w:rPr>
            </w:pPr>
            <w:r>
              <w:rPr>
                <w:rFonts w:cs="Arial"/>
              </w:rPr>
              <w:t>28/04/2025</w:t>
            </w:r>
          </w:p>
        </w:tc>
        <w:tc>
          <w:tcPr>
            <w:tcW w:w="7200" w:type="dxa"/>
          </w:tcPr>
          <w:p w14:paraId="7DCDA5FF" w14:textId="77777777" w:rsidR="00812579" w:rsidRDefault="00451B01" w:rsidP="00812579">
            <w:pPr>
              <w:rPr>
                <w:rFonts w:cs="Arial"/>
              </w:rPr>
            </w:pPr>
            <w:r w:rsidRPr="00451B01">
              <w:rPr>
                <w:rFonts w:cs="Arial"/>
              </w:rPr>
              <w:t>The RDTC version has been adjusted to include children as well as</w:t>
            </w:r>
            <w:r>
              <w:rPr>
                <w:rFonts w:cs="Arial"/>
              </w:rPr>
              <w:t xml:space="preserve"> clarified that it is only for adults for patients who have been started on the drug in childhood and then transferred to</w:t>
            </w:r>
            <w:r w:rsidRPr="00451B01">
              <w:rPr>
                <w:rFonts w:cs="Arial"/>
              </w:rPr>
              <w:t xml:space="preserve"> </w:t>
            </w:r>
            <w:proofErr w:type="gramStart"/>
            <w:r w:rsidRPr="00451B01">
              <w:rPr>
                <w:rFonts w:cs="Arial"/>
              </w:rPr>
              <w:t>adults</w:t>
            </w:r>
            <w:proofErr w:type="gramEnd"/>
            <w:r w:rsidRPr="00451B01">
              <w:rPr>
                <w:rFonts w:cs="Arial"/>
              </w:rPr>
              <w:t xml:space="preserve"> </w:t>
            </w:r>
            <w:r>
              <w:rPr>
                <w:rFonts w:cs="Arial"/>
              </w:rPr>
              <w:t>services.</w:t>
            </w:r>
          </w:p>
          <w:p w14:paraId="0D7BAFF0" w14:textId="77777777" w:rsidR="00451B01" w:rsidRDefault="00451B01" w:rsidP="00812579">
            <w:pPr>
              <w:rPr>
                <w:rFonts w:cs="Arial"/>
              </w:rPr>
            </w:pPr>
          </w:p>
          <w:p w14:paraId="4F9E7D14" w14:textId="77777777" w:rsidR="00451B01" w:rsidRDefault="00451B01" w:rsidP="00812579">
            <w:pPr>
              <w:rPr>
                <w:rFonts w:cs="Arial"/>
              </w:rPr>
            </w:pPr>
            <w:r>
              <w:rPr>
                <w:rFonts w:cs="Arial"/>
              </w:rPr>
              <w:t>Section3</w:t>
            </w:r>
          </w:p>
          <w:p w14:paraId="0E31391E" w14:textId="77777777" w:rsidR="00451B01" w:rsidRDefault="00451B01" w:rsidP="00451B01">
            <w:pPr>
              <w:rPr>
                <w:rFonts w:cs="Arial"/>
                <w:color w:val="4472C4" w:themeColor="accent1"/>
              </w:rPr>
            </w:pPr>
            <w:r w:rsidRPr="003B4362">
              <w:rPr>
                <w:rFonts w:cs="Arial"/>
                <w:color w:val="0070C0"/>
              </w:rPr>
              <w:t xml:space="preserve">For the treatment of ADHD in children and adolescents 6-17yrs for whom stimulants are not suitable, not tolerated or have been shown to be ineffective. For adults aged 18 years </w:t>
            </w:r>
            <w:r w:rsidRPr="008A5BB4">
              <w:rPr>
                <w:rFonts w:cs="Arial"/>
                <w:b/>
                <w:bCs/>
                <w:color w:val="4472C4" w:themeColor="accent1"/>
              </w:rPr>
              <w:t>who have previously responded to Guanfacine in childhood and transitioned into adult’s services.</w:t>
            </w:r>
            <w:r w:rsidRPr="008A5BB4">
              <w:rPr>
                <w:rFonts w:cs="Arial"/>
                <w:color w:val="4472C4" w:themeColor="accent1"/>
              </w:rPr>
              <w:t xml:space="preserve"> </w:t>
            </w:r>
          </w:p>
          <w:p w14:paraId="1168E701" w14:textId="77777777" w:rsidR="00451B01" w:rsidRDefault="00451B01" w:rsidP="00451B01">
            <w:pPr>
              <w:rPr>
                <w:rFonts w:cs="Arial"/>
                <w:b/>
                <w:bCs/>
                <w:color w:val="4472C4" w:themeColor="accent1"/>
              </w:rPr>
            </w:pPr>
          </w:p>
          <w:p w14:paraId="62AB4CDB" w14:textId="77777777" w:rsidR="00451B01" w:rsidRDefault="00451B01" w:rsidP="00451B01">
            <w:pPr>
              <w:rPr>
                <w:rFonts w:cs="Arial"/>
                <w:b/>
                <w:bCs/>
                <w:color w:val="4472C4" w:themeColor="accent1"/>
              </w:rPr>
            </w:pPr>
            <w:r w:rsidRPr="008A5BB4">
              <w:rPr>
                <w:rFonts w:cs="Arial"/>
                <w:b/>
                <w:bCs/>
                <w:color w:val="4472C4" w:themeColor="accent1"/>
              </w:rPr>
              <w:t>Guanfacine remains Red for use adults when it is been considered for initiation in adul</w:t>
            </w:r>
            <w:r>
              <w:rPr>
                <w:rFonts w:cs="Arial"/>
                <w:b/>
                <w:bCs/>
                <w:color w:val="4472C4" w:themeColor="accent1"/>
              </w:rPr>
              <w:t>ts.</w:t>
            </w:r>
          </w:p>
          <w:p w14:paraId="6B2AA69D" w14:textId="77777777" w:rsidR="00451B01" w:rsidRDefault="00451B01" w:rsidP="00451B01">
            <w:pPr>
              <w:rPr>
                <w:rFonts w:cs="Arial"/>
              </w:rPr>
            </w:pPr>
          </w:p>
          <w:p w14:paraId="610B388D" w14:textId="77777777" w:rsidR="00451B01" w:rsidRDefault="00451B01" w:rsidP="00451B01">
            <w:pPr>
              <w:rPr>
                <w:rFonts w:cs="Arial"/>
              </w:rPr>
            </w:pPr>
            <w:r>
              <w:rPr>
                <w:rFonts w:cs="Arial"/>
              </w:rPr>
              <w:t>Section 4: State that prescribing and monitoring should be transferred after at least 12 weeks.</w:t>
            </w:r>
          </w:p>
          <w:p w14:paraId="1F601851" w14:textId="77777777" w:rsidR="00451B01" w:rsidRDefault="00451B01" w:rsidP="00451B01">
            <w:pPr>
              <w:rPr>
                <w:rFonts w:cs="Arial"/>
              </w:rPr>
            </w:pPr>
          </w:p>
          <w:p w14:paraId="4491A9E0" w14:textId="77777777" w:rsidR="00EA470A" w:rsidRDefault="00EA470A" w:rsidP="00EA470A">
            <w:pPr>
              <w:rPr>
                <w:rFonts w:cs="Arial"/>
                <w:iCs/>
              </w:rPr>
            </w:pPr>
            <w:r w:rsidRPr="004D3546">
              <w:rPr>
                <w:rFonts w:cs="Arial"/>
                <w:iCs/>
              </w:rPr>
              <w:t>Maximum dose</w:t>
            </w:r>
            <w:r>
              <w:rPr>
                <w:rFonts w:cs="Arial"/>
                <w:iCs/>
              </w:rPr>
              <w:t xml:space="preserve">: </w:t>
            </w:r>
          </w:p>
          <w:p w14:paraId="232ED709" w14:textId="77777777" w:rsidR="00EA470A" w:rsidRDefault="00EA470A" w:rsidP="00EA470A">
            <w:pPr>
              <w:rPr>
                <w:rFonts w:cs="Arial"/>
                <w:iCs/>
              </w:rPr>
            </w:pPr>
            <w:r w:rsidRPr="00EA470A">
              <w:rPr>
                <w:rFonts w:cs="Arial"/>
                <w:iCs/>
              </w:rPr>
              <w:t>Child 6–12 years (body-weight 25 kg and above)</w:t>
            </w:r>
            <w:r>
              <w:rPr>
                <w:rFonts w:cs="Arial"/>
                <w:iCs/>
              </w:rPr>
              <w:t>: 4mg daily</w:t>
            </w:r>
          </w:p>
          <w:p w14:paraId="56FC33E2" w14:textId="77777777" w:rsidR="00EA470A" w:rsidRDefault="00EA470A" w:rsidP="00EA470A">
            <w:pPr>
              <w:rPr>
                <w:rFonts w:cs="Arial"/>
                <w:iCs/>
              </w:rPr>
            </w:pPr>
            <w:r w:rsidRPr="00EA470A">
              <w:rPr>
                <w:rFonts w:cs="Arial"/>
                <w:iCs/>
              </w:rPr>
              <w:t>Child 13–17 years (body-weight 34–41.4 kg)</w:t>
            </w:r>
            <w:r>
              <w:rPr>
                <w:rFonts w:cs="Arial"/>
                <w:iCs/>
              </w:rPr>
              <w:t>: 4mg daily</w:t>
            </w:r>
          </w:p>
          <w:p w14:paraId="245F471C" w14:textId="77777777" w:rsidR="00EA470A" w:rsidRDefault="00EA470A" w:rsidP="00EA470A">
            <w:pPr>
              <w:rPr>
                <w:rFonts w:cs="Arial"/>
                <w:iCs/>
              </w:rPr>
            </w:pPr>
            <w:r w:rsidRPr="00EA470A">
              <w:rPr>
                <w:rFonts w:cs="Arial"/>
                <w:iCs/>
              </w:rPr>
              <w:t>Child 13–17 years (body-weight 49.5–58.4 kg)</w:t>
            </w:r>
            <w:r>
              <w:rPr>
                <w:rFonts w:cs="Arial"/>
                <w:iCs/>
              </w:rPr>
              <w:t>: 6mg daily</w:t>
            </w:r>
          </w:p>
          <w:p w14:paraId="7637C720" w14:textId="77777777" w:rsidR="00EA470A" w:rsidRDefault="00EA470A" w:rsidP="00EA470A">
            <w:pPr>
              <w:rPr>
                <w:rFonts w:cs="Arial"/>
                <w:iCs/>
              </w:rPr>
            </w:pPr>
            <w:r w:rsidRPr="00EA470A">
              <w:rPr>
                <w:rFonts w:cs="Arial"/>
                <w:iCs/>
              </w:rPr>
              <w:t>Child 13–17 years (body-weight 58.5 kg and above)</w:t>
            </w:r>
            <w:r>
              <w:rPr>
                <w:rFonts w:cs="Arial"/>
                <w:iCs/>
              </w:rPr>
              <w:t>: 7mg daily</w:t>
            </w:r>
          </w:p>
          <w:p w14:paraId="4AD9B87B" w14:textId="77777777" w:rsidR="00EA470A" w:rsidRDefault="00EA470A" w:rsidP="00451B01">
            <w:pPr>
              <w:rPr>
                <w:rFonts w:cs="Arial"/>
              </w:rPr>
            </w:pPr>
          </w:p>
          <w:p w14:paraId="2B6DD7EF" w14:textId="43143B2C" w:rsidR="00EA470A" w:rsidRDefault="00EA470A" w:rsidP="00451B01">
            <w:pPr>
              <w:rPr>
                <w:rFonts w:cs="Arial"/>
              </w:rPr>
            </w:pPr>
            <w:r>
              <w:rPr>
                <w:rFonts w:cs="Arial"/>
              </w:rPr>
              <w:t>Section 5: Baseline investigations</w:t>
            </w:r>
          </w:p>
          <w:p w14:paraId="02489C73" w14:textId="77777777" w:rsidR="00EA470A" w:rsidRPr="00CB369C" w:rsidRDefault="00EA470A" w:rsidP="00EA470A">
            <w:pPr>
              <w:numPr>
                <w:ilvl w:val="0"/>
                <w:numId w:val="44"/>
              </w:numPr>
            </w:pPr>
            <w:r w:rsidRPr="00CB369C">
              <w:t>Height, weight, and body mass index (BMI)</w:t>
            </w:r>
            <w:r>
              <w:t xml:space="preserve"> - </w:t>
            </w:r>
            <w:r w:rsidRPr="003B4362">
              <w:rPr>
                <w:color w:val="0070C0"/>
              </w:rPr>
              <w:t>recorded on centile chart (not applicable in patients &gt; 18 years)</w:t>
            </w:r>
          </w:p>
          <w:p w14:paraId="36A6A6CB" w14:textId="77777777" w:rsidR="00EA470A" w:rsidRPr="003B4362" w:rsidRDefault="00EA470A" w:rsidP="00EA470A">
            <w:pPr>
              <w:numPr>
                <w:ilvl w:val="0"/>
                <w:numId w:val="44"/>
              </w:numPr>
              <w:rPr>
                <w:color w:val="0070C0"/>
              </w:rPr>
            </w:pPr>
            <w:r w:rsidRPr="00CB369C">
              <w:t>Blood pressure (BP) and heart rate</w:t>
            </w:r>
            <w:r>
              <w:t xml:space="preserve"> - </w:t>
            </w:r>
            <w:r w:rsidRPr="003B4362">
              <w:rPr>
                <w:color w:val="0070C0"/>
              </w:rPr>
              <w:t>recorded on centile chart (not applicable in patients &gt; 18 years)</w:t>
            </w:r>
          </w:p>
          <w:p w14:paraId="4E8292DA" w14:textId="77777777" w:rsidR="00EA470A" w:rsidRDefault="00EA470A" w:rsidP="00451B01">
            <w:pPr>
              <w:rPr>
                <w:rFonts w:cs="Arial"/>
              </w:rPr>
            </w:pPr>
          </w:p>
          <w:p w14:paraId="28586CAD" w14:textId="77777777" w:rsidR="00EA470A" w:rsidRPr="0051526F" w:rsidRDefault="00EA470A" w:rsidP="00EA470A">
            <w:pPr>
              <w:rPr>
                <w:b/>
                <w:bCs/>
                <w:u w:val="single"/>
              </w:rPr>
            </w:pPr>
            <w:r w:rsidRPr="0051526F">
              <w:rPr>
                <w:b/>
                <w:bCs/>
                <w:u w:val="single"/>
              </w:rPr>
              <w:t>Ongoing monitoring:</w:t>
            </w:r>
          </w:p>
          <w:p w14:paraId="634DE2EA" w14:textId="77777777" w:rsidR="00EA470A" w:rsidRPr="00CB369C" w:rsidRDefault="00EA470A" w:rsidP="00EA470A">
            <w:pPr>
              <w:numPr>
                <w:ilvl w:val="0"/>
                <w:numId w:val="44"/>
              </w:numPr>
              <w:rPr>
                <w:rFonts w:cs="Arial"/>
              </w:rPr>
            </w:pPr>
            <w:r w:rsidRPr="00CB369C">
              <w:rPr>
                <w:rFonts w:cs="Arial"/>
              </w:rPr>
              <w:t>Before and after every change of dose: assess heart rate and blood pressure.</w:t>
            </w:r>
            <w:r>
              <w:rPr>
                <w:rFonts w:cs="Arial"/>
              </w:rPr>
              <w:t xml:space="preserve"> </w:t>
            </w:r>
            <w:r w:rsidRPr="003B4362">
              <w:rPr>
                <w:rFonts w:eastAsia="Times New Roman" w:cstheme="minorHAnsi"/>
                <w:iCs/>
                <w:color w:val="0070C0"/>
                <w:lang w:eastAsia="en-GB"/>
              </w:rPr>
              <w:t>For under 18s, record BP, height and weight on centile charts to detect clinically important changes.</w:t>
            </w:r>
          </w:p>
          <w:p w14:paraId="2290CEC0" w14:textId="77777777" w:rsidR="00EA470A" w:rsidRDefault="00EA470A" w:rsidP="00451B01">
            <w:pPr>
              <w:rPr>
                <w:rFonts w:cs="Arial"/>
              </w:rPr>
            </w:pPr>
          </w:p>
          <w:p w14:paraId="1FA40A6C" w14:textId="4E98D446" w:rsidR="00EA470A" w:rsidRDefault="00EA470A" w:rsidP="00451B01">
            <w:pPr>
              <w:rPr>
                <w:rFonts w:cs="Arial"/>
              </w:rPr>
            </w:pPr>
            <w:r>
              <w:rPr>
                <w:rFonts w:cs="Arial"/>
              </w:rPr>
              <w:lastRenderedPageBreak/>
              <w:t>Section 7</w:t>
            </w:r>
          </w:p>
          <w:p w14:paraId="1B3694C9" w14:textId="101C9781" w:rsidR="00EA470A" w:rsidRPr="00EA470A" w:rsidRDefault="00EA470A" w:rsidP="00451B01">
            <w:pPr>
              <w:rPr>
                <w:rFonts w:eastAsia="Times New Roman" w:cs="Arial"/>
                <w:lang w:eastAsia="en-GB"/>
              </w:rPr>
            </w:pPr>
            <w:r w:rsidRPr="00EA470A">
              <w:rPr>
                <w:rFonts w:eastAsia="Times New Roman" w:cs="Arial"/>
                <w:lang w:eastAsia="en-GB"/>
              </w:rPr>
              <w:t>Administration details</w:t>
            </w:r>
          </w:p>
          <w:p w14:paraId="1F491FE3" w14:textId="1BF82F2D" w:rsidR="00EA470A" w:rsidRDefault="00EA470A" w:rsidP="00451B01">
            <w:pPr>
              <w:rPr>
                <w:rFonts w:cs="Arial"/>
              </w:rPr>
            </w:pPr>
            <w:r w:rsidRPr="003B4362">
              <w:rPr>
                <w:rFonts w:eastAsia="Times New Roman" w:cs="Arial"/>
                <w:color w:val="0070C0"/>
                <w:lang w:eastAsia="en-GB"/>
              </w:rPr>
              <w:t>Patients/ carers should be advised not to stop treatment abruptly.</w:t>
            </w:r>
          </w:p>
          <w:p w14:paraId="75371C04" w14:textId="77777777" w:rsidR="00EA470A" w:rsidRDefault="00EA470A" w:rsidP="00451B01">
            <w:pPr>
              <w:rPr>
                <w:rFonts w:cs="Arial"/>
              </w:rPr>
            </w:pPr>
          </w:p>
          <w:p w14:paraId="70E165E6" w14:textId="0072C033" w:rsidR="00EA470A" w:rsidRDefault="00EA470A" w:rsidP="00451B01">
            <w:pPr>
              <w:rPr>
                <w:rFonts w:cs="Arial"/>
              </w:rPr>
            </w:pP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6DC1C964" w:rsidR="005A7119" w:rsidRDefault="005A7119" w:rsidP="005A7119">
            <w:pPr>
              <w:rPr>
                <w:rFonts w:cs="Arial"/>
              </w:rPr>
            </w:pPr>
            <w:r>
              <w:rPr>
                <w:rFonts w:cs="Arial"/>
              </w:rPr>
              <w:t>Approved for use by</w:t>
            </w:r>
            <w:r w:rsidR="008A5BB4">
              <w:rPr>
                <w:rFonts w:cs="Arial"/>
              </w:rPr>
              <w:t xml:space="preserve"> HNY</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03515FE1"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1" w:history="1">
        <w:r w:rsidR="003664E1" w:rsidRPr="007A0759">
          <w:rPr>
            <w:rStyle w:val="Hyperlink"/>
            <w:rFonts w:cs="Arial"/>
            <w:sz w:val="24"/>
            <w:szCs w:val="24"/>
          </w:rPr>
          <w:t>https://rdtc.nhs.uk/prescribing-support-document/shared-care-protocol-guanfacine-in-adults/</w:t>
        </w:r>
      </w:hyperlink>
      <w:r w:rsidR="003664E1">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5A633C">
        <w:rPr>
          <w:rFonts w:cs="Arial"/>
          <w:sz w:val="24"/>
          <w:szCs w:val="24"/>
        </w:rPr>
        <w:t xml:space="preserve">Information requiring local completion is highlighted.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812579" w:rsidRDefault="00F321FC">
      <w:pPr>
        <w:rPr>
          <w:rFonts w:cs="Arial"/>
          <w:b/>
          <w:bCs/>
          <w:sz w:val="24"/>
          <w:szCs w:val="24"/>
        </w:rPr>
      </w:pPr>
      <w:r w:rsidRPr="00812579">
        <w:rPr>
          <w:rFonts w:cs="Arial"/>
          <w:b/>
          <w:bCs/>
          <w:sz w:val="24"/>
          <w:szCs w:val="24"/>
        </w:rPr>
        <w:lastRenderedPageBreak/>
        <w:t>Shared Care Protocol</w:t>
      </w:r>
    </w:p>
    <w:p w14:paraId="0E304D85" w14:textId="3C4F0E07" w:rsidR="00F321FC" w:rsidRPr="00ED7968" w:rsidRDefault="001B5F28" w:rsidP="005228A2">
      <w:pPr>
        <w:pStyle w:val="Heading2"/>
        <w:numPr>
          <w:ilvl w:val="0"/>
          <w:numId w:val="0"/>
        </w:numPr>
        <w:ind w:left="357" w:hanging="357"/>
        <w:rPr>
          <w:sz w:val="24"/>
          <w:szCs w:val="24"/>
        </w:rPr>
      </w:pPr>
      <w:r w:rsidRPr="00ED7968">
        <w:rPr>
          <w:sz w:val="24"/>
          <w:szCs w:val="24"/>
        </w:rPr>
        <w:t>G</w:t>
      </w:r>
      <w:r w:rsidR="00F24C6C">
        <w:rPr>
          <w:sz w:val="24"/>
          <w:szCs w:val="24"/>
        </w:rPr>
        <w:t>uanfacine</w:t>
      </w:r>
      <w:r w:rsidR="00F321FC" w:rsidRPr="00ED7968">
        <w:rPr>
          <w:sz w:val="24"/>
          <w:szCs w:val="24"/>
        </w:rPr>
        <w:t xml:space="preserve"> for patients within </w:t>
      </w:r>
      <w:r w:rsidR="00263667" w:rsidRPr="003B4362">
        <w:rPr>
          <w:color w:val="0070C0"/>
          <w:sz w:val="24"/>
          <w:szCs w:val="24"/>
        </w:rPr>
        <w:t xml:space="preserve">children and </w:t>
      </w:r>
      <w:r w:rsidR="00F321FC" w:rsidRPr="00ED7968">
        <w:rPr>
          <w:sz w:val="24"/>
          <w:szCs w:val="24"/>
        </w:rPr>
        <w:t>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D27732" w:rsidRPr="00F321FC" w14:paraId="3FF50130" w14:textId="77777777" w:rsidTr="0051526F">
        <w:tc>
          <w:tcPr>
            <w:tcW w:w="2199" w:type="dxa"/>
            <w:tcBorders>
              <w:top w:val="single" w:sz="4" w:space="0" w:color="BFBFBF" w:themeColor="background1" w:themeShade="BF"/>
            </w:tcBorders>
          </w:tcPr>
          <w:p w14:paraId="60850D61" w14:textId="74515AEE" w:rsidR="00D27732" w:rsidRPr="00F321FC" w:rsidRDefault="00D27732" w:rsidP="00D27732">
            <w:pPr>
              <w:pStyle w:val="Heading2"/>
              <w:outlineLvl w:val="1"/>
              <w:rPr>
                <w:rFonts w:cs="Arial"/>
              </w:rPr>
            </w:pPr>
            <w:bookmarkStart w:id="2" w:name="_Background"/>
            <w:bookmarkStart w:id="3" w:name="one_background"/>
            <w:bookmarkStart w:id="4" w:name="_Toc149231785"/>
            <w:bookmarkEnd w:id="2"/>
            <w:r w:rsidRPr="00F321FC">
              <w:rPr>
                <w:rFonts w:cs="Arial"/>
              </w:rPr>
              <w:t>Background</w:t>
            </w:r>
            <w:bookmarkEnd w:id="3"/>
            <w:bookmarkEnd w:id="4"/>
          </w:p>
        </w:tc>
        <w:tc>
          <w:tcPr>
            <w:tcW w:w="8262" w:type="dxa"/>
            <w:tcBorders>
              <w:top w:val="single" w:sz="4" w:space="0" w:color="BFBFBF" w:themeColor="background1" w:themeShade="BF"/>
            </w:tcBorders>
          </w:tcPr>
          <w:p w14:paraId="629BC549" w14:textId="70ECB8DC" w:rsidR="00F62DE8" w:rsidRDefault="00D27732" w:rsidP="00B57008">
            <w:pPr>
              <w:rPr>
                <w:rFonts w:cs="Arial"/>
              </w:rPr>
            </w:pPr>
            <w:r w:rsidRPr="004D3546">
              <w:rPr>
                <w:rFonts w:cs="Arial"/>
              </w:rPr>
              <w:t xml:space="preserve">Guanfacine is a </w:t>
            </w:r>
            <w:r w:rsidR="00375F17" w:rsidRPr="004D3546">
              <w:rPr>
                <w:rFonts w:cs="Arial"/>
              </w:rPr>
              <w:t>centrally acting</w:t>
            </w:r>
            <w:r w:rsidRPr="004D3546">
              <w:rPr>
                <w:rFonts w:cs="Arial"/>
              </w:rPr>
              <w:t xml:space="preserve"> </w:t>
            </w:r>
            <w:r w:rsidR="00C268D5">
              <w:rPr>
                <w:rFonts w:cs="Arial"/>
              </w:rPr>
              <w:t>alpha</w:t>
            </w:r>
            <w:r w:rsidR="00C268D5" w:rsidRPr="00B57008">
              <w:rPr>
                <w:rFonts w:cs="Arial"/>
                <w:vertAlign w:val="subscript"/>
              </w:rPr>
              <w:t>2</w:t>
            </w:r>
            <w:r w:rsidR="00C268D5">
              <w:rPr>
                <w:rFonts w:cs="Arial"/>
              </w:rPr>
              <w:t>-</w:t>
            </w:r>
            <w:r w:rsidRPr="004D3546">
              <w:rPr>
                <w:rFonts w:cs="Arial"/>
              </w:rPr>
              <w:t xml:space="preserve">adrenergic </w:t>
            </w:r>
            <w:r w:rsidR="008378E4">
              <w:rPr>
                <w:rFonts w:cs="Arial"/>
              </w:rPr>
              <w:t>agonist</w:t>
            </w:r>
            <w:r w:rsidRPr="004D3546">
              <w:rPr>
                <w:rFonts w:cs="Arial"/>
              </w:rPr>
              <w:t xml:space="preserve"> indicated for the treatment of attention deficit hyperactivity disorder (ADHD) in children and adolescents. Use in adults is off-</w:t>
            </w:r>
            <w:r w:rsidR="000C7A3C" w:rsidRPr="004D3546">
              <w:rPr>
                <w:rFonts w:cs="Arial"/>
              </w:rPr>
              <w:t>label and</w:t>
            </w:r>
            <w:r w:rsidRPr="004D3546">
              <w:rPr>
                <w:rFonts w:cs="Arial"/>
              </w:rPr>
              <w:t xml:space="preserve"> should only be considered on the advice of a tertiary ADHD service. It may be recommended for people who have not responded to one or more stimulants, and one non-stimulant (see </w:t>
            </w:r>
            <w:hyperlink r:id="rId12" w:history="1">
              <w:r w:rsidRPr="00375F17">
                <w:rPr>
                  <w:rStyle w:val="Hyperlink"/>
                  <w:rFonts w:cs="Arial"/>
                </w:rPr>
                <w:t>NG87</w:t>
              </w:r>
            </w:hyperlink>
            <w:r w:rsidRPr="004D3546">
              <w:rPr>
                <w:rFonts w:cs="Arial"/>
              </w:rPr>
              <w:t xml:space="preserve"> </w:t>
            </w:r>
            <w:r w:rsidR="00375F17">
              <w:rPr>
                <w:rFonts w:cs="Arial"/>
              </w:rPr>
              <w:t>ADHD</w:t>
            </w:r>
            <w:r w:rsidRPr="004D3546">
              <w:rPr>
                <w:rFonts w:cs="Arial"/>
              </w:rPr>
              <w:t>: diagnosis and management). NICE recommends that people with ADHD have a comprehensive, holistic shared treatment plan that addresses psychological, behavioural</w:t>
            </w:r>
            <w:r w:rsidR="00BA501C">
              <w:rPr>
                <w:rFonts w:cs="Arial"/>
              </w:rPr>
              <w:t>,</w:t>
            </w:r>
            <w:r w:rsidRPr="004D3546">
              <w:rPr>
                <w:rFonts w:cs="Arial"/>
              </w:rPr>
              <w:t xml:space="preserve"> and occupational or educational needs.</w:t>
            </w:r>
          </w:p>
          <w:p w14:paraId="05A6AB2D" w14:textId="2D229BDE" w:rsidR="0014572E" w:rsidRPr="004D3546" w:rsidRDefault="00D27732" w:rsidP="00B57008">
            <w:pPr>
              <w:rPr>
                <w:rFonts w:cs="Arial"/>
              </w:rPr>
            </w:pPr>
            <w:r w:rsidRPr="004D3546">
              <w:rPr>
                <w:rFonts w:cs="Arial"/>
              </w:rPr>
              <w:t xml:space="preserve">Guanfacine should be used as part of a comprehensive treatment programme, typically including psychological, </w:t>
            </w:r>
            <w:r w:rsidR="001825AE" w:rsidRPr="004D3546">
              <w:rPr>
                <w:rFonts w:cs="Arial"/>
              </w:rPr>
              <w:t>educational,</w:t>
            </w:r>
            <w:r w:rsidRPr="004D3546">
              <w:rPr>
                <w:rFonts w:cs="Arial"/>
              </w:rPr>
              <w:t xml:space="preserve"> and social measures. </w:t>
            </w:r>
          </w:p>
          <w:p w14:paraId="62F2F948" w14:textId="336FC7AD" w:rsidR="0014572E" w:rsidRPr="004D3546" w:rsidRDefault="00D27732" w:rsidP="00B57008">
            <w:pPr>
              <w:rPr>
                <w:rFonts w:cs="Arial"/>
              </w:rPr>
            </w:pPr>
            <w:r w:rsidRPr="004D3546">
              <w:rPr>
                <w:rFonts w:cs="Arial"/>
              </w:rPr>
              <w:t xml:space="preserve">Where a person with ADHD is treated by a Child and Adolescent Mental Health Service (CAMHS) but is approaching their 18th birthday, it is expected that CAMHS will refer to the appropriate adult service if need for ongoing treatment is anticipated. NICE Guidance </w:t>
            </w:r>
            <w:hyperlink r:id="rId13" w:history="1">
              <w:r w:rsidRPr="002B4475">
                <w:rPr>
                  <w:rStyle w:val="Hyperlink"/>
                  <w:rFonts w:cs="Arial"/>
                </w:rPr>
                <w:t>NG43</w:t>
              </w:r>
            </w:hyperlink>
            <w:r w:rsidRPr="004D3546">
              <w:rPr>
                <w:rFonts w:cs="Arial"/>
              </w:rPr>
              <w:t xml:space="preserve"> Transition from children’s to adults’ services for young people using health or social care services should be followed. </w:t>
            </w:r>
          </w:p>
          <w:p w14:paraId="6B5F3EB1" w14:textId="5DC55B75" w:rsidR="00D27732" w:rsidRPr="00B87200" w:rsidRDefault="00D27732" w:rsidP="00F62DE8">
            <w:pPr>
              <w:rPr>
                <w:rFonts w:cs="Arial"/>
              </w:rPr>
            </w:pPr>
            <w:r w:rsidRPr="004D3546">
              <w:rPr>
                <w:rFonts w:cs="Arial"/>
              </w:rPr>
              <w:t>Long-term usefulness of guanfacine for extended periods (over 12 months) should be periodically re-evaluated for the individual patient. Consider trial periods of stopping medication or reducing the dose when assessment of the overall balance of benefits and harms suggests this may be appropriate.</w:t>
            </w:r>
          </w:p>
        </w:tc>
      </w:tr>
      <w:tr w:rsidR="00D27732" w:rsidRPr="00F321FC" w14:paraId="700AF380" w14:textId="77777777" w:rsidTr="0051526F">
        <w:tc>
          <w:tcPr>
            <w:tcW w:w="2199" w:type="dxa"/>
          </w:tcPr>
          <w:p w14:paraId="353B7610" w14:textId="421AD839" w:rsidR="00D27732" w:rsidRPr="00F321FC" w:rsidRDefault="00D27732" w:rsidP="00D27732">
            <w:pPr>
              <w:pStyle w:val="Heading2"/>
              <w:outlineLvl w:val="1"/>
              <w:rPr>
                <w:rFonts w:cs="Arial"/>
              </w:rPr>
            </w:pPr>
            <w:bookmarkStart w:id="5" w:name="two_indications"/>
            <w:bookmarkStart w:id="6" w:name="_Toc149231786"/>
            <w:r w:rsidRPr="00F321FC">
              <w:rPr>
                <w:rFonts w:cs="Arial"/>
              </w:rPr>
              <w:t xml:space="preserve">Licensed </w:t>
            </w:r>
            <w:r>
              <w:rPr>
                <w:rFonts w:cs="Arial"/>
              </w:rPr>
              <w:t xml:space="preserve">and agreed off-label </w:t>
            </w:r>
            <w:r w:rsidRPr="00F321FC">
              <w:rPr>
                <w:rFonts w:cs="Arial"/>
              </w:rPr>
              <w:t>indications</w:t>
            </w:r>
            <w:bookmarkEnd w:id="5"/>
            <w:bookmarkEnd w:id="6"/>
          </w:p>
        </w:tc>
        <w:tc>
          <w:tcPr>
            <w:tcW w:w="8262" w:type="dxa"/>
          </w:tcPr>
          <w:p w14:paraId="2820412F" w14:textId="7CE53DFA" w:rsidR="00D27732" w:rsidRPr="00C73E51" w:rsidRDefault="00D27732" w:rsidP="00C73E51">
            <w:pPr>
              <w:pStyle w:val="ListParagraph"/>
              <w:numPr>
                <w:ilvl w:val="0"/>
                <w:numId w:val="49"/>
              </w:numPr>
              <w:spacing w:before="0" w:after="50" w:line="360" w:lineRule="atLeast"/>
              <w:rPr>
                <w:rFonts w:eastAsia="Times New Roman" w:cs="Arial"/>
                <w:lang w:eastAsia="en-GB"/>
              </w:rPr>
            </w:pPr>
            <w:r w:rsidRPr="00C73E51">
              <w:rPr>
                <w:rFonts w:eastAsia="Times New Roman" w:cs="Arial"/>
                <w:lang w:eastAsia="en-GB"/>
              </w:rPr>
              <w:t>Attention</w:t>
            </w:r>
            <w:r w:rsidR="00990EEA">
              <w:rPr>
                <w:rFonts w:eastAsia="Times New Roman" w:cs="Arial"/>
                <w:lang w:eastAsia="en-GB"/>
              </w:rPr>
              <w:t xml:space="preserve"> </w:t>
            </w:r>
            <w:r w:rsidRPr="00C73E51">
              <w:rPr>
                <w:rFonts w:eastAsia="Times New Roman" w:cs="Arial"/>
                <w:lang w:eastAsia="en-GB"/>
              </w:rPr>
              <w:t>deficit hyperactivity disorder</w:t>
            </w:r>
            <w:r w:rsidR="007E5D61">
              <w:rPr>
                <w:rFonts w:eastAsia="Times New Roman" w:cs="Arial"/>
                <w:lang w:eastAsia="en-GB"/>
              </w:rPr>
              <w:t xml:space="preserve"> in </w:t>
            </w:r>
            <w:r w:rsidR="007E5D61" w:rsidRPr="003B4362">
              <w:rPr>
                <w:rFonts w:eastAsia="Times New Roman" w:cs="Arial"/>
                <w:color w:val="0070C0"/>
                <w:lang w:eastAsia="en-GB"/>
              </w:rPr>
              <w:t>children and adults</w:t>
            </w:r>
            <w:r w:rsidRPr="003B4362">
              <w:rPr>
                <w:rFonts w:eastAsia="Times New Roman" w:cs="Arial"/>
                <w:color w:val="0070C0"/>
                <w:lang w:eastAsia="en-GB"/>
              </w:rPr>
              <w:t xml:space="preserve"> </w:t>
            </w:r>
            <w:r w:rsidRPr="00C73E51">
              <w:rPr>
                <w:rFonts w:eastAsia="Times New Roman" w:cs="Arial"/>
                <w:vertAlign w:val="superscript"/>
                <w:lang w:eastAsia="en-GB"/>
              </w:rPr>
              <w:t>ǂ</w:t>
            </w:r>
          </w:p>
          <w:p w14:paraId="0B7EAD0C" w14:textId="3A9C9A48" w:rsidR="00D27732" w:rsidRDefault="00D27732" w:rsidP="00D27732">
            <w:pPr>
              <w:rPr>
                <w:rFonts w:cs="Arial"/>
              </w:rPr>
            </w:pPr>
            <w:r w:rsidRPr="004D3546">
              <w:rPr>
                <w:rFonts w:eastAsia="Times New Roman" w:cs="Arial"/>
                <w:vertAlign w:val="superscript"/>
                <w:lang w:eastAsia="en-GB"/>
              </w:rPr>
              <w:t>ǂ</w:t>
            </w:r>
            <w:r w:rsidRPr="004D3546">
              <w:rPr>
                <w:rFonts w:eastAsia="Times New Roman" w:cs="Arial"/>
                <w:lang w:eastAsia="en-GB"/>
              </w:rPr>
              <w:t xml:space="preserve"> Off-label indication – not licensed in adults. See </w:t>
            </w:r>
            <w:hyperlink w:anchor="_Background" w:history="1">
              <w:r w:rsidRPr="004D3546">
                <w:rPr>
                  <w:rStyle w:val="Hyperlink"/>
                  <w:rFonts w:eastAsia="Times New Roman" w:cs="Arial"/>
                  <w:lang w:eastAsia="en-GB"/>
                </w:rPr>
                <w:t>section 1</w:t>
              </w:r>
            </w:hyperlink>
            <w:r w:rsidRPr="004D3546">
              <w:rPr>
                <w:rFonts w:eastAsia="Times New Roman" w:cs="Arial"/>
                <w:lang w:eastAsia="en-GB"/>
              </w:rPr>
              <w:t xml:space="preserve"> for circumstances where NICE recommend</w:t>
            </w:r>
            <w:r w:rsidR="00AA3CE9">
              <w:rPr>
                <w:rFonts w:eastAsia="Times New Roman" w:cs="Arial"/>
                <w:lang w:eastAsia="en-GB"/>
              </w:rPr>
              <w:t>s</w:t>
            </w:r>
            <w:r w:rsidRPr="004D3546">
              <w:rPr>
                <w:rFonts w:eastAsia="Times New Roman" w:cs="Arial"/>
                <w:lang w:eastAsia="en-GB"/>
              </w:rPr>
              <w:t xml:space="preserve"> use in adults.</w:t>
            </w:r>
          </w:p>
          <w:p w14:paraId="40010104" w14:textId="77777777" w:rsidR="00D27732" w:rsidRPr="00AF2590" w:rsidRDefault="00D27732" w:rsidP="00BA501C">
            <w:pPr>
              <w:spacing w:before="0" w:after="0"/>
              <w:rPr>
                <w:rFonts w:cs="Arial"/>
              </w:rPr>
            </w:pPr>
          </w:p>
          <w:p w14:paraId="452D25AB" w14:textId="3EC8A803" w:rsidR="00D27732" w:rsidRPr="007A56FB" w:rsidRDefault="000C7A3C" w:rsidP="00D27732">
            <w:pPr>
              <w:rPr>
                <w:rFonts w:cs="Arial"/>
              </w:rPr>
            </w:pPr>
            <w:r w:rsidRPr="00AF2590">
              <w:rPr>
                <w:rFonts w:cs="Arial"/>
              </w:rPr>
              <w:t>This shared care protocol applies to adults</w:t>
            </w:r>
            <w:r>
              <w:rPr>
                <w:rFonts w:cs="Arial"/>
              </w:rPr>
              <w:t xml:space="preserve"> </w:t>
            </w:r>
            <w:r w:rsidRPr="006C0F36">
              <w:rPr>
                <w:rFonts w:cs="Arial"/>
                <w:color w:val="0070C0"/>
              </w:rPr>
              <w:t>and children aged 6 years and over.</w:t>
            </w:r>
          </w:p>
        </w:tc>
      </w:tr>
      <w:tr w:rsidR="00D27732" w:rsidRPr="00F321FC" w14:paraId="36B1B999" w14:textId="77777777" w:rsidTr="0051526F">
        <w:tc>
          <w:tcPr>
            <w:tcW w:w="2199" w:type="dxa"/>
          </w:tcPr>
          <w:p w14:paraId="6F2C624B" w14:textId="515A3B01" w:rsidR="00D27732" w:rsidRPr="00F321FC" w:rsidRDefault="00D27732" w:rsidP="00D27732">
            <w:pPr>
              <w:pStyle w:val="Heading2"/>
              <w:outlineLvl w:val="1"/>
              <w:rPr>
                <w:rFonts w:cs="Arial"/>
              </w:rPr>
            </w:pPr>
            <w:bookmarkStart w:id="7" w:name="three_local_indications"/>
            <w:bookmarkStart w:id="8" w:name="_Toc149231787"/>
            <w:r w:rsidRPr="00F321FC">
              <w:rPr>
                <w:rFonts w:cs="Arial"/>
              </w:rPr>
              <w:t xml:space="preserve">Locally agreed </w:t>
            </w:r>
            <w:r>
              <w:rPr>
                <w:rFonts w:cs="Arial"/>
              </w:rPr>
              <w:t>indications</w:t>
            </w:r>
            <w:bookmarkEnd w:id="7"/>
            <w:bookmarkEnd w:id="8"/>
          </w:p>
        </w:tc>
        <w:tc>
          <w:tcPr>
            <w:tcW w:w="8262" w:type="dxa"/>
          </w:tcPr>
          <w:p w14:paraId="38A39752" w14:textId="77777777" w:rsidR="00D27732" w:rsidRDefault="007E5D61" w:rsidP="00D27732">
            <w:pPr>
              <w:rPr>
                <w:rFonts w:cs="Arial"/>
                <w:color w:val="4472C4" w:themeColor="accent1"/>
              </w:rPr>
            </w:pPr>
            <w:r w:rsidRPr="003B4362">
              <w:rPr>
                <w:rFonts w:cs="Arial"/>
                <w:color w:val="0070C0"/>
              </w:rPr>
              <w:t>For the treatment of ADHD</w:t>
            </w:r>
            <w:r w:rsidR="0092079F" w:rsidRPr="003B4362">
              <w:rPr>
                <w:rFonts w:cs="Arial"/>
                <w:color w:val="0070C0"/>
              </w:rPr>
              <w:t xml:space="preserve"> in children and adolescents</w:t>
            </w:r>
            <w:r w:rsidRPr="003B4362">
              <w:rPr>
                <w:rFonts w:cs="Arial"/>
                <w:color w:val="0070C0"/>
              </w:rPr>
              <w:t xml:space="preserve"> 6</w:t>
            </w:r>
            <w:r w:rsidR="0092079F" w:rsidRPr="003B4362">
              <w:rPr>
                <w:rFonts w:cs="Arial"/>
                <w:color w:val="0070C0"/>
              </w:rPr>
              <w:t>-17yrs for whom stimulants are not suitable, not tolerated or have been shown to be ineffective</w:t>
            </w:r>
            <w:r w:rsidR="00A45A38" w:rsidRPr="003B4362">
              <w:rPr>
                <w:rFonts w:cs="Arial"/>
                <w:color w:val="0070C0"/>
              </w:rPr>
              <w:t xml:space="preserve">. For adults aged 18 years </w:t>
            </w:r>
            <w:r w:rsidR="00A45A38" w:rsidRPr="008A5BB4">
              <w:rPr>
                <w:rFonts w:cs="Arial"/>
                <w:b/>
                <w:bCs/>
                <w:color w:val="4472C4" w:themeColor="accent1"/>
              </w:rPr>
              <w:t xml:space="preserve">who have previously responded to Guanfacine in childhood and transitioned into </w:t>
            </w:r>
            <w:r w:rsidR="000C7A3C" w:rsidRPr="008A5BB4">
              <w:rPr>
                <w:rFonts w:cs="Arial"/>
                <w:b/>
                <w:bCs/>
                <w:color w:val="4472C4" w:themeColor="accent1"/>
              </w:rPr>
              <w:t>adult’s</w:t>
            </w:r>
            <w:r w:rsidR="00A45A38" w:rsidRPr="008A5BB4">
              <w:rPr>
                <w:rFonts w:cs="Arial"/>
                <w:b/>
                <w:bCs/>
                <w:color w:val="4472C4" w:themeColor="accent1"/>
              </w:rPr>
              <w:t xml:space="preserve"> services.</w:t>
            </w:r>
            <w:r w:rsidR="00A45A38" w:rsidRPr="008A5BB4">
              <w:rPr>
                <w:rFonts w:cs="Arial"/>
                <w:color w:val="4472C4" w:themeColor="accent1"/>
              </w:rPr>
              <w:t xml:space="preserve"> </w:t>
            </w:r>
          </w:p>
          <w:p w14:paraId="51AEBE73" w14:textId="77777777" w:rsidR="008A5BB4" w:rsidRDefault="008A5BB4" w:rsidP="00D27732">
            <w:pPr>
              <w:rPr>
                <w:rFonts w:cs="Arial"/>
                <w:b/>
                <w:bCs/>
                <w:color w:val="4472C4" w:themeColor="accent1"/>
              </w:rPr>
            </w:pPr>
          </w:p>
          <w:p w14:paraId="14C3CD90" w14:textId="0FCC5540" w:rsidR="008A5BB4" w:rsidRPr="008A5BB4" w:rsidRDefault="008A5BB4" w:rsidP="00D27732">
            <w:pPr>
              <w:rPr>
                <w:rFonts w:cs="Arial"/>
                <w:b/>
                <w:bCs/>
              </w:rPr>
            </w:pPr>
            <w:r w:rsidRPr="008A5BB4">
              <w:rPr>
                <w:rFonts w:cs="Arial"/>
                <w:b/>
                <w:bCs/>
                <w:color w:val="4472C4" w:themeColor="accent1"/>
              </w:rPr>
              <w:t>Guanfacine remains Red for use adults when it is been considered for initiation in adul</w:t>
            </w:r>
            <w:r w:rsidR="00451B01">
              <w:rPr>
                <w:rFonts w:cs="Arial"/>
                <w:b/>
                <w:bCs/>
                <w:color w:val="4472C4" w:themeColor="accent1"/>
              </w:rPr>
              <w:t>ts.</w:t>
            </w:r>
          </w:p>
        </w:tc>
      </w:tr>
      <w:tr w:rsidR="00D27732" w:rsidRPr="00F321FC" w14:paraId="6823BC14" w14:textId="77777777" w:rsidTr="0051526F">
        <w:tc>
          <w:tcPr>
            <w:tcW w:w="2199" w:type="dxa"/>
          </w:tcPr>
          <w:p w14:paraId="5B29E378" w14:textId="09C1A858" w:rsidR="00D27732" w:rsidRPr="00F321FC" w:rsidRDefault="00D27732" w:rsidP="00D27732">
            <w:pPr>
              <w:pStyle w:val="Heading2"/>
              <w:outlineLvl w:val="1"/>
              <w:rPr>
                <w:rFonts w:cs="Arial"/>
              </w:rPr>
            </w:pPr>
            <w:bookmarkStart w:id="9" w:name="_Initiation_and_ongoing"/>
            <w:bookmarkStart w:id="10" w:name="four_dosing"/>
            <w:bookmarkStart w:id="11" w:name="_Toc149231788"/>
            <w:bookmarkEnd w:id="9"/>
            <w:r w:rsidRPr="00F321FC">
              <w:rPr>
                <w:rFonts w:cs="Arial"/>
              </w:rPr>
              <w:t>Initiation and ongoing dose regime</w:t>
            </w:r>
            <w:bookmarkEnd w:id="10"/>
            <w:bookmarkEnd w:id="11"/>
          </w:p>
        </w:tc>
        <w:tc>
          <w:tcPr>
            <w:tcW w:w="8262" w:type="dxa"/>
          </w:tcPr>
          <w:p w14:paraId="7AB5F9FB" w14:textId="202D728D" w:rsidR="00D27732" w:rsidRPr="00FB404F" w:rsidRDefault="00D27732" w:rsidP="00D27732">
            <w:pPr>
              <w:rPr>
                <w:rFonts w:cs="Arial"/>
              </w:rPr>
            </w:pPr>
            <w:r w:rsidRPr="00FB404F">
              <w:rPr>
                <w:rFonts w:cs="Arial"/>
              </w:rPr>
              <w:t xml:space="preserve">Transfer of monitoring and prescribing to primary care is normally </w:t>
            </w:r>
            <w:r w:rsidRPr="003B4362">
              <w:rPr>
                <w:rFonts w:cs="Arial"/>
              </w:rPr>
              <w:t>after at least</w:t>
            </w:r>
            <w:r w:rsidR="000C7A3C">
              <w:rPr>
                <w:rFonts w:cs="Arial"/>
              </w:rPr>
              <w:t xml:space="preserve"> 12 weeks</w:t>
            </w:r>
            <w:r w:rsidRPr="003B4362">
              <w:rPr>
                <w:rFonts w:cs="Arial"/>
              </w:rPr>
              <w:t>, and</w:t>
            </w:r>
            <w:r w:rsidRPr="00FB404F">
              <w:rPr>
                <w:rFonts w:cs="Arial"/>
              </w:rPr>
              <w:t xml:space="preserve"> when the patient’s dose has been optimised and with satisfactory investigation results</w:t>
            </w:r>
            <w:r w:rsidR="000C7A3C">
              <w:rPr>
                <w:rFonts w:cs="Arial"/>
                <w:color w:val="00B050"/>
              </w:rPr>
              <w:t>.</w:t>
            </w:r>
          </w:p>
          <w:p w14:paraId="3243FEE8" w14:textId="2DB5081E" w:rsidR="00D27732" w:rsidRPr="00FB404F" w:rsidRDefault="00D27732" w:rsidP="00D27732">
            <w:pPr>
              <w:rPr>
                <w:rFonts w:cs="Arial"/>
              </w:rPr>
            </w:pPr>
            <w:r w:rsidRPr="00FB404F">
              <w:rPr>
                <w:rFonts w:cs="Arial"/>
              </w:rPr>
              <w:t xml:space="preserve">The duration of treatment </w:t>
            </w:r>
            <w:r w:rsidR="00BA501C">
              <w:rPr>
                <w:rFonts w:cs="Arial"/>
              </w:rPr>
              <w:t>and</w:t>
            </w:r>
            <w:r w:rsidRPr="00FB404F">
              <w:rPr>
                <w:rFonts w:cs="Arial"/>
              </w:rPr>
              <w:t xml:space="preserve"> frequency of review will be determined by the specialist, based on clinical response and tolerability.</w:t>
            </w:r>
          </w:p>
          <w:p w14:paraId="7596D355" w14:textId="77EFBABC" w:rsidR="00D27732" w:rsidRPr="00FB404F" w:rsidRDefault="00D27732" w:rsidP="00D27732">
            <w:pPr>
              <w:rPr>
                <w:rFonts w:cs="Arial"/>
              </w:rPr>
            </w:pPr>
            <w:r w:rsidRPr="00FB404F">
              <w:rPr>
                <w:rFonts w:cs="Arial"/>
              </w:rPr>
              <w:t>All dose or formulation adjustments will be the responsibility of the specialist unless directions have been discussed and agreed with the primary care clinician.</w:t>
            </w:r>
          </w:p>
          <w:p w14:paraId="78E31A93" w14:textId="0476360E" w:rsidR="00D27732" w:rsidRPr="00FB404F" w:rsidRDefault="00D27732" w:rsidP="00D27732">
            <w:pPr>
              <w:rPr>
                <w:rFonts w:cs="Arial"/>
              </w:rPr>
            </w:pPr>
            <w:r w:rsidRPr="00FB404F">
              <w:rPr>
                <w:rFonts w:cs="Arial"/>
              </w:rPr>
              <w:t>Termination of treatment will be the responsibility of the specialist.</w:t>
            </w:r>
          </w:p>
          <w:p w14:paraId="7FAC74DC" w14:textId="77777777" w:rsidR="00D27732" w:rsidRPr="00FB404F" w:rsidRDefault="00D27732" w:rsidP="00D27732">
            <w:pPr>
              <w:rPr>
                <w:rFonts w:cs="Arial"/>
              </w:rPr>
            </w:pPr>
          </w:p>
          <w:p w14:paraId="6555FAD1" w14:textId="2C9BA274" w:rsidR="00D27732" w:rsidRPr="0051526F" w:rsidRDefault="00D27732" w:rsidP="00D27732">
            <w:pPr>
              <w:rPr>
                <w:b/>
                <w:bCs/>
                <w:u w:val="single"/>
              </w:rPr>
            </w:pPr>
            <w:r w:rsidRPr="0051526F">
              <w:rPr>
                <w:b/>
                <w:bCs/>
                <w:u w:val="single"/>
              </w:rPr>
              <w:t xml:space="preserve">Initial stabilisation: </w:t>
            </w:r>
          </w:p>
          <w:p w14:paraId="31F49BF3" w14:textId="3F499D5C" w:rsidR="00CB369C" w:rsidRPr="004D3546" w:rsidRDefault="00CB369C" w:rsidP="00CB369C">
            <w:pPr>
              <w:rPr>
                <w:rFonts w:cs="Arial"/>
                <w:iCs/>
              </w:rPr>
            </w:pPr>
            <w:r w:rsidRPr="004D3546">
              <w:rPr>
                <w:rFonts w:cs="Arial"/>
                <w:iCs/>
              </w:rPr>
              <w:t>1mg once daily, adjusted in increments of not more than 1mg every week, if necessary and tolerated.</w:t>
            </w:r>
          </w:p>
          <w:p w14:paraId="2229E9DD" w14:textId="02F8E367" w:rsidR="00D27732" w:rsidRPr="00946787" w:rsidRDefault="00D27732" w:rsidP="00D27732">
            <w:pPr>
              <w:rPr>
                <w:rFonts w:cs="Arial"/>
              </w:rPr>
            </w:pPr>
          </w:p>
          <w:p w14:paraId="46BB63EB" w14:textId="3CFD7F9A" w:rsidR="00D27732" w:rsidRPr="00946787" w:rsidRDefault="00D27732" w:rsidP="00D27732">
            <w:pPr>
              <w:rPr>
                <w:rFonts w:cs="Arial"/>
                <w:b/>
                <w:bCs/>
              </w:rPr>
            </w:pPr>
            <w:r w:rsidRPr="00946787">
              <w:rPr>
                <w:rFonts w:cs="Arial"/>
                <w:b/>
                <w:bCs/>
              </w:rPr>
              <w:t>The loading period must be prescribed by the initiating specialist.</w:t>
            </w:r>
          </w:p>
          <w:p w14:paraId="1FBF66C2" w14:textId="77777777" w:rsidR="00D27732" w:rsidRDefault="00D27732" w:rsidP="00D27732">
            <w:pPr>
              <w:rPr>
                <w:b/>
                <w:bCs/>
                <w:u w:val="single"/>
              </w:rPr>
            </w:pPr>
          </w:p>
          <w:p w14:paraId="2F92A165" w14:textId="47BFAF93" w:rsidR="00D27732" w:rsidRPr="0051526F" w:rsidRDefault="00D27732" w:rsidP="00D27732">
            <w:pPr>
              <w:rPr>
                <w:b/>
                <w:bCs/>
                <w:u w:val="single"/>
              </w:rPr>
            </w:pPr>
            <w:r w:rsidRPr="0051526F">
              <w:rPr>
                <w:b/>
                <w:bCs/>
                <w:u w:val="single"/>
              </w:rPr>
              <w:t>Maintenance dose (following initial stabilisation):</w:t>
            </w:r>
          </w:p>
          <w:p w14:paraId="0FB5F18B" w14:textId="246BD877" w:rsidR="00EA470A" w:rsidRDefault="00CB369C" w:rsidP="00D27732">
            <w:pPr>
              <w:rPr>
                <w:rFonts w:cs="Arial"/>
                <w:iCs/>
              </w:rPr>
            </w:pPr>
            <w:r w:rsidRPr="004D3546">
              <w:rPr>
                <w:rFonts w:cs="Arial"/>
                <w:iCs/>
              </w:rPr>
              <w:t>0.05-0.12 mg/kg/day.</w:t>
            </w:r>
            <w:r w:rsidR="00EA470A">
              <w:rPr>
                <w:rFonts w:cs="Arial"/>
                <w:iCs/>
              </w:rPr>
              <w:t xml:space="preserve"> Maximum daily dose up to 7mg daily.</w:t>
            </w:r>
          </w:p>
          <w:p w14:paraId="6BBE0E2A" w14:textId="449B2030" w:rsidR="00CB369C" w:rsidRDefault="00CB369C" w:rsidP="00D27732">
            <w:pPr>
              <w:rPr>
                <w:rFonts w:cs="Arial"/>
                <w:iCs/>
              </w:rPr>
            </w:pPr>
            <w:r w:rsidRPr="004D3546">
              <w:rPr>
                <w:rFonts w:cs="Arial"/>
                <w:iCs/>
              </w:rPr>
              <w:t>Maximum dose</w:t>
            </w:r>
            <w:r w:rsidR="00EA470A">
              <w:rPr>
                <w:rFonts w:cs="Arial"/>
                <w:iCs/>
              </w:rPr>
              <w:t xml:space="preserve">: </w:t>
            </w:r>
          </w:p>
          <w:p w14:paraId="2C328ABB" w14:textId="3B2E39A7" w:rsidR="005A3C86" w:rsidRDefault="00EA470A" w:rsidP="00D27732">
            <w:pPr>
              <w:rPr>
                <w:rFonts w:cs="Arial"/>
                <w:iCs/>
              </w:rPr>
            </w:pPr>
            <w:r w:rsidRPr="00EA470A">
              <w:rPr>
                <w:rFonts w:cs="Arial"/>
                <w:iCs/>
              </w:rPr>
              <w:t>Child 6–12 years (body-weight 25 kg and above)</w:t>
            </w:r>
            <w:r>
              <w:rPr>
                <w:rFonts w:cs="Arial"/>
                <w:iCs/>
              </w:rPr>
              <w:t>: 4mg daily</w:t>
            </w:r>
          </w:p>
          <w:p w14:paraId="34743A0E" w14:textId="65706338" w:rsidR="00EA470A" w:rsidRDefault="00EA470A" w:rsidP="00D27732">
            <w:pPr>
              <w:rPr>
                <w:rFonts w:cs="Arial"/>
                <w:iCs/>
              </w:rPr>
            </w:pPr>
            <w:r w:rsidRPr="00EA470A">
              <w:rPr>
                <w:rFonts w:cs="Arial"/>
                <w:iCs/>
              </w:rPr>
              <w:t>Child 13–17 years (body-weight 34–41.4 kg)</w:t>
            </w:r>
            <w:r>
              <w:rPr>
                <w:rFonts w:cs="Arial"/>
                <w:iCs/>
              </w:rPr>
              <w:t>: 4mg daily</w:t>
            </w:r>
          </w:p>
          <w:p w14:paraId="155F71B9" w14:textId="33C215D6" w:rsidR="00EA470A" w:rsidRDefault="00EA470A" w:rsidP="00D27732">
            <w:pPr>
              <w:rPr>
                <w:rFonts w:cs="Arial"/>
                <w:iCs/>
              </w:rPr>
            </w:pPr>
            <w:r w:rsidRPr="00EA470A">
              <w:rPr>
                <w:rFonts w:cs="Arial"/>
                <w:iCs/>
              </w:rPr>
              <w:t>Child 13–17 years (body-weight 49.5–58.4 kg)</w:t>
            </w:r>
            <w:r>
              <w:rPr>
                <w:rFonts w:cs="Arial"/>
                <w:iCs/>
              </w:rPr>
              <w:t>: 6mg daily</w:t>
            </w:r>
          </w:p>
          <w:p w14:paraId="3E36F66C" w14:textId="413222C9" w:rsidR="00EA470A" w:rsidRDefault="00EA470A" w:rsidP="00D27732">
            <w:pPr>
              <w:rPr>
                <w:rFonts w:cs="Arial"/>
                <w:iCs/>
              </w:rPr>
            </w:pPr>
            <w:r w:rsidRPr="00EA470A">
              <w:rPr>
                <w:rFonts w:cs="Arial"/>
                <w:iCs/>
              </w:rPr>
              <w:t>Child 13–17 years (body-weight 58.5 kg and above)</w:t>
            </w:r>
            <w:r>
              <w:rPr>
                <w:rFonts w:cs="Arial"/>
                <w:iCs/>
              </w:rPr>
              <w:t>: 7mg daily</w:t>
            </w:r>
          </w:p>
          <w:p w14:paraId="03409F85" w14:textId="77777777" w:rsidR="005A3C86" w:rsidRDefault="005A3C86" w:rsidP="00D27732">
            <w:pPr>
              <w:rPr>
                <w:rFonts w:cs="Arial"/>
                <w:iCs/>
              </w:rPr>
            </w:pPr>
          </w:p>
          <w:p w14:paraId="73109804" w14:textId="421CF3B4" w:rsidR="00CB369C" w:rsidRPr="00CB369C" w:rsidRDefault="00CB369C" w:rsidP="00D27732">
            <w:pPr>
              <w:rPr>
                <w:rFonts w:cs="Arial"/>
                <w:iCs/>
              </w:rPr>
            </w:pPr>
            <w:r w:rsidRPr="004D3546">
              <w:rPr>
                <w:rFonts w:cs="Arial"/>
                <w:iCs/>
              </w:rPr>
              <w:t xml:space="preserve"> </w:t>
            </w:r>
          </w:p>
          <w:p w14:paraId="7AA3AEC4" w14:textId="47884F34" w:rsidR="00D27732" w:rsidRPr="001A51F3" w:rsidRDefault="00D27732" w:rsidP="00D27732">
            <w:pPr>
              <w:rPr>
                <w:rFonts w:cs="Arial"/>
                <w:b/>
                <w:bCs/>
              </w:rPr>
            </w:pPr>
            <w:r w:rsidRPr="001A51F3">
              <w:rPr>
                <w:rFonts w:cs="Arial"/>
                <w:b/>
                <w:bCs/>
              </w:rPr>
              <w:t>The initial maintenance dose must be prescribed by the initiating specialist.</w:t>
            </w:r>
          </w:p>
          <w:p w14:paraId="12BD8882" w14:textId="77777777" w:rsidR="00CB369C" w:rsidRDefault="00CB369C" w:rsidP="00D27732">
            <w:pPr>
              <w:rPr>
                <w:rFonts w:cs="Arial"/>
              </w:rPr>
            </w:pPr>
          </w:p>
          <w:p w14:paraId="6BA7644C" w14:textId="66D19E94" w:rsidR="00D27732" w:rsidRDefault="00CB369C" w:rsidP="00D27732">
            <w:pPr>
              <w:rPr>
                <w:rFonts w:cs="Arial"/>
              </w:rPr>
            </w:pPr>
            <w:r w:rsidRPr="00CB369C">
              <w:rPr>
                <w:rFonts w:cs="Arial"/>
              </w:rPr>
              <w:t>Adults who have shown clear benefit from guanfacine in childhood or adolescence may continue treatment into adulthood at the same daily dose.</w:t>
            </w:r>
          </w:p>
          <w:p w14:paraId="58DE8952" w14:textId="77777777" w:rsidR="00CB369C" w:rsidRPr="00FB404F" w:rsidRDefault="00CB369C" w:rsidP="00D27732">
            <w:pPr>
              <w:rPr>
                <w:rFonts w:cs="Arial"/>
              </w:rPr>
            </w:pPr>
          </w:p>
          <w:p w14:paraId="35304426" w14:textId="5CF2C7C6" w:rsidR="00D27732" w:rsidRPr="00FB404F" w:rsidRDefault="00D27732" w:rsidP="00D27732">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3EB05BD0" w14:textId="283280F5" w:rsidR="00CB369C" w:rsidRPr="00CB369C" w:rsidRDefault="00CB369C" w:rsidP="00CB369C">
            <w:pPr>
              <w:rPr>
                <w:rFonts w:cs="Arial"/>
                <w:u w:val="single"/>
              </w:rPr>
            </w:pPr>
            <w:r w:rsidRPr="00CB369C">
              <w:rPr>
                <w:rFonts w:cs="Arial"/>
                <w:u w:val="single"/>
              </w:rPr>
              <w:t>Hepatic or renal insufficiency</w:t>
            </w:r>
            <w:r w:rsidRPr="00CB369C">
              <w:rPr>
                <w:rFonts w:cs="Arial"/>
              </w:rPr>
              <w:t>:</w:t>
            </w:r>
            <w:r w:rsidRPr="00CB369C">
              <w:rPr>
                <w:rFonts w:cs="Arial"/>
                <w:u w:val="single"/>
              </w:rPr>
              <w:t xml:space="preserve"> </w:t>
            </w:r>
          </w:p>
          <w:p w14:paraId="0EBF2377" w14:textId="77777777" w:rsidR="00CB369C" w:rsidRDefault="00CB369C" w:rsidP="00CB369C">
            <w:pPr>
              <w:rPr>
                <w:rFonts w:cs="Arial"/>
              </w:rPr>
            </w:pPr>
            <w:r w:rsidRPr="00CB369C">
              <w:rPr>
                <w:rFonts w:cs="Arial"/>
              </w:rPr>
              <w:t xml:space="preserve">Dose reduction may be required in patients with hepatic impairment, severe renal impairment (GFR 29-15 mL/min), end stage renal disease (GFR &lt;15 mL/min) or in patients requiring dialysis. </w:t>
            </w:r>
          </w:p>
          <w:p w14:paraId="2DDD955A" w14:textId="77777777" w:rsidR="00CB369C" w:rsidRPr="00CB369C" w:rsidRDefault="00CB369C" w:rsidP="00CB369C">
            <w:pPr>
              <w:rPr>
                <w:rFonts w:cs="Arial"/>
              </w:rPr>
            </w:pPr>
          </w:p>
          <w:p w14:paraId="55C04B18" w14:textId="4D6197C4" w:rsidR="00CB369C" w:rsidRPr="00CB369C" w:rsidRDefault="00CB369C" w:rsidP="00CB369C">
            <w:pPr>
              <w:rPr>
                <w:rFonts w:cs="Arial"/>
              </w:rPr>
            </w:pPr>
            <w:r w:rsidRPr="00CB369C">
              <w:rPr>
                <w:rFonts w:cs="Arial"/>
                <w:u w:val="single"/>
              </w:rPr>
              <w:t xml:space="preserve">Patients taking </w:t>
            </w:r>
            <w:r w:rsidR="00C268D5">
              <w:rPr>
                <w:rFonts w:cs="Arial"/>
                <w:u w:val="single"/>
              </w:rPr>
              <w:t xml:space="preserve">moderate or strong </w:t>
            </w:r>
            <w:r w:rsidRPr="00CB369C">
              <w:rPr>
                <w:rFonts w:cs="Arial"/>
                <w:u w:val="single"/>
              </w:rPr>
              <w:t>CYP3A</w:t>
            </w:r>
            <w:r w:rsidR="00FE24F1">
              <w:rPr>
                <w:rFonts w:cs="Arial"/>
                <w:u w:val="single"/>
              </w:rPr>
              <w:t>4</w:t>
            </w:r>
            <w:r w:rsidR="00CE5010">
              <w:rPr>
                <w:rFonts w:cs="Arial"/>
                <w:u w:val="single"/>
              </w:rPr>
              <w:t xml:space="preserve"> and CYP3A5</w:t>
            </w:r>
            <w:r w:rsidRPr="00CB369C">
              <w:rPr>
                <w:rFonts w:cs="Arial"/>
                <w:u w:val="single"/>
              </w:rPr>
              <w:t xml:space="preserve"> inhibitors</w:t>
            </w:r>
            <w:r w:rsidRPr="00CB369C">
              <w:rPr>
                <w:rFonts w:cs="Arial"/>
              </w:rPr>
              <w:t xml:space="preserve">: </w:t>
            </w:r>
          </w:p>
          <w:p w14:paraId="65FB4ED6" w14:textId="239EBCC8" w:rsidR="00D27732" w:rsidRDefault="00CB369C" w:rsidP="00CB369C">
            <w:pPr>
              <w:rPr>
                <w:rFonts w:cs="Arial"/>
              </w:rPr>
            </w:pPr>
            <w:r w:rsidRPr="00CB369C">
              <w:rPr>
                <w:rFonts w:cs="Arial"/>
              </w:rPr>
              <w:t>A 50% reduction in guanfacine dose is recommended, and further dose titration may be required</w:t>
            </w:r>
            <w:r w:rsidR="00CE5010">
              <w:rPr>
                <w:rFonts w:cs="Arial"/>
              </w:rPr>
              <w:t xml:space="preserve"> (s</w:t>
            </w:r>
            <w:r w:rsidR="00C23216">
              <w:rPr>
                <w:rFonts w:cs="Arial"/>
              </w:rPr>
              <w:t xml:space="preserve">ee </w:t>
            </w:r>
            <w:hyperlink w:anchor="_Significant_drug_interactions" w:history="1">
              <w:r w:rsidR="00C23216" w:rsidRPr="00C23216">
                <w:rPr>
                  <w:rStyle w:val="Hyperlink"/>
                  <w:rFonts w:cs="Arial"/>
                </w:rPr>
                <w:t>section 9</w:t>
              </w:r>
            </w:hyperlink>
            <w:r w:rsidR="00CE5010">
              <w:rPr>
                <w:rFonts w:cs="Arial"/>
              </w:rPr>
              <w:t>)</w:t>
            </w:r>
            <w:r w:rsidR="00C23216">
              <w:rPr>
                <w:rFonts w:cs="Arial"/>
              </w:rPr>
              <w:t>.</w:t>
            </w:r>
          </w:p>
          <w:p w14:paraId="4477785F" w14:textId="77777777" w:rsidR="00421D96" w:rsidRDefault="00421D96" w:rsidP="00CB369C">
            <w:pPr>
              <w:rPr>
                <w:rFonts w:cs="Arial"/>
              </w:rPr>
            </w:pPr>
          </w:p>
          <w:p w14:paraId="36506337" w14:textId="77777777" w:rsidR="00C268D5" w:rsidRDefault="00C268D5" w:rsidP="00CB369C">
            <w:pPr>
              <w:rPr>
                <w:rFonts w:cs="Arial"/>
              </w:rPr>
            </w:pPr>
            <w:r w:rsidRPr="0018504F">
              <w:rPr>
                <w:rFonts w:cs="Arial"/>
                <w:u w:val="single"/>
              </w:rPr>
              <w:t>Patients taking strong CYP3A4 inducers</w:t>
            </w:r>
            <w:r>
              <w:rPr>
                <w:rFonts w:cs="Arial"/>
              </w:rPr>
              <w:t>:</w:t>
            </w:r>
          </w:p>
          <w:p w14:paraId="710857F8" w14:textId="6F3EC265" w:rsidR="00C268D5" w:rsidRPr="00FB404F" w:rsidRDefault="00421D96" w:rsidP="00CB369C">
            <w:pPr>
              <w:rPr>
                <w:rFonts w:cs="Arial"/>
              </w:rPr>
            </w:pPr>
            <w:r>
              <w:rPr>
                <w:rFonts w:cs="Arial"/>
              </w:rPr>
              <w:t>An increase in guanfacine dose may be required</w:t>
            </w:r>
            <w:r w:rsidR="00CE5010">
              <w:rPr>
                <w:rFonts w:cs="Arial"/>
              </w:rPr>
              <w:t xml:space="preserve"> (s</w:t>
            </w:r>
            <w:r>
              <w:rPr>
                <w:rFonts w:cs="Arial"/>
              </w:rPr>
              <w:t xml:space="preserve">ee </w:t>
            </w:r>
            <w:hyperlink w:anchor="_Significant_drug_interactions" w:history="1">
              <w:r w:rsidRPr="00421D96">
                <w:rPr>
                  <w:rStyle w:val="Hyperlink"/>
                  <w:rFonts w:cs="Arial"/>
                </w:rPr>
                <w:t>section 9</w:t>
              </w:r>
            </w:hyperlink>
            <w:r w:rsidR="00CE5010">
              <w:rPr>
                <w:rFonts w:cs="Arial"/>
              </w:rPr>
              <w:t>)</w:t>
            </w:r>
            <w:r>
              <w:rPr>
                <w:rFonts w:cs="Arial"/>
              </w:rPr>
              <w:t>.</w:t>
            </w:r>
          </w:p>
        </w:tc>
      </w:tr>
      <w:tr w:rsidR="00D27732" w:rsidRPr="00F321FC" w14:paraId="68FCED24" w14:textId="77777777" w:rsidTr="0051526F">
        <w:tc>
          <w:tcPr>
            <w:tcW w:w="2199" w:type="dxa"/>
          </w:tcPr>
          <w:p w14:paraId="3DF33630" w14:textId="4E2865B1" w:rsidR="00D27732" w:rsidRPr="00F321FC" w:rsidRDefault="00D27732" w:rsidP="00D27732">
            <w:pPr>
              <w:pStyle w:val="Heading2"/>
              <w:outlineLvl w:val="1"/>
              <w:rPr>
                <w:rFonts w:cs="Arial"/>
              </w:rPr>
            </w:pPr>
            <w:bookmarkStart w:id="12" w:name="five_initial_monitoring"/>
            <w:bookmarkStart w:id="13"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12"/>
            <w:bookmarkEnd w:id="13"/>
          </w:p>
        </w:tc>
        <w:tc>
          <w:tcPr>
            <w:tcW w:w="8262" w:type="dxa"/>
          </w:tcPr>
          <w:p w14:paraId="0226882F" w14:textId="432B5CFF" w:rsidR="00D27732" w:rsidRDefault="00D27732" w:rsidP="00D27732">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3E25A637" w14:textId="77777777" w:rsidR="00D27732" w:rsidRPr="00FB404F" w:rsidRDefault="00D27732" w:rsidP="00D27732">
            <w:pPr>
              <w:rPr>
                <w:lang w:eastAsia="en-GB"/>
              </w:rPr>
            </w:pPr>
          </w:p>
          <w:p w14:paraId="706B6366" w14:textId="77777777" w:rsidR="00D27732" w:rsidRPr="0051526F" w:rsidRDefault="00D27732" w:rsidP="00D27732">
            <w:pPr>
              <w:rPr>
                <w:b/>
                <w:bCs/>
                <w:u w:val="single"/>
              </w:rPr>
            </w:pPr>
            <w:r w:rsidRPr="0051526F">
              <w:rPr>
                <w:b/>
                <w:bCs/>
                <w:u w:val="single"/>
              </w:rPr>
              <w:t>Baseline investigations:</w:t>
            </w:r>
          </w:p>
          <w:p w14:paraId="5653AF75" w14:textId="0C727DB5" w:rsidR="004823F5" w:rsidRPr="00CB369C" w:rsidRDefault="00CB369C" w:rsidP="00914A70">
            <w:pPr>
              <w:numPr>
                <w:ilvl w:val="0"/>
                <w:numId w:val="44"/>
              </w:numPr>
            </w:pPr>
            <w:bookmarkStart w:id="14" w:name="_Hlk164772683"/>
            <w:r w:rsidRPr="00CB369C">
              <w:t xml:space="preserve">A full assessment, as recommended by </w:t>
            </w:r>
            <w:bookmarkStart w:id="15" w:name="_Hlk164772669"/>
            <w:r w:rsidR="00715459">
              <w:fldChar w:fldCharType="begin"/>
            </w:r>
            <w:r w:rsidR="00715459">
              <w:instrText>HYPERLINK "https://www.nice.org.uk/guidance/ng87/chapter/Recommendations" \l "medication"</w:instrText>
            </w:r>
            <w:r w:rsidR="00715459">
              <w:fldChar w:fldCharType="separate"/>
            </w:r>
            <w:r w:rsidRPr="00CB369C">
              <w:rPr>
                <w:rStyle w:val="Hyperlink"/>
              </w:rPr>
              <w:t>NICE guidance for ADHD</w:t>
            </w:r>
            <w:r w:rsidR="00715459">
              <w:rPr>
                <w:rStyle w:val="Hyperlink"/>
              </w:rPr>
              <w:fldChar w:fldCharType="end"/>
            </w:r>
            <w:bookmarkEnd w:id="15"/>
            <w:r w:rsidRPr="00CB369C">
              <w:t xml:space="preserve">. This should </w:t>
            </w:r>
            <w:r w:rsidR="00FE24F1">
              <w:t xml:space="preserve">ensure that the patient </w:t>
            </w:r>
            <w:r w:rsidR="00FE24F1" w:rsidRPr="00FE24F1">
              <w:t xml:space="preserve">meets the criteria for ADHD and that pharmacological treatment is required. The assessment should also </w:t>
            </w:r>
            <w:r w:rsidRPr="00CB369C">
              <w:t xml:space="preserve">include a medical history and cardiovascular assessment, </w:t>
            </w:r>
            <w:r w:rsidR="000C7A3C" w:rsidRPr="003B4362">
              <w:rPr>
                <w:color w:val="0070C0"/>
              </w:rPr>
              <w:t>considering</w:t>
            </w:r>
            <w:r w:rsidRPr="00CB369C">
              <w:t xml:space="preserve"> conditions that may be contraindications for guanfacine</w:t>
            </w:r>
            <w:r w:rsidR="00FE24F1">
              <w:t>.</w:t>
            </w:r>
          </w:p>
          <w:bookmarkEnd w:id="14"/>
          <w:p w14:paraId="3F68C0E8" w14:textId="5356B1F6" w:rsidR="00CB369C" w:rsidRPr="00CB369C" w:rsidRDefault="00CB369C" w:rsidP="00CB369C">
            <w:pPr>
              <w:numPr>
                <w:ilvl w:val="0"/>
                <w:numId w:val="44"/>
              </w:numPr>
            </w:pPr>
            <w:r w:rsidRPr="00CB369C">
              <w:t>Height, weight, and body mass index (BMI)</w:t>
            </w:r>
            <w:r w:rsidR="00F231EB">
              <w:t xml:space="preserve"> - </w:t>
            </w:r>
            <w:r w:rsidR="00F231EB" w:rsidRPr="003B4362">
              <w:rPr>
                <w:color w:val="0070C0"/>
              </w:rPr>
              <w:t>recorded on centile chart (not applicable in patients &gt; 18 years)</w:t>
            </w:r>
          </w:p>
          <w:p w14:paraId="30BD5C66" w14:textId="6F24B1EA" w:rsidR="00CB369C" w:rsidRPr="003B4362" w:rsidRDefault="00CB369C" w:rsidP="00CB369C">
            <w:pPr>
              <w:numPr>
                <w:ilvl w:val="0"/>
                <w:numId w:val="44"/>
              </w:numPr>
              <w:rPr>
                <w:color w:val="0070C0"/>
              </w:rPr>
            </w:pPr>
            <w:r w:rsidRPr="00CB369C">
              <w:t>Blood pressure (BP) and heart rate</w:t>
            </w:r>
            <w:r w:rsidR="00F231EB">
              <w:t xml:space="preserve"> - </w:t>
            </w:r>
            <w:r w:rsidR="00F231EB" w:rsidRPr="003B4362">
              <w:rPr>
                <w:color w:val="0070C0"/>
              </w:rPr>
              <w:t>recorded on centile chart (not applicable in patients &gt; 18 years)</w:t>
            </w:r>
          </w:p>
          <w:p w14:paraId="6B8E7FE8" w14:textId="77777777" w:rsidR="00CB369C" w:rsidRPr="00CB369C" w:rsidRDefault="00CB369C" w:rsidP="00CB369C">
            <w:pPr>
              <w:numPr>
                <w:ilvl w:val="0"/>
                <w:numId w:val="44"/>
              </w:numPr>
            </w:pPr>
            <w:r w:rsidRPr="00CB369C">
              <w:t>Electrocardiogram (ECG) and cardiology opinion are recommended if the patient has any of the following:</w:t>
            </w:r>
          </w:p>
          <w:p w14:paraId="54CDD2BA" w14:textId="77777777" w:rsidR="00CB369C" w:rsidRPr="00CB369C" w:rsidRDefault="00CB369C" w:rsidP="00CB369C">
            <w:pPr>
              <w:numPr>
                <w:ilvl w:val="1"/>
                <w:numId w:val="44"/>
              </w:numPr>
            </w:pPr>
            <w:r w:rsidRPr="00CB369C">
              <w:t>history of congenital heart disease or previous cardiac surgery</w:t>
            </w:r>
          </w:p>
          <w:p w14:paraId="771A15B0" w14:textId="77777777" w:rsidR="00CB369C" w:rsidRPr="00CB369C" w:rsidRDefault="00CB369C" w:rsidP="00CB369C">
            <w:pPr>
              <w:numPr>
                <w:ilvl w:val="1"/>
                <w:numId w:val="44"/>
              </w:numPr>
            </w:pPr>
            <w:r w:rsidRPr="00CB369C">
              <w:lastRenderedPageBreak/>
              <w:t>sudden death in a first-degree relative under 40 years suggesting a cardiac disease</w:t>
            </w:r>
          </w:p>
          <w:p w14:paraId="3EBF0543" w14:textId="77777777" w:rsidR="00CB369C" w:rsidRPr="00CB369C" w:rsidRDefault="00CB369C" w:rsidP="00CB369C">
            <w:pPr>
              <w:numPr>
                <w:ilvl w:val="1"/>
                <w:numId w:val="44"/>
              </w:numPr>
            </w:pPr>
            <w:r w:rsidRPr="00CB369C">
              <w:t>shortness of breath on exertion compared with peers</w:t>
            </w:r>
          </w:p>
          <w:p w14:paraId="2020C034" w14:textId="32E1BADD" w:rsidR="00DD0BA5" w:rsidRDefault="00CB369C" w:rsidP="00CB369C">
            <w:pPr>
              <w:numPr>
                <w:ilvl w:val="1"/>
                <w:numId w:val="44"/>
              </w:numPr>
            </w:pPr>
            <w:r w:rsidRPr="00CB369C">
              <w:t xml:space="preserve">fainting on exertion or in response to fright or noise </w:t>
            </w:r>
          </w:p>
          <w:p w14:paraId="4139ACCA" w14:textId="226906BB" w:rsidR="00CB369C" w:rsidRPr="00CB369C" w:rsidRDefault="00CB369C" w:rsidP="00CB369C">
            <w:pPr>
              <w:numPr>
                <w:ilvl w:val="1"/>
                <w:numId w:val="44"/>
              </w:numPr>
            </w:pPr>
            <w:r w:rsidRPr="00CB369C">
              <w:t>palpitations</w:t>
            </w:r>
            <w:r w:rsidR="00DD0BA5">
              <w:t xml:space="preserve"> that are rapid, regular</w:t>
            </w:r>
            <w:r w:rsidR="00CE5010">
              <w:t>,</w:t>
            </w:r>
            <w:r w:rsidR="00DD0BA5">
              <w:t xml:space="preserve"> and start and stop suddenly</w:t>
            </w:r>
          </w:p>
          <w:p w14:paraId="5CA685DE" w14:textId="77777777" w:rsidR="00CB369C" w:rsidRPr="00CB369C" w:rsidRDefault="00CB369C" w:rsidP="00CB369C">
            <w:pPr>
              <w:numPr>
                <w:ilvl w:val="1"/>
                <w:numId w:val="44"/>
              </w:numPr>
            </w:pPr>
            <w:r w:rsidRPr="00CB369C">
              <w:t>chest pain suggestive of cardiac origin</w:t>
            </w:r>
          </w:p>
          <w:p w14:paraId="7B6A703C" w14:textId="77777777" w:rsidR="00CB369C" w:rsidRPr="00CB369C" w:rsidRDefault="00CB369C" w:rsidP="00CB369C">
            <w:pPr>
              <w:numPr>
                <w:ilvl w:val="1"/>
                <w:numId w:val="44"/>
              </w:numPr>
            </w:pPr>
            <w:r w:rsidRPr="00CB369C">
              <w:t>signs of heart failure, heart murmur or hypertension</w:t>
            </w:r>
          </w:p>
          <w:p w14:paraId="1B12F5F9" w14:textId="01D124BF" w:rsidR="00D27732" w:rsidRDefault="00CB369C" w:rsidP="00D27732">
            <w:pPr>
              <w:numPr>
                <w:ilvl w:val="0"/>
                <w:numId w:val="44"/>
              </w:numPr>
            </w:pPr>
            <w:r w:rsidRPr="00CB369C">
              <w:t>ECG is recommended if the patient has a co-existing condition treated with a medicine that may increase cardiac risk.</w:t>
            </w:r>
          </w:p>
          <w:p w14:paraId="4CF8F537" w14:textId="77777777" w:rsidR="00D27732" w:rsidRDefault="00D27732" w:rsidP="00D27732"/>
          <w:p w14:paraId="1C3B3B05" w14:textId="77665B47" w:rsidR="00D27732" w:rsidRDefault="00D27732" w:rsidP="00D27732">
            <w:r w:rsidRPr="00BF174A">
              <w:rPr>
                <w:b/>
                <w:bCs/>
                <w:u w:val="single"/>
              </w:rPr>
              <w:t xml:space="preserve">Initial monitoring: </w:t>
            </w:r>
          </w:p>
          <w:p w14:paraId="1FB2A26F" w14:textId="77777777" w:rsidR="00CB369C" w:rsidRPr="00CB369C" w:rsidRDefault="00CB369C" w:rsidP="00CB369C">
            <w:pPr>
              <w:numPr>
                <w:ilvl w:val="0"/>
                <w:numId w:val="44"/>
              </w:numPr>
            </w:pPr>
            <w:r w:rsidRPr="00CB369C">
              <w:t>Weekly monitoring for signs and symptoms of somnolence, sedation, hypotension and bradycardia during dose titration and stabilisation.</w:t>
            </w:r>
          </w:p>
          <w:p w14:paraId="230E41B6" w14:textId="77777777" w:rsidR="00CB369C" w:rsidRPr="00E01D24" w:rsidRDefault="00CB369C" w:rsidP="00CB369C">
            <w:pPr>
              <w:numPr>
                <w:ilvl w:val="0"/>
                <w:numId w:val="44"/>
              </w:numPr>
            </w:pPr>
            <w:r w:rsidRPr="00E01D24">
              <w:t xml:space="preserve">Assessment of symptom improvement. Discontinue if no improvement is observed after one month. </w:t>
            </w:r>
          </w:p>
          <w:p w14:paraId="06D68A65" w14:textId="77777777" w:rsidR="00D27732" w:rsidRPr="001A51F3" w:rsidRDefault="00D27732" w:rsidP="00D27732"/>
          <w:p w14:paraId="07CDEB35" w14:textId="77777777" w:rsidR="00D27732" w:rsidRPr="0051526F" w:rsidRDefault="00D27732" w:rsidP="00D27732">
            <w:pPr>
              <w:rPr>
                <w:b/>
                <w:bCs/>
                <w:u w:val="single"/>
              </w:rPr>
            </w:pPr>
            <w:r w:rsidRPr="0051526F">
              <w:rPr>
                <w:b/>
                <w:bCs/>
                <w:u w:val="single"/>
              </w:rPr>
              <w:t>Ongoing monitoring:</w:t>
            </w:r>
          </w:p>
          <w:p w14:paraId="6EB22FDD" w14:textId="6CF74CB5" w:rsidR="00CB369C" w:rsidRPr="00CB369C" w:rsidRDefault="00CB369C" w:rsidP="00CB369C">
            <w:pPr>
              <w:numPr>
                <w:ilvl w:val="0"/>
                <w:numId w:val="44"/>
              </w:numPr>
              <w:rPr>
                <w:rFonts w:cs="Arial"/>
              </w:rPr>
            </w:pPr>
            <w:r w:rsidRPr="00CB369C">
              <w:rPr>
                <w:rFonts w:cs="Arial"/>
              </w:rPr>
              <w:t>Before and after every change of dose: assess heart rate and blood pressure.</w:t>
            </w:r>
            <w:r w:rsidR="00E218D5">
              <w:rPr>
                <w:rFonts w:cs="Arial"/>
              </w:rPr>
              <w:t xml:space="preserve"> </w:t>
            </w:r>
            <w:r w:rsidR="00E218D5" w:rsidRPr="003B4362">
              <w:rPr>
                <w:rFonts w:eastAsia="Times New Roman" w:cstheme="minorHAnsi"/>
                <w:iCs/>
                <w:color w:val="0070C0"/>
                <w:lang w:eastAsia="en-GB"/>
              </w:rPr>
              <w:t>For under 18s, record BP, height and weight on centile charts to detect clinically important changes.</w:t>
            </w:r>
          </w:p>
          <w:p w14:paraId="44E31191" w14:textId="349C34FF" w:rsidR="00CB369C" w:rsidRPr="00CB369C" w:rsidRDefault="00CB369C" w:rsidP="00CB369C">
            <w:pPr>
              <w:numPr>
                <w:ilvl w:val="0"/>
                <w:numId w:val="44"/>
              </w:numPr>
              <w:rPr>
                <w:rFonts w:cs="Arial"/>
              </w:rPr>
            </w:pPr>
            <w:r w:rsidRPr="00CB369C">
              <w:rPr>
                <w:rFonts w:cs="Arial"/>
              </w:rPr>
              <w:t>Monitoring for signs and symptoms of somnolence</w:t>
            </w:r>
            <w:r w:rsidR="00905143">
              <w:rPr>
                <w:rFonts w:cs="Arial"/>
              </w:rPr>
              <w:t xml:space="preserve"> or</w:t>
            </w:r>
            <w:r w:rsidRPr="00CB369C">
              <w:rPr>
                <w:rFonts w:cs="Arial"/>
              </w:rPr>
              <w:t xml:space="preserve"> sedation during any dose adjustments or discontinuation. </w:t>
            </w:r>
          </w:p>
          <w:p w14:paraId="5625D140" w14:textId="77777777" w:rsidR="00CB369C" w:rsidRPr="00CB369C" w:rsidRDefault="00CB369C" w:rsidP="00CB369C">
            <w:pPr>
              <w:rPr>
                <w:rFonts w:cs="Arial"/>
              </w:rPr>
            </w:pPr>
            <w:r w:rsidRPr="00CB369C">
              <w:rPr>
                <w:rFonts w:cs="Arial"/>
              </w:rPr>
              <w:t xml:space="preserve">Ensure the patient receives a review at least annually with a healthcare professional with training and expertise in managing ADHD. This may be in primary or secondary care, depending on local arrangements, and should include a review of ADHD medication, including patient preferences, benefits, adverse effects, and ongoing clinical need. Consider trial periods of stopping medication or reducing the dose when assessment of the overall balance of benefits and harms suggests this may be appropriate. If continuing medication, document the reasons why. </w:t>
            </w:r>
          </w:p>
          <w:p w14:paraId="3672B0FF" w14:textId="6B810A6C" w:rsidR="00D27732" w:rsidRPr="0041687B" w:rsidRDefault="00CB369C" w:rsidP="00D27732">
            <w:pPr>
              <w:rPr>
                <w:rFonts w:cs="Arial"/>
              </w:rPr>
            </w:pPr>
            <w:r w:rsidRPr="00CB369C">
              <w:rPr>
                <w:rFonts w:cs="Arial"/>
              </w:rPr>
              <w:t xml:space="preserve">Review outcomes should be communicated to the primary care prescriber in writing, with any urgent changes also communicated by telephone. After each review, advise primary care whether treatment should be continued, confirm the ongoing dose, and whether the ongoing monitoring outlined in </w:t>
            </w:r>
            <w:hyperlink w:anchor="_Ongoing_monitoring_requirements" w:history="1">
              <w:r>
                <w:rPr>
                  <w:rStyle w:val="Hyperlink"/>
                  <w:rFonts w:cs="Arial"/>
                </w:rPr>
                <w:t>section 6</w:t>
              </w:r>
            </w:hyperlink>
            <w:r w:rsidRPr="00CB369C">
              <w:rPr>
                <w:rFonts w:cs="Arial"/>
              </w:rPr>
              <w:t xml:space="preserve"> remains appropriate.</w:t>
            </w:r>
          </w:p>
        </w:tc>
      </w:tr>
    </w:tbl>
    <w:p w14:paraId="7BD95E7B" w14:textId="77777777" w:rsidR="0051526F" w:rsidRDefault="0051526F"/>
    <w:p w14:paraId="39805D5C" w14:textId="77777777" w:rsidR="0051526F" w:rsidRDefault="0051526F" w:rsidP="0051526F">
      <w:pPr>
        <w:pStyle w:val="Heading2"/>
        <w:rPr>
          <w:rFonts w:cs="Arial"/>
        </w:rPr>
      </w:pPr>
      <w:bookmarkStart w:id="16" w:name="_Ongoing_monitoring_requirements"/>
      <w:bookmarkStart w:id="17" w:name="_Toc149231790"/>
      <w:bookmarkStart w:id="18" w:name="six_monitoring"/>
      <w:bookmarkEnd w:id="16"/>
      <w:r w:rsidRPr="00F321FC">
        <w:rPr>
          <w:rFonts w:cs="Arial"/>
        </w:rPr>
        <w:t>Ongoing monitoring requirements to be undertaken by primary care</w:t>
      </w:r>
      <w:bookmarkEnd w:id="17"/>
    </w:p>
    <w:bookmarkEnd w:id="18"/>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0B18BF">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CB369C" w:rsidRPr="00F321FC" w14:paraId="33418424" w14:textId="77777777" w:rsidTr="00D7037B">
        <w:tc>
          <w:tcPr>
            <w:tcW w:w="5245" w:type="dxa"/>
            <w:shd w:val="clear" w:color="auto" w:fill="auto"/>
          </w:tcPr>
          <w:p w14:paraId="24EF9BA7" w14:textId="77777777" w:rsidR="00CB369C" w:rsidRPr="004D3546" w:rsidRDefault="00CB369C" w:rsidP="00B57008">
            <w:pPr>
              <w:pStyle w:val="ListParagraph"/>
              <w:numPr>
                <w:ilvl w:val="0"/>
                <w:numId w:val="44"/>
              </w:numPr>
              <w:autoSpaceDE w:val="0"/>
              <w:autoSpaceDN w:val="0"/>
              <w:adjustRightInd w:val="0"/>
              <w:ind w:left="357" w:hanging="357"/>
              <w:rPr>
                <w:rFonts w:eastAsia="Times New Roman" w:cs="Arial"/>
                <w:color w:val="000000"/>
                <w:lang w:eastAsia="en-GB"/>
              </w:rPr>
            </w:pPr>
            <w:r w:rsidRPr="004D3546">
              <w:rPr>
                <w:rFonts w:eastAsia="Times New Roman" w:cs="Arial"/>
                <w:color w:val="000000"/>
                <w:lang w:eastAsia="en-GB"/>
              </w:rPr>
              <w:t>Blood pressure and heart rate</w:t>
            </w:r>
          </w:p>
          <w:p w14:paraId="17331E5A" w14:textId="77777777" w:rsidR="00CB369C" w:rsidRPr="004D3546" w:rsidRDefault="00CB369C" w:rsidP="00B57008">
            <w:pPr>
              <w:pStyle w:val="ListParagraph"/>
              <w:numPr>
                <w:ilvl w:val="0"/>
                <w:numId w:val="44"/>
              </w:numPr>
              <w:autoSpaceDE w:val="0"/>
              <w:autoSpaceDN w:val="0"/>
              <w:adjustRightInd w:val="0"/>
              <w:ind w:left="357" w:hanging="357"/>
              <w:rPr>
                <w:rFonts w:eastAsia="Times New Roman" w:cs="Arial"/>
                <w:color w:val="000000"/>
                <w:lang w:eastAsia="en-GB"/>
              </w:rPr>
            </w:pPr>
            <w:r w:rsidRPr="004D3546">
              <w:rPr>
                <w:rFonts w:eastAsia="Times New Roman" w:cs="Arial"/>
                <w:color w:val="000000"/>
                <w:lang w:eastAsia="en-GB"/>
              </w:rPr>
              <w:t>Somnolence and sedation</w:t>
            </w:r>
          </w:p>
          <w:p w14:paraId="1F201D84" w14:textId="77777777" w:rsidR="00CB369C" w:rsidRPr="004D3546" w:rsidRDefault="00CB369C" w:rsidP="00B57008">
            <w:pPr>
              <w:pStyle w:val="ListParagraph"/>
              <w:numPr>
                <w:ilvl w:val="0"/>
                <w:numId w:val="44"/>
              </w:numPr>
              <w:autoSpaceDE w:val="0"/>
              <w:autoSpaceDN w:val="0"/>
              <w:adjustRightInd w:val="0"/>
              <w:ind w:left="357" w:hanging="357"/>
              <w:rPr>
                <w:rFonts w:eastAsia="Times New Roman" w:cs="Arial"/>
                <w:color w:val="000000"/>
                <w:lang w:eastAsia="en-GB"/>
              </w:rPr>
            </w:pPr>
            <w:r w:rsidRPr="004D3546">
              <w:rPr>
                <w:rFonts w:eastAsia="Times New Roman" w:cs="Arial"/>
                <w:color w:val="000000"/>
                <w:lang w:eastAsia="en-GB"/>
              </w:rPr>
              <w:t>Weight and appetite</w:t>
            </w:r>
          </w:p>
          <w:p w14:paraId="0825E2ED" w14:textId="77777777" w:rsidR="00CB369C" w:rsidRDefault="00CB369C" w:rsidP="00B57008">
            <w:pPr>
              <w:pStyle w:val="ListParagraph"/>
              <w:numPr>
                <w:ilvl w:val="0"/>
                <w:numId w:val="44"/>
              </w:numPr>
              <w:autoSpaceDE w:val="0"/>
              <w:autoSpaceDN w:val="0"/>
              <w:adjustRightInd w:val="0"/>
              <w:ind w:left="357" w:hanging="357"/>
              <w:rPr>
                <w:rFonts w:eastAsia="Times New Roman" w:cs="Arial"/>
                <w:color w:val="000000"/>
                <w:lang w:eastAsia="en-GB"/>
              </w:rPr>
            </w:pPr>
            <w:r w:rsidRPr="004D3546">
              <w:rPr>
                <w:rFonts w:eastAsia="Times New Roman" w:cs="Arial"/>
                <w:color w:val="000000"/>
                <w:lang w:eastAsia="en-GB"/>
              </w:rPr>
              <w:t>Signs or symptoms of cardiovascular adverse effects, e.g. syncope, bradycardia</w:t>
            </w:r>
          </w:p>
          <w:p w14:paraId="38C3A527" w14:textId="758E6033" w:rsidR="00CB369C" w:rsidRPr="00CB369C" w:rsidRDefault="00CB369C" w:rsidP="00B57008">
            <w:pPr>
              <w:pStyle w:val="ListParagraph"/>
              <w:numPr>
                <w:ilvl w:val="0"/>
                <w:numId w:val="44"/>
              </w:numPr>
              <w:autoSpaceDE w:val="0"/>
              <w:autoSpaceDN w:val="0"/>
              <w:adjustRightInd w:val="0"/>
              <w:ind w:left="357" w:hanging="357"/>
              <w:rPr>
                <w:rFonts w:eastAsia="Times New Roman" w:cs="Arial"/>
                <w:color w:val="000000"/>
                <w:lang w:eastAsia="en-GB"/>
              </w:rPr>
            </w:pPr>
            <w:r w:rsidRPr="00CB369C">
              <w:rPr>
                <w:rFonts w:eastAsia="Times New Roman" w:cs="Arial"/>
                <w:color w:val="000000"/>
                <w:lang w:eastAsia="en-GB"/>
              </w:rPr>
              <w:lastRenderedPageBreak/>
              <w:t>Suicidal ideation or behaviour</w:t>
            </w:r>
            <w:r w:rsidR="008D0277">
              <w:rPr>
                <w:rFonts w:eastAsia="Times New Roman" w:cs="Arial"/>
                <w:color w:val="000000"/>
                <w:lang w:eastAsia="en-GB"/>
              </w:rPr>
              <w:t>, aggressive behaviour, or hostility</w:t>
            </w:r>
          </w:p>
        </w:tc>
        <w:tc>
          <w:tcPr>
            <w:tcW w:w="5245" w:type="dxa"/>
            <w:shd w:val="clear" w:color="auto" w:fill="auto"/>
          </w:tcPr>
          <w:p w14:paraId="1C9ABE55" w14:textId="77777777" w:rsidR="00CB369C" w:rsidRPr="004D3546" w:rsidRDefault="00CB369C" w:rsidP="00CB369C">
            <w:pPr>
              <w:rPr>
                <w:rFonts w:eastAsia="Times New Roman" w:cs="Arial"/>
                <w:iCs/>
                <w:color w:val="000000"/>
                <w:lang w:eastAsia="en-GB"/>
              </w:rPr>
            </w:pPr>
            <w:r w:rsidRPr="004D3546">
              <w:rPr>
                <w:rFonts w:eastAsia="Times New Roman" w:cs="Arial"/>
                <w:iCs/>
                <w:color w:val="000000"/>
                <w:lang w:eastAsia="en-GB"/>
              </w:rPr>
              <w:lastRenderedPageBreak/>
              <w:t xml:space="preserve">Every 3 months for the first year, and every 6 months thereafter. </w:t>
            </w:r>
          </w:p>
          <w:p w14:paraId="460119A4" w14:textId="77848EC7" w:rsidR="00CB369C" w:rsidRPr="00F321FC" w:rsidRDefault="00CB369C" w:rsidP="00CB369C">
            <w:pPr>
              <w:rPr>
                <w:rFonts w:cs="Arial"/>
              </w:rPr>
            </w:pPr>
            <w:r w:rsidRPr="004D3546">
              <w:rPr>
                <w:rFonts w:eastAsia="Times New Roman" w:cs="Arial"/>
                <w:iCs/>
                <w:color w:val="000000"/>
                <w:lang w:eastAsia="en-GB"/>
              </w:rPr>
              <w:t xml:space="preserve">More frequent monitoring is recommended following dose adjustment, which may be done in primary care if directions have been discussed and agreed with the specialist service. </w:t>
            </w:r>
          </w:p>
        </w:tc>
      </w:tr>
      <w:tr w:rsidR="00CB369C" w:rsidRPr="00F321FC" w14:paraId="60A93057" w14:textId="77777777" w:rsidTr="00D7037B">
        <w:tc>
          <w:tcPr>
            <w:tcW w:w="5245" w:type="dxa"/>
            <w:shd w:val="clear" w:color="auto" w:fill="auto"/>
          </w:tcPr>
          <w:p w14:paraId="0C76948D" w14:textId="33666892" w:rsidR="00CB369C" w:rsidRPr="00F321FC" w:rsidRDefault="00CB369C" w:rsidP="00CB369C">
            <w:pPr>
              <w:rPr>
                <w:rFonts w:cs="Arial"/>
              </w:rPr>
            </w:pPr>
            <w:r w:rsidRPr="004D3546">
              <w:rPr>
                <w:rFonts w:eastAsia="Times New Roman" w:cs="Arial"/>
                <w:color w:val="000000"/>
                <w:lang w:eastAsia="en-GB"/>
              </w:rPr>
              <w:t>Assessment of adherence</w:t>
            </w:r>
          </w:p>
        </w:tc>
        <w:tc>
          <w:tcPr>
            <w:tcW w:w="5245" w:type="dxa"/>
            <w:shd w:val="clear" w:color="auto" w:fill="auto"/>
          </w:tcPr>
          <w:p w14:paraId="5A85F8DE" w14:textId="0A9978C7" w:rsidR="00CB369C" w:rsidRPr="00F321FC" w:rsidRDefault="00CB369C" w:rsidP="00CB369C">
            <w:pPr>
              <w:rPr>
                <w:rFonts w:cs="Arial"/>
              </w:rPr>
            </w:pPr>
            <w:r w:rsidRPr="004D3546">
              <w:rPr>
                <w:rFonts w:eastAsia="Times New Roman" w:cs="Arial"/>
                <w:iCs/>
                <w:color w:val="000000"/>
                <w:lang w:eastAsia="en-GB"/>
              </w:rPr>
              <w:t>As required, based on the patient’s needs and individual circumstances</w:t>
            </w:r>
            <w:r w:rsidR="008D0277">
              <w:rPr>
                <w:rFonts w:eastAsia="Times New Roman" w:cs="Arial"/>
                <w:iCs/>
                <w:color w:val="000000"/>
                <w:lang w:eastAsia="en-GB"/>
              </w:rPr>
              <w:t>.</w:t>
            </w:r>
          </w:p>
        </w:tc>
      </w:tr>
      <w:tr w:rsidR="00CB369C" w:rsidRPr="00F321FC" w14:paraId="50A88F0A" w14:textId="77777777" w:rsidTr="00D7037B">
        <w:tc>
          <w:tcPr>
            <w:tcW w:w="5245" w:type="dxa"/>
            <w:shd w:val="clear" w:color="auto" w:fill="auto"/>
          </w:tcPr>
          <w:p w14:paraId="0C5A175F" w14:textId="7BAFD910" w:rsidR="00CB369C" w:rsidRDefault="00CB369C" w:rsidP="00CB369C">
            <w:pPr>
              <w:rPr>
                <w:rFonts w:eastAsia="Times New Roman" w:cstheme="minorHAnsi"/>
                <w:color w:val="000000"/>
                <w:lang w:eastAsia="en-GB"/>
              </w:rPr>
            </w:pPr>
            <w:r w:rsidRPr="004D3546">
              <w:rPr>
                <w:rFonts w:eastAsia="Times New Roman" w:cs="Arial"/>
                <w:color w:val="000000"/>
                <w:lang w:eastAsia="en-GB"/>
              </w:rPr>
              <w:t>Review to ensure patient has been offered and attended an annual review with a healthcare professional with expertise in ADHD</w:t>
            </w:r>
            <w:r w:rsidR="008D0277">
              <w:rPr>
                <w:rFonts w:eastAsia="Times New Roman" w:cs="Arial"/>
                <w:color w:val="000000"/>
                <w:lang w:eastAsia="en-GB"/>
              </w:rPr>
              <w:t>.</w:t>
            </w:r>
          </w:p>
        </w:tc>
        <w:tc>
          <w:tcPr>
            <w:tcW w:w="5245" w:type="dxa"/>
            <w:shd w:val="clear" w:color="auto" w:fill="auto"/>
          </w:tcPr>
          <w:p w14:paraId="773F40DE" w14:textId="70C9CE6E" w:rsidR="00CB369C" w:rsidRDefault="00CB369C" w:rsidP="00CB369C">
            <w:pPr>
              <w:rPr>
                <w:rFonts w:eastAsia="Times New Roman" w:cstheme="minorHAnsi"/>
                <w:iCs/>
                <w:color w:val="000000"/>
                <w:lang w:eastAsia="en-GB"/>
              </w:rPr>
            </w:pPr>
            <w:r w:rsidRPr="004D3546">
              <w:rPr>
                <w:rFonts w:eastAsia="Times New Roman" w:cs="Arial"/>
                <w:iCs/>
                <w:color w:val="000000"/>
                <w:lang w:eastAsia="en-GB"/>
              </w:rPr>
              <w:t>Annually</w:t>
            </w:r>
          </w:p>
        </w:tc>
      </w:tr>
    </w:tbl>
    <w:p w14:paraId="20855291" w14:textId="77777777" w:rsidR="0051526F" w:rsidRDefault="0051526F"/>
    <w:p w14:paraId="56152E6B" w14:textId="77777777" w:rsidR="0051526F" w:rsidRPr="00F321FC" w:rsidRDefault="0051526F" w:rsidP="0051526F">
      <w:pPr>
        <w:pStyle w:val="Heading2"/>
        <w:rPr>
          <w:rFonts w:cs="Arial"/>
        </w:rPr>
      </w:pPr>
      <w:bookmarkStart w:id="19" w:name="_Pharmaceutical_aspects"/>
      <w:bookmarkStart w:id="20" w:name="_Toc149231791"/>
      <w:bookmarkEnd w:id="19"/>
      <w:r w:rsidRPr="00F321FC">
        <w:rPr>
          <w:rFonts w:cs="Arial"/>
        </w:rPr>
        <w:t>Pharmaceutical aspects</w:t>
      </w:r>
      <w:bookmarkEnd w:id="20"/>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BB5357" w:rsidRPr="00F321FC" w14:paraId="793C17AD" w14:textId="77777777" w:rsidTr="00E3672D">
        <w:trPr>
          <w:cantSplit/>
        </w:trPr>
        <w:tc>
          <w:tcPr>
            <w:tcW w:w="2410" w:type="dxa"/>
          </w:tcPr>
          <w:p w14:paraId="435FCFFB" w14:textId="2404CE1C" w:rsidR="00BB5357" w:rsidRPr="00F321FC" w:rsidRDefault="00BB5357" w:rsidP="00BB5357">
            <w:pPr>
              <w:rPr>
                <w:rFonts w:cs="Arial"/>
              </w:rPr>
            </w:pPr>
            <w:r w:rsidRPr="00F321FC">
              <w:rPr>
                <w:rFonts w:cs="Arial"/>
              </w:rPr>
              <w:t>Route of administration:</w:t>
            </w:r>
          </w:p>
        </w:tc>
        <w:tc>
          <w:tcPr>
            <w:tcW w:w="8080" w:type="dxa"/>
            <w:shd w:val="clear" w:color="auto" w:fill="auto"/>
            <w:vAlign w:val="center"/>
          </w:tcPr>
          <w:p w14:paraId="58A97D63" w14:textId="7332F31B" w:rsidR="00BB5357" w:rsidRPr="00F321FC" w:rsidRDefault="00BB5357" w:rsidP="00BB5357">
            <w:pPr>
              <w:rPr>
                <w:rFonts w:cs="Arial"/>
              </w:rPr>
            </w:pPr>
            <w:r w:rsidRPr="004D3546">
              <w:rPr>
                <w:rFonts w:eastAsia="Times New Roman" w:cs="Arial"/>
                <w:szCs w:val="24"/>
                <w:lang w:eastAsia="en-GB"/>
              </w:rPr>
              <w:t>Oral</w:t>
            </w:r>
          </w:p>
        </w:tc>
      </w:tr>
      <w:tr w:rsidR="00BB5357" w:rsidRPr="00F321FC" w14:paraId="0E5DDFDD" w14:textId="77777777" w:rsidTr="00E3672D">
        <w:trPr>
          <w:cantSplit/>
        </w:trPr>
        <w:tc>
          <w:tcPr>
            <w:tcW w:w="2410" w:type="dxa"/>
          </w:tcPr>
          <w:p w14:paraId="3B641692" w14:textId="6763D472" w:rsidR="00BB5357" w:rsidRPr="00F321FC" w:rsidRDefault="00BB5357" w:rsidP="00BB5357">
            <w:pPr>
              <w:rPr>
                <w:rFonts w:cs="Arial"/>
              </w:rPr>
            </w:pPr>
            <w:r w:rsidRPr="00F321FC">
              <w:rPr>
                <w:rFonts w:cs="Arial"/>
              </w:rPr>
              <w:t>Formulation:</w:t>
            </w:r>
          </w:p>
        </w:tc>
        <w:tc>
          <w:tcPr>
            <w:tcW w:w="8080" w:type="dxa"/>
            <w:shd w:val="clear" w:color="auto" w:fill="auto"/>
            <w:vAlign w:val="center"/>
          </w:tcPr>
          <w:p w14:paraId="04A54CCC" w14:textId="77777777" w:rsidR="00BB5357" w:rsidRPr="004D3546" w:rsidRDefault="00BB5357" w:rsidP="00BB5357">
            <w:pPr>
              <w:shd w:val="clear" w:color="auto" w:fill="FFFFFF"/>
              <w:rPr>
                <w:rFonts w:eastAsia="Times New Roman" w:cs="Arial"/>
                <w:iCs/>
                <w:noProof/>
                <w:color w:val="000000"/>
                <w:lang w:val="en-US" w:eastAsia="en-GB"/>
              </w:rPr>
            </w:pPr>
            <w:r w:rsidRPr="004D3546">
              <w:rPr>
                <w:rFonts w:eastAsia="Times New Roman" w:cs="Arial"/>
                <w:iCs/>
                <w:noProof/>
                <w:color w:val="000000"/>
                <w:lang w:val="en-US" w:eastAsia="en-GB"/>
              </w:rPr>
              <w:t>Guanfacine hydrochloride (Intuniv®▼)</w:t>
            </w:r>
          </w:p>
          <w:p w14:paraId="19CBC01D" w14:textId="77777777" w:rsidR="00BB5357" w:rsidRDefault="00BB5357" w:rsidP="00BB5357">
            <w:pPr>
              <w:rPr>
                <w:rFonts w:eastAsia="Times New Roman" w:cs="Arial"/>
                <w:iCs/>
                <w:noProof/>
                <w:color w:val="000000"/>
                <w:lang w:val="en-US" w:eastAsia="en-GB"/>
              </w:rPr>
            </w:pPr>
            <w:r w:rsidRPr="004D3546">
              <w:rPr>
                <w:rFonts w:eastAsia="Times New Roman" w:cs="Arial"/>
                <w:iCs/>
                <w:noProof/>
                <w:color w:val="000000"/>
                <w:lang w:val="en-US" w:eastAsia="en-GB"/>
              </w:rPr>
              <w:t xml:space="preserve">Prolonged-release tablets: 1mg, 2mg, 3mg, 4mg </w:t>
            </w:r>
          </w:p>
          <w:p w14:paraId="09C2B9C8" w14:textId="48344E73" w:rsidR="003B4362" w:rsidRPr="00F321FC" w:rsidRDefault="003B4362" w:rsidP="003B4362">
            <w:pPr>
              <w:rPr>
                <w:rFonts w:cs="Arial"/>
              </w:rPr>
            </w:pPr>
          </w:p>
        </w:tc>
      </w:tr>
      <w:tr w:rsidR="00BB5357" w:rsidRPr="00F321FC" w14:paraId="4D08654E" w14:textId="77777777" w:rsidTr="00E3672D">
        <w:trPr>
          <w:cantSplit/>
        </w:trPr>
        <w:tc>
          <w:tcPr>
            <w:tcW w:w="2410" w:type="dxa"/>
          </w:tcPr>
          <w:p w14:paraId="5807ABCD" w14:textId="7BDA162B" w:rsidR="00BB5357" w:rsidRPr="00F321FC" w:rsidRDefault="00BB5357" w:rsidP="00BB5357">
            <w:pPr>
              <w:rPr>
                <w:rFonts w:cs="Arial"/>
              </w:rPr>
            </w:pPr>
            <w:r w:rsidRPr="00F321FC">
              <w:rPr>
                <w:rFonts w:cs="Arial"/>
              </w:rPr>
              <w:t>Administration details:</w:t>
            </w:r>
          </w:p>
        </w:tc>
        <w:tc>
          <w:tcPr>
            <w:tcW w:w="8080" w:type="dxa"/>
            <w:shd w:val="clear" w:color="auto" w:fill="auto"/>
            <w:vAlign w:val="center"/>
          </w:tcPr>
          <w:p w14:paraId="47549C4E" w14:textId="278FD4FD" w:rsidR="00BB5357" w:rsidRPr="004D3546" w:rsidRDefault="00BB5357" w:rsidP="00BB5357">
            <w:pPr>
              <w:rPr>
                <w:rFonts w:eastAsia="Times New Roman" w:cs="Arial"/>
                <w:lang w:eastAsia="en-GB"/>
              </w:rPr>
            </w:pPr>
            <w:r w:rsidRPr="004D3546">
              <w:rPr>
                <w:rFonts w:eastAsia="Times New Roman" w:cs="Arial"/>
                <w:lang w:eastAsia="en-GB"/>
              </w:rPr>
              <w:t xml:space="preserve">Guanfacine can be taken with or without </w:t>
            </w:r>
            <w:r w:rsidR="000C7A3C" w:rsidRPr="004D3546">
              <w:rPr>
                <w:rFonts w:eastAsia="Times New Roman" w:cs="Arial"/>
                <w:lang w:eastAsia="en-GB"/>
              </w:rPr>
              <w:t>food but</w:t>
            </w:r>
            <w:r w:rsidRPr="004D3546">
              <w:rPr>
                <w:rFonts w:eastAsia="Times New Roman" w:cs="Arial"/>
                <w:lang w:eastAsia="en-GB"/>
              </w:rPr>
              <w:t xml:space="preserve"> should not be given with high fat meals due to increased exposure. </w:t>
            </w:r>
          </w:p>
          <w:p w14:paraId="13FD31D5" w14:textId="77777777" w:rsidR="00BB5357" w:rsidRPr="004D3546" w:rsidRDefault="00BB5357" w:rsidP="00BB5357">
            <w:pPr>
              <w:rPr>
                <w:rFonts w:eastAsia="Times New Roman" w:cs="Arial"/>
                <w:lang w:eastAsia="en-GB"/>
              </w:rPr>
            </w:pPr>
            <w:r w:rsidRPr="004D3546">
              <w:rPr>
                <w:rFonts w:eastAsia="Times New Roman" w:cs="Arial"/>
                <w:lang w:eastAsia="en-GB"/>
              </w:rPr>
              <w:t xml:space="preserve">Tablets should be swallowed whole and not split, crushed or chewed. </w:t>
            </w:r>
          </w:p>
          <w:p w14:paraId="736D7585" w14:textId="77777777" w:rsidR="00BB5357" w:rsidRPr="004D3546" w:rsidRDefault="00BB5357" w:rsidP="00BB5357">
            <w:pPr>
              <w:rPr>
                <w:rFonts w:eastAsia="Times New Roman" w:cs="Arial"/>
                <w:lang w:eastAsia="en-GB"/>
              </w:rPr>
            </w:pPr>
            <w:r w:rsidRPr="004D3546">
              <w:rPr>
                <w:rFonts w:eastAsia="Times New Roman" w:cs="Arial"/>
                <w:lang w:eastAsia="en-GB"/>
              </w:rPr>
              <w:t xml:space="preserve">Guanfacine should be taken once daily in the morning or evening. </w:t>
            </w:r>
          </w:p>
          <w:p w14:paraId="3956ABC5" w14:textId="5F84C7D1" w:rsidR="00BB5357" w:rsidRPr="00776F28" w:rsidRDefault="00BB5357" w:rsidP="00BB5357">
            <w:pPr>
              <w:rPr>
                <w:rFonts w:cs="Arial"/>
                <w:color w:val="00B050"/>
              </w:rPr>
            </w:pPr>
            <w:r w:rsidRPr="004D3546">
              <w:rPr>
                <w:rFonts w:eastAsia="Times New Roman" w:cs="Arial"/>
                <w:lang w:eastAsia="en-GB"/>
              </w:rPr>
              <w:t xml:space="preserve">If a dose is </w:t>
            </w:r>
            <w:r w:rsidR="00A90F72" w:rsidRPr="004D3546">
              <w:rPr>
                <w:rFonts w:eastAsia="Times New Roman" w:cs="Arial"/>
                <w:lang w:eastAsia="en-GB"/>
              </w:rPr>
              <w:t>missed,</w:t>
            </w:r>
            <w:r w:rsidRPr="004D3546">
              <w:rPr>
                <w:rFonts w:eastAsia="Times New Roman" w:cs="Arial"/>
                <w:lang w:eastAsia="en-GB"/>
              </w:rPr>
              <w:t xml:space="preserve"> then the next scheduled dose should be taken as usual; </w:t>
            </w:r>
            <w:r w:rsidRPr="004D3546">
              <w:rPr>
                <w:rFonts w:eastAsia="Times New Roman" w:cs="Arial"/>
                <w:u w:val="single"/>
                <w:lang w:eastAsia="en-GB"/>
              </w:rPr>
              <w:t>a double dose should not be taken to make up for a missed dose</w:t>
            </w:r>
            <w:r w:rsidRPr="004D3546">
              <w:rPr>
                <w:rFonts w:eastAsia="Times New Roman" w:cs="Arial"/>
                <w:lang w:eastAsia="en-GB"/>
              </w:rPr>
              <w:t>. If two or more consecutive doses are missed, re-titration is recommended</w:t>
            </w:r>
            <w:r w:rsidR="00E1029D">
              <w:rPr>
                <w:rFonts w:eastAsia="Times New Roman" w:cs="Arial"/>
                <w:lang w:eastAsia="en-GB"/>
              </w:rPr>
              <w:t>. A</w:t>
            </w:r>
            <w:r w:rsidRPr="004D3546">
              <w:rPr>
                <w:rFonts w:eastAsia="Times New Roman" w:cs="Arial"/>
                <w:lang w:eastAsia="en-GB"/>
              </w:rPr>
              <w:t xml:space="preserve"> lower starting dose may be required based on the patient’s tolerance to guanfacine. Discuss with the specialist team or HCP with expertise in ADHD who conducts the annual review for advice on re-titrating guanfacine.</w:t>
            </w:r>
            <w:r w:rsidR="00776F28">
              <w:rPr>
                <w:rFonts w:eastAsia="Times New Roman" w:cs="Arial"/>
                <w:lang w:eastAsia="en-GB"/>
              </w:rPr>
              <w:t xml:space="preserve"> </w:t>
            </w:r>
            <w:r w:rsidR="00776F28" w:rsidRPr="003B4362">
              <w:rPr>
                <w:rFonts w:eastAsia="Times New Roman" w:cs="Arial"/>
                <w:color w:val="0070C0"/>
                <w:lang w:eastAsia="en-GB"/>
              </w:rPr>
              <w:t xml:space="preserve">Patients/ carers should be advised not to stop treatment abruptly. </w:t>
            </w:r>
          </w:p>
        </w:tc>
      </w:tr>
      <w:tr w:rsidR="00BB5357" w:rsidRPr="00F321FC" w14:paraId="1BF5C41D" w14:textId="77777777" w:rsidTr="00E3672D">
        <w:trPr>
          <w:cantSplit/>
        </w:trPr>
        <w:tc>
          <w:tcPr>
            <w:tcW w:w="2410" w:type="dxa"/>
          </w:tcPr>
          <w:p w14:paraId="00D209C3" w14:textId="4AA020DB" w:rsidR="00BB5357" w:rsidRPr="00F321FC" w:rsidRDefault="00BB5357" w:rsidP="00BB5357">
            <w:pPr>
              <w:rPr>
                <w:rFonts w:cs="Arial"/>
              </w:rPr>
            </w:pPr>
            <w:r>
              <w:rPr>
                <w:rFonts w:cs="Arial"/>
              </w:rPr>
              <w:t xml:space="preserve">Other important information: </w:t>
            </w:r>
          </w:p>
        </w:tc>
        <w:tc>
          <w:tcPr>
            <w:tcW w:w="8080" w:type="dxa"/>
            <w:tcBorders>
              <w:bottom w:val="single" w:sz="4" w:space="0" w:color="auto"/>
            </w:tcBorders>
            <w:shd w:val="clear" w:color="auto" w:fill="auto"/>
            <w:vAlign w:val="center"/>
          </w:tcPr>
          <w:p w14:paraId="103F46CC" w14:textId="341A041C" w:rsidR="00BB5357" w:rsidRPr="004D3546" w:rsidRDefault="00BB5357" w:rsidP="00BB5357">
            <w:pPr>
              <w:rPr>
                <w:rFonts w:eastAsia="Times New Roman" w:cs="Arial"/>
                <w:szCs w:val="24"/>
                <w:lang w:eastAsia="en-GB"/>
              </w:rPr>
            </w:pPr>
            <w:r w:rsidRPr="004D3546">
              <w:rPr>
                <w:rFonts w:eastAsia="Times New Roman" w:cs="Arial"/>
                <w:szCs w:val="24"/>
                <w:lang w:eastAsia="en-GB"/>
              </w:rPr>
              <w:t>Grapefruit juice should be avoided during treatment with guanfacine</w:t>
            </w:r>
            <w:r w:rsidR="00CE5010">
              <w:rPr>
                <w:rFonts w:eastAsia="Times New Roman" w:cs="Arial"/>
                <w:szCs w:val="24"/>
                <w:lang w:eastAsia="en-GB"/>
              </w:rPr>
              <w:t xml:space="preserve"> (see </w:t>
            </w:r>
            <w:hyperlink w:anchor="_Significant_drug_interactions" w:history="1">
              <w:r w:rsidR="00CE5010" w:rsidRPr="00CE5010">
                <w:rPr>
                  <w:rStyle w:val="Hyperlink"/>
                  <w:rFonts w:eastAsia="Times New Roman" w:cs="Arial"/>
                  <w:szCs w:val="24"/>
                  <w:lang w:eastAsia="en-GB"/>
                </w:rPr>
                <w:t>section 9</w:t>
              </w:r>
            </w:hyperlink>
            <w:r w:rsidR="00CE5010">
              <w:rPr>
                <w:rFonts w:eastAsia="Times New Roman" w:cs="Arial"/>
                <w:szCs w:val="24"/>
                <w:lang w:eastAsia="en-GB"/>
              </w:rPr>
              <w:t>)</w:t>
            </w:r>
            <w:r w:rsidRPr="004D3546">
              <w:rPr>
                <w:rFonts w:eastAsia="Times New Roman" w:cs="Arial"/>
                <w:szCs w:val="24"/>
                <w:lang w:eastAsia="en-GB"/>
              </w:rPr>
              <w:t xml:space="preserve">. </w:t>
            </w:r>
          </w:p>
          <w:p w14:paraId="14CD1D9D" w14:textId="7FE309CD" w:rsidR="00BB5357" w:rsidRPr="001A51F3" w:rsidRDefault="00BB5357" w:rsidP="00BB5357">
            <w:pPr>
              <w:autoSpaceDE w:val="0"/>
              <w:autoSpaceDN w:val="0"/>
              <w:adjustRightInd w:val="0"/>
              <w:rPr>
                <w:rFonts w:eastAsia="Times New Roman" w:cstheme="minorHAnsi"/>
                <w:szCs w:val="24"/>
                <w:lang w:eastAsia="en-GB"/>
              </w:rPr>
            </w:pPr>
            <w:r w:rsidRPr="004D3546">
              <w:rPr>
                <w:rFonts w:eastAsia="Times New Roman" w:cs="Arial"/>
                <w:szCs w:val="24"/>
                <w:lang w:eastAsia="en-GB"/>
              </w:rPr>
              <w:t xml:space="preserve">Due to risk of blood pressure increase upon discontinuation, guanfacine should be gradually tapered at a rate of no more than 1mg every 3 to 7 days. Blood pressure and pulse should be monitored when discontinuing treatment.  Discontinuation should be managed by the specialist team or HCP with expertise in ADHD who conducts the annual review. </w:t>
            </w:r>
          </w:p>
        </w:tc>
      </w:tr>
    </w:tbl>
    <w:p w14:paraId="55B80F32" w14:textId="77777777" w:rsidR="0051526F" w:rsidRDefault="0051526F"/>
    <w:p w14:paraId="6DB2B26C" w14:textId="77777777" w:rsidR="0051526F" w:rsidRDefault="0051526F"/>
    <w:p w14:paraId="2699777B"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F132AA" w:rsidRPr="00F321FC" w14:paraId="4A999C67" w14:textId="77777777" w:rsidTr="0051526F">
        <w:tc>
          <w:tcPr>
            <w:tcW w:w="2204" w:type="dxa"/>
          </w:tcPr>
          <w:p w14:paraId="6BB97933" w14:textId="5394937C" w:rsidR="00F132AA" w:rsidRPr="00F321FC" w:rsidRDefault="00BA2628" w:rsidP="00BA2628">
            <w:pPr>
              <w:pStyle w:val="Heading2"/>
              <w:outlineLvl w:val="1"/>
              <w:rPr>
                <w:rFonts w:cs="Arial"/>
              </w:rPr>
            </w:pPr>
            <w:bookmarkStart w:id="21" w:name="eight_cautions_cx"/>
            <w:bookmarkStart w:id="22" w:name="_Toc149231792"/>
            <w:r w:rsidRPr="00F321FC">
              <w:rPr>
                <w:rFonts w:cs="Arial"/>
              </w:rPr>
              <w:t>C</w:t>
            </w:r>
            <w:r w:rsidR="0041687B">
              <w:rPr>
                <w:rFonts w:cs="Arial"/>
              </w:rPr>
              <w:t>autions and c</w:t>
            </w:r>
            <w:r w:rsidRPr="00F321FC">
              <w:rPr>
                <w:rFonts w:cs="Arial"/>
              </w:rPr>
              <w:t>ontraindications</w:t>
            </w:r>
            <w:bookmarkEnd w:id="21"/>
            <w:bookmarkEnd w:id="22"/>
          </w:p>
        </w:tc>
        <w:tc>
          <w:tcPr>
            <w:tcW w:w="8257" w:type="dxa"/>
          </w:tcPr>
          <w:p w14:paraId="6C8F1AB5" w14:textId="0DBCF5D5" w:rsidR="00F132AA" w:rsidRDefault="00FB404F" w:rsidP="00FB404F">
            <w:pPr>
              <w:rPr>
                <w:rFonts w:cs="Arial"/>
              </w:rPr>
            </w:pPr>
            <w:r w:rsidRPr="00FB404F">
              <w:rPr>
                <w:rFonts w:cs="Arial"/>
              </w:rPr>
              <w:t>This information does not replace the Summary of Product Characteristics (SPC</w:t>
            </w:r>
            <w:r w:rsidR="000C7A3C" w:rsidRPr="00FB404F">
              <w:rPr>
                <w:rFonts w:cs="Arial"/>
              </w:rPr>
              <w:t>) and</w:t>
            </w:r>
            <w:r w:rsidRPr="00FB404F">
              <w:rPr>
                <w:rFonts w:cs="Arial"/>
              </w:rPr>
              <w:t xml:space="preserve"> should be read in conjunction with it. Please see </w:t>
            </w:r>
            <w:hyperlink r:id="rId14" w:history="1">
              <w:r w:rsidRPr="008C7B37">
                <w:rPr>
                  <w:rStyle w:val="Hyperlink"/>
                  <w:rFonts w:cs="Arial"/>
                </w:rPr>
                <w:t>BNF</w:t>
              </w:r>
            </w:hyperlink>
            <w:r w:rsidRPr="00FB404F">
              <w:rPr>
                <w:rFonts w:cs="Arial"/>
              </w:rPr>
              <w:t xml:space="preserve"> &amp; </w:t>
            </w:r>
            <w:hyperlink r:id="rId15" w:history="1">
              <w:r w:rsidRPr="008C7B37">
                <w:rPr>
                  <w:rStyle w:val="Hyperlink"/>
                  <w:rFonts w:cs="Arial"/>
                </w:rPr>
                <w:t>SPC</w:t>
              </w:r>
            </w:hyperlink>
            <w:r w:rsidRPr="00FB404F">
              <w:rPr>
                <w:rFonts w:cs="Arial"/>
              </w:rPr>
              <w:t xml:space="preserve"> for comprehensive information.</w:t>
            </w:r>
          </w:p>
          <w:p w14:paraId="004A4D13" w14:textId="77777777" w:rsidR="00FB404F" w:rsidRDefault="00FB404F" w:rsidP="00FB404F">
            <w:pPr>
              <w:rPr>
                <w:rFonts w:cs="Arial"/>
              </w:rPr>
            </w:pPr>
          </w:p>
          <w:p w14:paraId="5074DDE0" w14:textId="77777777" w:rsidR="00FB404F" w:rsidRDefault="00FB404F" w:rsidP="00FB404F">
            <w:pPr>
              <w:rPr>
                <w:rFonts w:cs="Arial"/>
                <w:b/>
                <w:bCs/>
              </w:rPr>
            </w:pPr>
            <w:r>
              <w:rPr>
                <w:rFonts w:cs="Arial"/>
                <w:b/>
                <w:bCs/>
              </w:rPr>
              <w:t xml:space="preserve">Contraindications: </w:t>
            </w:r>
          </w:p>
          <w:p w14:paraId="77C22D86" w14:textId="77777777" w:rsidR="00BB5357" w:rsidRPr="00BB5357" w:rsidRDefault="00BB5357" w:rsidP="00BB5357">
            <w:pPr>
              <w:numPr>
                <w:ilvl w:val="0"/>
                <w:numId w:val="45"/>
              </w:numPr>
              <w:rPr>
                <w:rFonts w:cs="Arial"/>
                <w:bCs/>
                <w:iCs/>
              </w:rPr>
            </w:pPr>
            <w:r w:rsidRPr="00BB5357">
              <w:rPr>
                <w:rFonts w:cs="Arial"/>
                <w:bCs/>
                <w:iCs/>
              </w:rPr>
              <w:t>Hypersensitivity to guanfacine or to any of the excipients</w:t>
            </w:r>
          </w:p>
          <w:p w14:paraId="6F596FAD" w14:textId="77777777" w:rsidR="00BB5357" w:rsidRPr="00BB5357" w:rsidRDefault="00BB5357" w:rsidP="00BB5357">
            <w:pPr>
              <w:numPr>
                <w:ilvl w:val="0"/>
                <w:numId w:val="45"/>
              </w:numPr>
              <w:rPr>
                <w:rFonts w:cs="Arial"/>
                <w:bCs/>
                <w:iCs/>
              </w:rPr>
            </w:pPr>
            <w:r w:rsidRPr="00BB5357">
              <w:rPr>
                <w:rFonts w:cs="Arial"/>
                <w:bCs/>
                <w:iCs/>
              </w:rPr>
              <w:lastRenderedPageBreak/>
              <w:t>Hereditary problems of galactose intolerance, total lactase deficiency or glucose-galactose malabsorption.</w:t>
            </w:r>
          </w:p>
          <w:p w14:paraId="1A4D3424" w14:textId="77777777" w:rsidR="007A56FB" w:rsidRPr="001A51F3" w:rsidRDefault="007A56FB" w:rsidP="001A51F3">
            <w:pPr>
              <w:rPr>
                <w:rFonts w:cs="Arial"/>
              </w:rPr>
            </w:pPr>
          </w:p>
          <w:p w14:paraId="14A2CAB8" w14:textId="77777777" w:rsidR="00FB404F" w:rsidRPr="00FB404F" w:rsidRDefault="00FB404F" w:rsidP="00FB404F">
            <w:pPr>
              <w:rPr>
                <w:rFonts w:cs="Arial"/>
                <w:b/>
                <w:bCs/>
              </w:rPr>
            </w:pPr>
            <w:r w:rsidRPr="00FB404F">
              <w:rPr>
                <w:rFonts w:cs="Arial"/>
                <w:b/>
                <w:bCs/>
              </w:rPr>
              <w:t>Cautions:</w:t>
            </w:r>
          </w:p>
          <w:p w14:paraId="1A3DE8C2" w14:textId="77777777" w:rsidR="00BB5357" w:rsidRPr="00BB5357" w:rsidRDefault="00BB5357" w:rsidP="00BB5357">
            <w:pPr>
              <w:numPr>
                <w:ilvl w:val="0"/>
                <w:numId w:val="45"/>
              </w:numPr>
              <w:rPr>
                <w:rFonts w:cs="Arial"/>
              </w:rPr>
            </w:pPr>
            <w:r w:rsidRPr="00BB5357">
              <w:rPr>
                <w:rFonts w:cs="Arial"/>
              </w:rPr>
              <w:t>Risk factors for torsades de pointes: bradycardia, heart block, hypokalaemia, history of QT interval prolongation, concomitant use of other medicines which may prolong the QT interval.</w:t>
            </w:r>
          </w:p>
          <w:p w14:paraId="54171D16" w14:textId="77777777" w:rsidR="00BB5357" w:rsidRPr="00BB5357" w:rsidRDefault="00BB5357" w:rsidP="00BB5357">
            <w:pPr>
              <w:numPr>
                <w:ilvl w:val="0"/>
                <w:numId w:val="45"/>
              </w:numPr>
              <w:rPr>
                <w:rFonts w:cs="Arial"/>
              </w:rPr>
            </w:pPr>
            <w:r w:rsidRPr="00BB5357">
              <w:rPr>
                <w:rFonts w:cs="Arial"/>
              </w:rPr>
              <w:t>History of cardiovascular disease, hypotension, orthostatic hypotension, or syncope.</w:t>
            </w:r>
          </w:p>
          <w:p w14:paraId="15C3C131" w14:textId="77777777" w:rsidR="00BB5357" w:rsidRPr="00BB5357" w:rsidRDefault="00BB5357" w:rsidP="00BB5357">
            <w:pPr>
              <w:numPr>
                <w:ilvl w:val="0"/>
                <w:numId w:val="45"/>
              </w:numPr>
              <w:rPr>
                <w:rFonts w:cs="Arial"/>
              </w:rPr>
            </w:pPr>
            <w:r w:rsidRPr="00BB5357">
              <w:rPr>
                <w:rFonts w:cs="Arial"/>
              </w:rPr>
              <w:t>Family history of cardiac or unexplained death.</w:t>
            </w:r>
          </w:p>
          <w:p w14:paraId="11D7335E" w14:textId="77777777" w:rsidR="00BB5357" w:rsidRPr="00BB5357" w:rsidRDefault="00BB5357" w:rsidP="00BB5357">
            <w:pPr>
              <w:numPr>
                <w:ilvl w:val="0"/>
                <w:numId w:val="45"/>
              </w:numPr>
              <w:rPr>
                <w:rFonts w:cs="Arial"/>
              </w:rPr>
            </w:pPr>
            <w:r w:rsidRPr="00BB5357">
              <w:rPr>
                <w:rFonts w:cs="Arial"/>
              </w:rPr>
              <w:t>Dehydration (may increase risk of syncope).</w:t>
            </w:r>
          </w:p>
          <w:p w14:paraId="07DA6A54" w14:textId="77777777" w:rsidR="00BB5357" w:rsidRPr="00BB5357" w:rsidRDefault="00BB5357" w:rsidP="00BB5357">
            <w:pPr>
              <w:numPr>
                <w:ilvl w:val="0"/>
                <w:numId w:val="45"/>
              </w:numPr>
              <w:rPr>
                <w:rFonts w:cs="Arial"/>
              </w:rPr>
            </w:pPr>
            <w:r w:rsidRPr="00BB5357">
              <w:rPr>
                <w:rFonts w:cs="Arial"/>
              </w:rPr>
              <w:t>Alcohol consumption (not recommended during treatment).</w:t>
            </w:r>
          </w:p>
          <w:p w14:paraId="612DCF70" w14:textId="264CA013" w:rsidR="00BB5357" w:rsidRDefault="00BB5357" w:rsidP="00BB5357">
            <w:pPr>
              <w:numPr>
                <w:ilvl w:val="0"/>
                <w:numId w:val="45"/>
              </w:numPr>
              <w:rPr>
                <w:rFonts w:cs="Arial"/>
              </w:rPr>
            </w:pPr>
            <w:r w:rsidRPr="00BB5357">
              <w:rPr>
                <w:rFonts w:cs="Arial"/>
              </w:rPr>
              <w:t xml:space="preserve">Concomitant treatment with centrally acting depressants or antihypertensives (see </w:t>
            </w:r>
            <w:hyperlink w:anchor="_Significant_drug_interactions" w:history="1">
              <w:r>
                <w:rPr>
                  <w:rStyle w:val="Hyperlink"/>
                  <w:rFonts w:cs="Arial"/>
                </w:rPr>
                <w:t>section 9</w:t>
              </w:r>
            </w:hyperlink>
            <w:r>
              <w:rPr>
                <w:rFonts w:cs="Arial"/>
              </w:rPr>
              <w:t>).</w:t>
            </w:r>
          </w:p>
          <w:p w14:paraId="3948C67A" w14:textId="5B7E9437" w:rsidR="00DD2F74" w:rsidRPr="00BB5357" w:rsidRDefault="00DD2F74" w:rsidP="00BB5357">
            <w:pPr>
              <w:numPr>
                <w:ilvl w:val="0"/>
                <w:numId w:val="45"/>
              </w:numPr>
              <w:rPr>
                <w:rFonts w:cs="Arial"/>
              </w:rPr>
            </w:pPr>
            <w:r>
              <w:rPr>
                <w:rFonts w:cs="Arial"/>
              </w:rPr>
              <w:t xml:space="preserve">Avoid abrupt discontinuation: increased risk of withdrawal effects (see </w:t>
            </w:r>
            <w:hyperlink w:anchor="_Pharmaceutical_aspects" w:history="1">
              <w:r w:rsidRPr="00DD2F74">
                <w:rPr>
                  <w:rStyle w:val="Hyperlink"/>
                  <w:rFonts w:cs="Arial"/>
                </w:rPr>
                <w:t>section 7</w:t>
              </w:r>
            </w:hyperlink>
            <w:r>
              <w:rPr>
                <w:rFonts w:cs="Arial"/>
              </w:rPr>
              <w:t>).</w:t>
            </w:r>
          </w:p>
          <w:p w14:paraId="6C6FF35D" w14:textId="353B36A5" w:rsidR="00F62DE8" w:rsidRPr="00E15F67" w:rsidRDefault="00BB5357" w:rsidP="00E15F67">
            <w:pPr>
              <w:numPr>
                <w:ilvl w:val="0"/>
                <w:numId w:val="45"/>
              </w:numPr>
              <w:rPr>
                <w:rFonts w:cs="Arial"/>
              </w:rPr>
            </w:pPr>
            <w:r w:rsidRPr="00E15F67">
              <w:rPr>
                <w:rFonts w:cs="Arial"/>
              </w:rPr>
              <w:t>Suicidal ideation or behaviour.</w:t>
            </w:r>
          </w:p>
          <w:p w14:paraId="456B90AA" w14:textId="5A455361" w:rsidR="005E6CD5" w:rsidRPr="00E15F67" w:rsidRDefault="00BB5357" w:rsidP="00E15F67">
            <w:pPr>
              <w:numPr>
                <w:ilvl w:val="0"/>
                <w:numId w:val="45"/>
              </w:numPr>
              <w:rPr>
                <w:rFonts w:cs="Arial"/>
              </w:rPr>
            </w:pPr>
            <w:r w:rsidRPr="00F62DE8">
              <w:rPr>
                <w:rFonts w:cs="Arial"/>
              </w:rPr>
              <w:t xml:space="preserve">Prescribing in the elderly is potentially inappropriate. See </w:t>
            </w:r>
            <w:hyperlink r:id="rId16" w:history="1">
              <w:r w:rsidRPr="00F62DE8">
                <w:rPr>
                  <w:rStyle w:val="Hyperlink"/>
                  <w:rFonts w:cs="Arial"/>
                </w:rPr>
                <w:t>BNF information on prescribing in the elderly.</w:t>
              </w:r>
            </w:hyperlink>
          </w:p>
        </w:tc>
      </w:tr>
      <w:tr w:rsidR="00F132AA" w:rsidRPr="00F321FC" w14:paraId="11E3D793" w14:textId="77777777" w:rsidTr="0051526F">
        <w:tc>
          <w:tcPr>
            <w:tcW w:w="2204" w:type="dxa"/>
          </w:tcPr>
          <w:p w14:paraId="1E8C8FBF" w14:textId="3ED10190" w:rsidR="00F132AA" w:rsidRPr="00F321FC" w:rsidRDefault="0098487D" w:rsidP="0098487D">
            <w:pPr>
              <w:pStyle w:val="Heading2"/>
              <w:outlineLvl w:val="1"/>
              <w:rPr>
                <w:rFonts w:cs="Arial"/>
              </w:rPr>
            </w:pPr>
            <w:bookmarkStart w:id="23" w:name="_Significant_drug_interactions"/>
            <w:bookmarkStart w:id="24" w:name="nine_interactions"/>
            <w:bookmarkStart w:id="25" w:name="_Toc149231793"/>
            <w:bookmarkEnd w:id="23"/>
            <w:r w:rsidRPr="00F321FC">
              <w:rPr>
                <w:rFonts w:cs="Arial"/>
              </w:rPr>
              <w:lastRenderedPageBreak/>
              <w:t>Significant drug interactions</w:t>
            </w:r>
            <w:bookmarkEnd w:id="24"/>
            <w:bookmarkEnd w:id="25"/>
          </w:p>
        </w:tc>
        <w:tc>
          <w:tcPr>
            <w:tcW w:w="8257" w:type="dxa"/>
          </w:tcPr>
          <w:p w14:paraId="112C1849" w14:textId="71FD3965" w:rsidR="00F132AA" w:rsidRDefault="00FB404F" w:rsidP="00FB404F">
            <w:pPr>
              <w:rPr>
                <w:rFonts w:cs="Arial"/>
              </w:rPr>
            </w:pPr>
            <w:r w:rsidRPr="00FB404F">
              <w:rPr>
                <w:rFonts w:cs="Arial"/>
              </w:rPr>
              <w:t xml:space="preserve">The following list is not exhaustive. Please see </w:t>
            </w:r>
            <w:hyperlink r:id="rId17" w:history="1">
              <w:r w:rsidRPr="008C7B37">
                <w:rPr>
                  <w:rStyle w:val="Hyperlink"/>
                  <w:rFonts w:cs="Arial"/>
                </w:rPr>
                <w:t>BNF</w:t>
              </w:r>
            </w:hyperlink>
            <w:r w:rsidRPr="00FB404F">
              <w:rPr>
                <w:rFonts w:cs="Arial"/>
              </w:rPr>
              <w:t xml:space="preserve"> </w:t>
            </w:r>
            <w:r>
              <w:rPr>
                <w:rFonts w:cs="Arial"/>
              </w:rPr>
              <w:t>&amp;</w:t>
            </w:r>
            <w:r w:rsidRPr="00FB404F">
              <w:rPr>
                <w:rFonts w:cs="Arial"/>
              </w:rPr>
              <w:t xml:space="preserve"> </w:t>
            </w:r>
            <w:hyperlink r:id="rId18" w:history="1">
              <w:r w:rsidRPr="008C7B37">
                <w:rPr>
                  <w:rStyle w:val="Hyperlink"/>
                  <w:rFonts w:cs="Arial"/>
                </w:rPr>
                <w:t>SPC</w:t>
              </w:r>
            </w:hyperlink>
            <w:r w:rsidRPr="00FB404F">
              <w:rPr>
                <w:rFonts w:cs="Arial"/>
              </w:rPr>
              <w:t xml:space="preserve"> for comprehensive information and recommended management.</w:t>
            </w:r>
          </w:p>
          <w:p w14:paraId="052804CB" w14:textId="11F8D88D" w:rsidR="00BB5357" w:rsidRPr="00BB5357" w:rsidRDefault="00BB5357" w:rsidP="00BB5357">
            <w:pPr>
              <w:numPr>
                <w:ilvl w:val="0"/>
                <w:numId w:val="46"/>
              </w:numPr>
              <w:rPr>
                <w:rFonts w:cs="Arial"/>
                <w:bCs/>
                <w:iCs/>
              </w:rPr>
            </w:pPr>
            <w:r w:rsidRPr="00B57008">
              <w:rPr>
                <w:rFonts w:cs="Arial"/>
                <w:b/>
                <w:iCs/>
              </w:rPr>
              <w:t>Drugs which prolong the QT interval</w:t>
            </w:r>
            <w:r w:rsidR="009E47CE">
              <w:rPr>
                <w:rFonts w:cs="Arial"/>
                <w:bCs/>
                <w:iCs/>
              </w:rPr>
              <w:t>:</w:t>
            </w:r>
            <w:r w:rsidRPr="00BB5357">
              <w:rPr>
                <w:rFonts w:cs="Arial"/>
                <w:bCs/>
                <w:iCs/>
              </w:rPr>
              <w:t xml:space="preserve"> </w:t>
            </w:r>
            <w:r w:rsidR="009E47CE">
              <w:rPr>
                <w:rFonts w:cs="Arial"/>
                <w:bCs/>
                <w:iCs/>
              </w:rPr>
              <w:t>c</w:t>
            </w:r>
            <w:r w:rsidRPr="00BB5357">
              <w:rPr>
                <w:rFonts w:cs="Arial"/>
                <w:bCs/>
                <w:iCs/>
              </w:rPr>
              <w:t>oncomitant use with guanfacine is not recommended.</w:t>
            </w:r>
          </w:p>
          <w:p w14:paraId="6B4C8A4E" w14:textId="0A6C162F" w:rsidR="00BB5357" w:rsidRPr="00BB5357" w:rsidRDefault="008556AB" w:rsidP="00BB5357">
            <w:pPr>
              <w:numPr>
                <w:ilvl w:val="0"/>
                <w:numId w:val="46"/>
              </w:numPr>
              <w:rPr>
                <w:rFonts w:cs="Arial"/>
                <w:bCs/>
                <w:iCs/>
              </w:rPr>
            </w:pPr>
            <w:r>
              <w:rPr>
                <w:rFonts w:cs="Arial"/>
                <w:b/>
                <w:bCs/>
                <w:iCs/>
              </w:rPr>
              <w:t xml:space="preserve">Moderate or strong </w:t>
            </w:r>
            <w:r w:rsidR="00BB5357" w:rsidRPr="00BB5357">
              <w:rPr>
                <w:rFonts w:cs="Arial"/>
                <w:b/>
                <w:bCs/>
                <w:iCs/>
              </w:rPr>
              <w:t>CYP3A4 and CYP3A5 inhibitors</w:t>
            </w:r>
            <w:r w:rsidR="00BB5357" w:rsidRPr="00BB5357">
              <w:rPr>
                <w:rFonts w:cs="Arial"/>
                <w:bCs/>
                <w:iCs/>
              </w:rPr>
              <w:t xml:space="preserve">, e.g. ketoconazole, clarithromycin, erythromycin, ciprofloxacin, diltiazem, fluconazole, verapamil, grapefruit juice, ritonavir: increased exposure to guanfacine. </w:t>
            </w:r>
            <w:r w:rsidR="00421D96" w:rsidRPr="00421D96">
              <w:rPr>
                <w:rFonts w:cs="Arial"/>
                <w:bCs/>
                <w:iCs/>
              </w:rPr>
              <w:t>A 50% reduction in guanfacine dose is recommended, and further dose titration may be required</w:t>
            </w:r>
            <w:r>
              <w:rPr>
                <w:rFonts w:cs="Arial"/>
                <w:bCs/>
                <w:iCs/>
              </w:rPr>
              <w:t xml:space="preserve"> (s</w:t>
            </w:r>
            <w:r w:rsidR="00421D96">
              <w:rPr>
                <w:rFonts w:cs="Arial"/>
                <w:bCs/>
                <w:iCs/>
              </w:rPr>
              <w:t xml:space="preserve">ee </w:t>
            </w:r>
            <w:hyperlink w:anchor="_Initiation_and_ongoing" w:history="1">
              <w:r w:rsidR="00421D96" w:rsidRPr="00421D96">
                <w:rPr>
                  <w:rStyle w:val="Hyperlink"/>
                  <w:rFonts w:cs="Arial"/>
                  <w:bCs/>
                  <w:iCs/>
                </w:rPr>
                <w:t>section 4</w:t>
              </w:r>
            </w:hyperlink>
            <w:r>
              <w:rPr>
                <w:rFonts w:cs="Arial"/>
                <w:bCs/>
                <w:iCs/>
              </w:rPr>
              <w:t>)</w:t>
            </w:r>
            <w:r w:rsidR="00421D96">
              <w:rPr>
                <w:rFonts w:cs="Arial"/>
                <w:bCs/>
                <w:iCs/>
              </w:rPr>
              <w:t>.</w:t>
            </w:r>
            <w:r w:rsidR="00BB5357" w:rsidRPr="00BB5357">
              <w:rPr>
                <w:rFonts w:cs="Arial"/>
                <w:bCs/>
                <w:iCs/>
              </w:rPr>
              <w:t xml:space="preserve"> </w:t>
            </w:r>
          </w:p>
          <w:p w14:paraId="7262B2C4" w14:textId="454DFD1C" w:rsidR="00BB5357" w:rsidRPr="00BB5357" w:rsidRDefault="00BB5357" w:rsidP="00BB5357">
            <w:pPr>
              <w:numPr>
                <w:ilvl w:val="0"/>
                <w:numId w:val="46"/>
              </w:numPr>
              <w:rPr>
                <w:rFonts w:cs="Arial"/>
                <w:bCs/>
                <w:iCs/>
              </w:rPr>
            </w:pPr>
            <w:r w:rsidRPr="00BB5357">
              <w:rPr>
                <w:rFonts w:cs="Arial"/>
                <w:b/>
                <w:bCs/>
                <w:iCs/>
              </w:rPr>
              <w:t>CYP3A4 inducers</w:t>
            </w:r>
            <w:r w:rsidRPr="00BB5357">
              <w:rPr>
                <w:rFonts w:cs="Arial"/>
                <w:bCs/>
                <w:iCs/>
              </w:rPr>
              <w:t>, e.g. carbamazepine, modafinil, phenytoin, rifampicin, St John’s wort: reduced exposure to guanfacine. Dose increase may be required.</w:t>
            </w:r>
          </w:p>
          <w:p w14:paraId="4F7100B7" w14:textId="347DDF43" w:rsidR="00BB5357" w:rsidRPr="00BB5357" w:rsidRDefault="00BB5357" w:rsidP="00BB5357">
            <w:pPr>
              <w:numPr>
                <w:ilvl w:val="0"/>
                <w:numId w:val="46"/>
              </w:numPr>
              <w:rPr>
                <w:rFonts w:cs="Arial"/>
                <w:bCs/>
                <w:iCs/>
              </w:rPr>
            </w:pPr>
            <w:r w:rsidRPr="00BB5357">
              <w:rPr>
                <w:rFonts w:cs="Arial"/>
                <w:b/>
                <w:bCs/>
                <w:iCs/>
              </w:rPr>
              <w:t>Valproic acid</w:t>
            </w:r>
            <w:r w:rsidRPr="00BB5357">
              <w:rPr>
                <w:rFonts w:cs="Arial"/>
                <w:bCs/>
                <w:iCs/>
              </w:rPr>
              <w:t>: concomitant use may increase concentrations of valproic acid</w:t>
            </w:r>
            <w:r w:rsidR="005A7786">
              <w:rPr>
                <w:rFonts w:cs="Arial"/>
                <w:bCs/>
                <w:iCs/>
              </w:rPr>
              <w:t>. Dose adjustments for guanfacine and/or valproic acid may be required.</w:t>
            </w:r>
          </w:p>
          <w:p w14:paraId="3D353B88" w14:textId="3E52620D" w:rsidR="00BB5357" w:rsidRPr="00BB5357" w:rsidRDefault="00BB5357" w:rsidP="00BB5357">
            <w:pPr>
              <w:numPr>
                <w:ilvl w:val="0"/>
                <w:numId w:val="46"/>
              </w:numPr>
              <w:rPr>
                <w:rFonts w:cs="Arial"/>
                <w:bCs/>
                <w:iCs/>
              </w:rPr>
            </w:pPr>
            <w:r w:rsidRPr="00BB5357">
              <w:rPr>
                <w:rFonts w:cs="Arial"/>
                <w:b/>
                <w:bCs/>
                <w:iCs/>
              </w:rPr>
              <w:t>Antihypertensive medicines</w:t>
            </w:r>
            <w:r w:rsidRPr="00BB5357">
              <w:rPr>
                <w:rFonts w:cs="Arial"/>
                <w:bCs/>
                <w:iCs/>
              </w:rPr>
              <w:t>: risk of additive effects, e.g. hypotension, syncope</w:t>
            </w:r>
            <w:r w:rsidR="005A7786">
              <w:rPr>
                <w:rFonts w:cs="Arial"/>
                <w:bCs/>
                <w:iCs/>
              </w:rPr>
              <w:t>.</w:t>
            </w:r>
          </w:p>
          <w:p w14:paraId="0CB33E5C" w14:textId="1EECE4A5" w:rsidR="00BB5357" w:rsidRPr="00F70124" w:rsidRDefault="00BB5357" w:rsidP="00BB5357">
            <w:pPr>
              <w:numPr>
                <w:ilvl w:val="0"/>
                <w:numId w:val="46"/>
              </w:numPr>
              <w:rPr>
                <w:rFonts w:cs="Arial"/>
                <w:iCs/>
              </w:rPr>
            </w:pPr>
            <w:r w:rsidRPr="00BB5357">
              <w:rPr>
                <w:rFonts w:cs="Arial"/>
                <w:b/>
                <w:bCs/>
                <w:iCs/>
              </w:rPr>
              <w:t>CNS depressants</w:t>
            </w:r>
            <w:r w:rsidRPr="00BB5357">
              <w:rPr>
                <w:rFonts w:cs="Arial"/>
                <w:bCs/>
                <w:iCs/>
              </w:rPr>
              <w:t>, e.g. alcohol, sedatives, hypnotics, benzodiazepines, barbiturates, antipsychotics: risk of additive effects, e.g. sedation, somnolence</w:t>
            </w:r>
            <w:r w:rsidR="00C268D5">
              <w:rPr>
                <w:rFonts w:cs="Arial"/>
                <w:bCs/>
                <w:iCs/>
              </w:rPr>
              <w:t>.</w:t>
            </w:r>
          </w:p>
          <w:p w14:paraId="5C3CCA5C" w14:textId="2DA1C917" w:rsidR="00C268D5" w:rsidRDefault="00C268D5" w:rsidP="00BB5357">
            <w:pPr>
              <w:numPr>
                <w:ilvl w:val="0"/>
                <w:numId w:val="46"/>
              </w:numPr>
              <w:rPr>
                <w:rFonts w:cs="Arial"/>
                <w:b/>
                <w:bCs/>
                <w:iCs/>
              </w:rPr>
            </w:pPr>
            <w:r>
              <w:rPr>
                <w:rFonts w:cs="Arial"/>
                <w:b/>
                <w:bCs/>
                <w:iCs/>
              </w:rPr>
              <w:t>Metformin:</w:t>
            </w:r>
            <w:r w:rsidRPr="00F70124">
              <w:rPr>
                <w:rFonts w:cs="Arial"/>
                <w:iCs/>
              </w:rPr>
              <w:t xml:space="preserve"> </w:t>
            </w:r>
            <w:r w:rsidR="00F70124">
              <w:rPr>
                <w:rFonts w:cs="Arial"/>
                <w:iCs/>
              </w:rPr>
              <w:t>c</w:t>
            </w:r>
            <w:r w:rsidRPr="00F70124">
              <w:rPr>
                <w:rFonts w:cs="Arial"/>
                <w:iCs/>
              </w:rPr>
              <w:t>oncomitant use may increase concentration of metformin.</w:t>
            </w:r>
          </w:p>
          <w:p w14:paraId="11735DD8" w14:textId="24F9AE6E" w:rsidR="001A51F3" w:rsidRPr="00BB5357" w:rsidRDefault="00BB5357" w:rsidP="001B5F28">
            <w:pPr>
              <w:numPr>
                <w:ilvl w:val="0"/>
                <w:numId w:val="46"/>
              </w:numPr>
              <w:rPr>
                <w:rFonts w:cs="Arial"/>
                <w:b/>
                <w:bCs/>
                <w:iCs/>
              </w:rPr>
            </w:pPr>
            <w:r w:rsidRPr="00BB5357">
              <w:rPr>
                <w:rFonts w:cs="Arial"/>
                <w:iCs/>
              </w:rPr>
              <w:t>Administration with high fat meals: increased exposure to guanfacine.</w:t>
            </w:r>
          </w:p>
        </w:tc>
      </w:tr>
    </w:tbl>
    <w:p w14:paraId="56D8C659" w14:textId="77777777" w:rsidR="0051526F" w:rsidRDefault="0051526F"/>
    <w:p w14:paraId="5F2EB721" w14:textId="77777777" w:rsidR="0051526F" w:rsidRDefault="0051526F" w:rsidP="0051526F">
      <w:pPr>
        <w:pStyle w:val="Heading2"/>
        <w:rPr>
          <w:rFonts w:cs="Arial"/>
        </w:rPr>
      </w:pPr>
      <w:bookmarkStart w:id="26" w:name="_Toc149231794"/>
      <w:r w:rsidRPr="00F321FC">
        <w:rPr>
          <w:rFonts w:cs="Arial"/>
        </w:rPr>
        <w:t>Adverse effects and management</w:t>
      </w:r>
      <w:bookmarkEnd w:id="26"/>
    </w:p>
    <w:p w14:paraId="41070243" w14:textId="0BCB159E" w:rsidR="0051526F" w:rsidRDefault="0051526F" w:rsidP="0051526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005E28D0" w:rsidRPr="005E28D0">
        <w:rPr>
          <w:rStyle w:val="Hyperlink"/>
          <w:rFonts w:eastAsia="Calibri" w:cs="Arial"/>
          <w:bCs/>
          <w:noProof/>
          <w:color w:val="000000"/>
          <w:u w:val="none"/>
          <w:lang w:eastAsia="en-GB"/>
        </w:rPr>
        <w:t xml:space="preserve"> </w:t>
      </w:r>
      <w:r w:rsidR="005E28D0" w:rsidRPr="0041687B">
        <w:rPr>
          <w:rStyle w:val="Hyperlink"/>
          <w:rFonts w:eastAsia="Calibri" w:cs="Arial"/>
          <w:bCs/>
          <w:noProof/>
          <w:color w:val="000000"/>
          <w:u w:val="none"/>
          <w:lang w:eastAsia="en-GB"/>
        </w:rPr>
        <w:t xml:space="preserve">For information on incidence of ADRs see relevant </w:t>
      </w:r>
      <w:r w:rsidR="005E28D0" w:rsidRPr="007A56FB">
        <w:rPr>
          <w:rStyle w:val="Hyperlink"/>
          <w:rFonts w:eastAsia="Calibri" w:cs="Arial"/>
          <w:bCs/>
          <w:noProof/>
          <w:color w:val="000000"/>
          <w:u w:val="none"/>
          <w:lang w:eastAsia="en-GB"/>
        </w:rPr>
        <w:t>S</w:t>
      </w:r>
      <w:r w:rsidR="005E28D0" w:rsidRPr="007A56FB">
        <w:rPr>
          <w:rStyle w:val="Hyperlink"/>
          <w:rFonts w:eastAsia="Calibri"/>
          <w:bCs/>
          <w:noProof/>
          <w:color w:val="000000"/>
          <w:u w:val="none"/>
          <w:lang w:eastAsia="en-GB"/>
        </w:rPr>
        <w:t>PCs</w:t>
      </w:r>
      <w:r w:rsidR="005E28D0" w:rsidRPr="00D13A1C">
        <w:rPr>
          <w:rStyle w:val="Hyperlink"/>
          <w:rFonts w:eastAsia="Calibri"/>
          <w:bCs/>
          <w:noProof/>
          <w:color w:val="000000"/>
          <w:u w:val="none"/>
          <w:lang w:eastAsia="en-GB"/>
        </w:rPr>
        <w:t>.</w:t>
      </w:r>
    </w:p>
    <w:p w14:paraId="338E7A1F" w14:textId="66BAA84B" w:rsidR="0051526F" w:rsidRPr="0041687B" w:rsidRDefault="0051526F" w:rsidP="0051526F">
      <w:pPr>
        <w:spacing w:after="120"/>
        <w:rPr>
          <w:rStyle w:val="Hyperlink"/>
          <w:rFonts w:eastAsia="Calibri" w:cs="Arial"/>
          <w:noProof/>
          <w:lang w:eastAsia="en-GB"/>
        </w:rPr>
      </w:pPr>
      <w:r w:rsidRPr="0041687B">
        <w:rPr>
          <w:rFonts w:cs="Arial"/>
          <w:b/>
          <w:bCs/>
        </w:rPr>
        <w:t>Any serious adverse reactions should be reported to the MHRA via the Yellow Card scheme. Visit</w:t>
      </w:r>
      <w:r w:rsidR="00DD2F74">
        <w:rPr>
          <w:rFonts w:cs="Arial"/>
        </w:rPr>
        <w:t xml:space="preserve"> </w:t>
      </w:r>
      <w:hyperlink r:id="rId19" w:history="1">
        <w:r w:rsidR="00DD2F74" w:rsidRPr="003E2E4B">
          <w:rPr>
            <w:rStyle w:val="Hyperlink"/>
            <w:rFonts w:cs="Arial"/>
          </w:rPr>
          <w:t>https://yellowcard.mhra.gov.uk</w:t>
        </w:r>
      </w:hyperlink>
      <w:r w:rsidRPr="00020927">
        <w:rPr>
          <w:rStyle w:val="Hyperlink"/>
          <w:rFonts w:eastAsia="Calibri" w:cs="Arial"/>
          <w:noProof/>
          <w:color w:val="000000"/>
          <w:u w:val="none"/>
          <w:lang w:eastAsia="en-GB"/>
        </w:rPr>
        <w:t>.</w:t>
      </w:r>
    </w:p>
    <w:p w14:paraId="50ECDB93" w14:textId="5BB67DA1" w:rsidR="0051526F" w:rsidRDefault="005E28D0" w:rsidP="0051526F">
      <w:r w:rsidRPr="005E28D0">
        <w:lastRenderedPageBreak/>
        <w:t>Advice based on shared care guidelines published by NHS England, and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7F454127" w14:textId="77777777" w:rsidTr="0051526F">
        <w:trPr>
          <w:cantSplit/>
          <w:tblHeader/>
        </w:trPr>
        <w:tc>
          <w:tcPr>
            <w:tcW w:w="5245" w:type="dxa"/>
            <w:shd w:val="clear" w:color="auto" w:fill="F2F2F2" w:themeFill="background1" w:themeFillShade="F2"/>
          </w:tcPr>
          <w:p w14:paraId="67AF18F0" w14:textId="01ED708F" w:rsidR="0051526F" w:rsidRPr="00BF174A" w:rsidRDefault="0051526F" w:rsidP="00BF174A">
            <w:pPr>
              <w:rPr>
                <w:b/>
                <w:bCs/>
                <w:u w:val="single"/>
              </w:rPr>
            </w:pPr>
            <w:r w:rsidRPr="00BF174A">
              <w:rPr>
                <w:b/>
                <w:bCs/>
                <w:u w:val="single"/>
              </w:rPr>
              <w:t>Adverse effect</w:t>
            </w:r>
          </w:p>
        </w:tc>
        <w:tc>
          <w:tcPr>
            <w:tcW w:w="5245" w:type="dxa"/>
            <w:shd w:val="clear" w:color="auto" w:fill="F2F2F2" w:themeFill="background1" w:themeFillShade="F2"/>
          </w:tcPr>
          <w:p w14:paraId="7FD73CD2" w14:textId="63413BED" w:rsidR="0051526F" w:rsidRPr="00BF174A" w:rsidRDefault="0051526F" w:rsidP="00BF174A">
            <w:pPr>
              <w:rPr>
                <w:b/>
                <w:bCs/>
                <w:u w:val="single"/>
              </w:rPr>
            </w:pPr>
            <w:r w:rsidRPr="00BF174A">
              <w:rPr>
                <w:b/>
                <w:bCs/>
                <w:u w:val="single"/>
              </w:rPr>
              <w:t>Management</w:t>
            </w:r>
          </w:p>
        </w:tc>
      </w:tr>
      <w:tr w:rsidR="00BB5357" w:rsidRPr="00F321FC" w14:paraId="7CEAAB39" w14:textId="77777777" w:rsidTr="0051526F">
        <w:trPr>
          <w:cantSplit/>
          <w:trHeight w:val="48"/>
        </w:trPr>
        <w:tc>
          <w:tcPr>
            <w:tcW w:w="5245" w:type="dxa"/>
          </w:tcPr>
          <w:p w14:paraId="59825EEB" w14:textId="77777777" w:rsidR="00BB5357" w:rsidRPr="004D3546" w:rsidRDefault="00BB5357" w:rsidP="00BB5357">
            <w:pPr>
              <w:rPr>
                <w:rFonts w:eastAsia="Times New Roman" w:cs="Arial"/>
                <w:lang w:eastAsia="en-GB"/>
              </w:rPr>
            </w:pPr>
            <w:r w:rsidRPr="004D3546">
              <w:rPr>
                <w:rFonts w:eastAsia="Times New Roman" w:cs="Arial"/>
                <w:b/>
                <w:lang w:eastAsia="en-GB"/>
              </w:rPr>
              <w:t xml:space="preserve">Cardiovascular </w:t>
            </w:r>
          </w:p>
          <w:p w14:paraId="2386555E" w14:textId="29AFE95C" w:rsidR="00BB5357" w:rsidRPr="0051526F" w:rsidRDefault="00BB5357" w:rsidP="00B57008">
            <w:pPr>
              <w:rPr>
                <w:rFonts w:eastAsia="Times New Roman" w:cstheme="minorHAnsi"/>
                <w:lang w:eastAsia="en-GB"/>
              </w:rPr>
            </w:pPr>
            <w:r w:rsidRPr="004D3546">
              <w:rPr>
                <w:rFonts w:eastAsia="Times New Roman" w:cs="Arial"/>
                <w:lang w:eastAsia="en-GB"/>
              </w:rPr>
              <w:t>Symptoms such as palpitations, exertional chest</w:t>
            </w:r>
            <w:r w:rsidR="00421D96">
              <w:rPr>
                <w:rFonts w:eastAsia="Times New Roman" w:cs="Arial"/>
                <w:lang w:eastAsia="en-GB"/>
              </w:rPr>
              <w:t xml:space="preserve"> </w:t>
            </w:r>
            <w:r w:rsidRPr="004D3546">
              <w:rPr>
                <w:rFonts w:eastAsia="Times New Roman" w:cs="Arial"/>
                <w:lang w:eastAsia="en-GB"/>
              </w:rPr>
              <w:t>pain, unexplained syncope, dyspnoea or other</w:t>
            </w:r>
            <w:r w:rsidR="00421D96">
              <w:rPr>
                <w:rFonts w:eastAsia="Times New Roman" w:cs="Arial"/>
                <w:lang w:eastAsia="en-GB"/>
              </w:rPr>
              <w:t xml:space="preserve"> </w:t>
            </w:r>
            <w:r w:rsidRPr="004D3546">
              <w:rPr>
                <w:rFonts w:eastAsia="Times New Roman" w:cs="Arial"/>
                <w:lang w:eastAsia="en-GB"/>
              </w:rPr>
              <w:t>signs or symptoms suggestive of cardiac disease</w:t>
            </w:r>
            <w:r w:rsidR="00421D96">
              <w:rPr>
                <w:rFonts w:eastAsia="Times New Roman" w:cs="Arial"/>
                <w:lang w:eastAsia="en-GB"/>
              </w:rPr>
              <w:t>.</w:t>
            </w:r>
          </w:p>
        </w:tc>
        <w:tc>
          <w:tcPr>
            <w:tcW w:w="5245" w:type="dxa"/>
          </w:tcPr>
          <w:p w14:paraId="4AA9F80F" w14:textId="77777777" w:rsidR="00BB5357" w:rsidRPr="004D3546" w:rsidRDefault="00BB5357" w:rsidP="00BB5357">
            <w:pPr>
              <w:rPr>
                <w:rFonts w:eastAsia="Times New Roman" w:cs="Arial"/>
                <w:lang w:eastAsia="en-GB"/>
              </w:rPr>
            </w:pPr>
          </w:p>
          <w:p w14:paraId="645A7295" w14:textId="2330878D" w:rsidR="00BB5357" w:rsidRPr="00F321FC" w:rsidRDefault="00BB5357" w:rsidP="00BB5357">
            <w:pPr>
              <w:rPr>
                <w:rFonts w:cs="Arial"/>
              </w:rPr>
            </w:pPr>
            <w:r w:rsidRPr="004D3546">
              <w:rPr>
                <w:rFonts w:eastAsia="Times New Roman" w:cs="Arial"/>
                <w:lang w:eastAsia="en-GB"/>
              </w:rPr>
              <w:t>Refer for urgent specialist cardiac evaluation</w:t>
            </w:r>
            <w:r w:rsidR="00C05C66">
              <w:rPr>
                <w:rFonts w:eastAsia="Times New Roman" w:cs="Arial"/>
                <w:lang w:eastAsia="en-GB"/>
              </w:rPr>
              <w:t>.</w:t>
            </w:r>
            <w:r w:rsidR="005A3C86">
              <w:rPr>
                <w:rFonts w:eastAsia="Times New Roman" w:cs="Arial"/>
                <w:lang w:eastAsia="en-GB"/>
              </w:rPr>
              <w:t xml:space="preserve"> </w:t>
            </w:r>
          </w:p>
        </w:tc>
      </w:tr>
      <w:tr w:rsidR="00BB5357" w:rsidRPr="00F321FC" w14:paraId="3E83576D" w14:textId="77777777" w:rsidTr="0051526F">
        <w:trPr>
          <w:cantSplit/>
          <w:trHeight w:val="48"/>
        </w:trPr>
        <w:tc>
          <w:tcPr>
            <w:tcW w:w="5245" w:type="dxa"/>
          </w:tcPr>
          <w:p w14:paraId="08C53FEC" w14:textId="78959777" w:rsidR="00BB5357" w:rsidRPr="00B47CA2" w:rsidRDefault="00B47CA2" w:rsidP="00BB5357">
            <w:pPr>
              <w:rPr>
                <w:rFonts w:cs="Arial"/>
              </w:rPr>
            </w:pPr>
            <w:r w:rsidRPr="00B47CA2">
              <w:rPr>
                <w:rFonts w:eastAsia="Times New Roman" w:cs="Arial"/>
                <w:lang w:eastAsia="en-GB"/>
              </w:rPr>
              <w:t>Bradycardia</w:t>
            </w:r>
            <w:r w:rsidR="00BB5357" w:rsidRPr="00B47CA2">
              <w:rPr>
                <w:rFonts w:eastAsia="Times New Roman" w:cs="Arial"/>
                <w:lang w:eastAsia="en-GB"/>
              </w:rPr>
              <w:t xml:space="preserve"> </w:t>
            </w:r>
          </w:p>
        </w:tc>
        <w:tc>
          <w:tcPr>
            <w:tcW w:w="5245" w:type="dxa"/>
          </w:tcPr>
          <w:p w14:paraId="0AF04492" w14:textId="3F1D77CA" w:rsidR="00BB5357" w:rsidRPr="00F321FC" w:rsidRDefault="00BB5357" w:rsidP="00BB5357">
            <w:pPr>
              <w:rPr>
                <w:rFonts w:cs="Arial"/>
              </w:rPr>
            </w:pPr>
            <w:r w:rsidRPr="004D3546">
              <w:rPr>
                <w:rFonts w:eastAsia="Times New Roman" w:cs="Arial"/>
                <w:lang w:eastAsia="en-GB"/>
              </w:rPr>
              <w:t>Discuss with specialist team; dose reduction or cardiac evaluation may be required</w:t>
            </w:r>
            <w:r w:rsidR="00C05C66">
              <w:rPr>
                <w:rFonts w:eastAsia="Times New Roman" w:cs="Arial"/>
                <w:lang w:eastAsia="en-GB"/>
              </w:rPr>
              <w:t>.</w:t>
            </w:r>
          </w:p>
        </w:tc>
      </w:tr>
      <w:tr w:rsidR="00BB5357" w:rsidRPr="00F321FC" w14:paraId="24831E88" w14:textId="77777777" w:rsidTr="0051526F">
        <w:trPr>
          <w:cantSplit/>
          <w:trHeight w:val="48"/>
        </w:trPr>
        <w:tc>
          <w:tcPr>
            <w:tcW w:w="5245" w:type="dxa"/>
          </w:tcPr>
          <w:p w14:paraId="1928A53C" w14:textId="6DAA7C4A" w:rsidR="00BB5357" w:rsidRPr="00F321FC" w:rsidRDefault="00BB5357" w:rsidP="00BB5357">
            <w:pPr>
              <w:rPr>
                <w:rFonts w:cs="Arial"/>
              </w:rPr>
            </w:pPr>
            <w:r w:rsidRPr="004D3546">
              <w:rPr>
                <w:rFonts w:eastAsia="Times New Roman" w:cs="Arial"/>
                <w:lang w:eastAsia="en-GB"/>
              </w:rPr>
              <w:t>Hypotension</w:t>
            </w:r>
            <w:r w:rsidR="00CB3BDD">
              <w:rPr>
                <w:rFonts w:eastAsia="Times New Roman" w:cs="Arial"/>
                <w:lang w:eastAsia="en-GB"/>
              </w:rPr>
              <w:t xml:space="preserve"> (BP less than 90/60 mmHg)</w:t>
            </w:r>
            <w:r w:rsidR="00531A59">
              <w:rPr>
                <w:rFonts w:eastAsia="Times New Roman" w:cs="Arial"/>
                <w:lang w:eastAsia="en-GB"/>
              </w:rPr>
              <w:t xml:space="preserve"> </w:t>
            </w:r>
            <w:r w:rsidRPr="004D3546">
              <w:rPr>
                <w:rFonts w:eastAsia="Times New Roman" w:cs="Arial"/>
                <w:lang w:eastAsia="en-GB"/>
              </w:rPr>
              <w:t>or orthostatic hypotension</w:t>
            </w:r>
          </w:p>
        </w:tc>
        <w:tc>
          <w:tcPr>
            <w:tcW w:w="5245" w:type="dxa"/>
          </w:tcPr>
          <w:p w14:paraId="3787D520" w14:textId="77777777" w:rsidR="00BB5357" w:rsidRPr="004D3546" w:rsidRDefault="00BB5357" w:rsidP="00BB5357">
            <w:pPr>
              <w:rPr>
                <w:rFonts w:eastAsia="Times New Roman" w:cs="Arial"/>
                <w:lang w:eastAsia="en-GB"/>
              </w:rPr>
            </w:pPr>
            <w:r w:rsidRPr="004D3546">
              <w:rPr>
                <w:rFonts w:eastAsia="Times New Roman" w:cs="Arial"/>
                <w:lang w:eastAsia="en-GB"/>
              </w:rPr>
              <w:t xml:space="preserve">Give lifestyle advice (e.g. drinking plenty of fluids, getting up slowly from standing or sitting) and repeat monitoring. </w:t>
            </w:r>
          </w:p>
          <w:p w14:paraId="3EAA40C2" w14:textId="3FFA66BF" w:rsidR="00C82D2B" w:rsidRPr="00F321FC" w:rsidRDefault="008C536B" w:rsidP="00BB5357">
            <w:pPr>
              <w:rPr>
                <w:rFonts w:cs="Arial"/>
              </w:rPr>
            </w:pPr>
            <w:r>
              <w:rPr>
                <w:rFonts w:cs="Arial"/>
              </w:rPr>
              <w:t xml:space="preserve">Hypotension is most prominent in the first few weeks of treatment and diminishes gradually </w:t>
            </w:r>
            <w:r w:rsidR="00DD2F74">
              <w:rPr>
                <w:rFonts w:cs="Arial"/>
              </w:rPr>
              <w:t>there</w:t>
            </w:r>
            <w:r>
              <w:rPr>
                <w:rFonts w:cs="Arial"/>
              </w:rPr>
              <w:t xml:space="preserve">after. </w:t>
            </w:r>
            <w:r w:rsidR="00C82D2B">
              <w:rPr>
                <w:rFonts w:cs="Arial"/>
              </w:rPr>
              <w:t xml:space="preserve">If </w:t>
            </w:r>
            <w:r w:rsidR="00F70124">
              <w:rPr>
                <w:rFonts w:cs="Arial"/>
              </w:rPr>
              <w:t xml:space="preserve">hypotension </w:t>
            </w:r>
            <w:r w:rsidR="00FF1B80">
              <w:rPr>
                <w:rFonts w:cs="Arial"/>
              </w:rPr>
              <w:t>persists,</w:t>
            </w:r>
            <w:r w:rsidR="00C82D2B">
              <w:rPr>
                <w:rFonts w:cs="Arial"/>
              </w:rPr>
              <w:t xml:space="preserve"> reduce dose by 1mg and discuss with specialist team. </w:t>
            </w:r>
          </w:p>
        </w:tc>
      </w:tr>
      <w:tr w:rsidR="00BB5357" w:rsidRPr="00F321FC" w14:paraId="7B45BBDF" w14:textId="77777777" w:rsidTr="0051526F">
        <w:trPr>
          <w:cantSplit/>
          <w:trHeight w:val="48"/>
        </w:trPr>
        <w:tc>
          <w:tcPr>
            <w:tcW w:w="5245" w:type="dxa"/>
          </w:tcPr>
          <w:p w14:paraId="742A5874" w14:textId="5B689ADA" w:rsidR="00BB5357" w:rsidRPr="00F321FC" w:rsidRDefault="00BB5357" w:rsidP="00BB5357">
            <w:pPr>
              <w:rPr>
                <w:rFonts w:cs="Arial"/>
              </w:rPr>
            </w:pPr>
            <w:r w:rsidRPr="004D3546">
              <w:rPr>
                <w:rFonts w:eastAsia="Times New Roman" w:cs="Arial"/>
                <w:b/>
                <w:lang w:eastAsia="en-GB"/>
              </w:rPr>
              <w:t>Sedation and somnolence</w:t>
            </w:r>
          </w:p>
        </w:tc>
        <w:tc>
          <w:tcPr>
            <w:tcW w:w="5245" w:type="dxa"/>
          </w:tcPr>
          <w:p w14:paraId="57097456" w14:textId="77777777" w:rsidR="00BB5357" w:rsidRPr="004D3546" w:rsidRDefault="00BB5357" w:rsidP="00BB5357">
            <w:pPr>
              <w:rPr>
                <w:rFonts w:eastAsia="Times New Roman" w:cs="Arial"/>
                <w:lang w:eastAsia="en-GB"/>
              </w:rPr>
            </w:pPr>
            <w:r w:rsidRPr="004D3546">
              <w:rPr>
                <w:rFonts w:eastAsia="Times New Roman" w:cs="Arial"/>
                <w:lang w:eastAsia="en-GB"/>
              </w:rPr>
              <w:t xml:space="preserve">Sedation and somnolence typically occur during the start of treatment and with dose increases. </w:t>
            </w:r>
          </w:p>
          <w:p w14:paraId="3B5D0997" w14:textId="47E4B823" w:rsidR="00BB5357" w:rsidRPr="00F321FC" w:rsidRDefault="00BB5357" w:rsidP="00BB5357">
            <w:pPr>
              <w:rPr>
                <w:rFonts w:cs="Arial"/>
              </w:rPr>
            </w:pPr>
            <w:r w:rsidRPr="004D3546">
              <w:rPr>
                <w:rFonts w:eastAsia="Times New Roman" w:cs="Arial"/>
                <w:lang w:eastAsia="en-GB"/>
              </w:rPr>
              <w:t xml:space="preserve">Review timing of dose; guanfacine may be taken in the morning or evening. Review lifestyle </w:t>
            </w:r>
            <w:r w:rsidR="000C7A3C" w:rsidRPr="004D3546">
              <w:rPr>
                <w:rFonts w:eastAsia="Times New Roman" w:cs="Arial"/>
                <w:lang w:eastAsia="en-GB"/>
              </w:rPr>
              <w:t>factors and</w:t>
            </w:r>
            <w:r w:rsidRPr="004D3546">
              <w:rPr>
                <w:rFonts w:eastAsia="Times New Roman" w:cs="Arial"/>
                <w:lang w:eastAsia="en-GB"/>
              </w:rPr>
              <w:t xml:space="preserve"> reinforce that alcohol should be avoided. Seek specialist advice if sedation persists. Dose reduction or discontinuation may be indicated. </w:t>
            </w:r>
          </w:p>
        </w:tc>
      </w:tr>
      <w:tr w:rsidR="00BB5357" w:rsidRPr="00F321FC" w14:paraId="6BD1EF9B" w14:textId="77777777" w:rsidTr="0051526F">
        <w:trPr>
          <w:cantSplit/>
          <w:trHeight w:val="48"/>
        </w:trPr>
        <w:tc>
          <w:tcPr>
            <w:tcW w:w="5245" w:type="dxa"/>
          </w:tcPr>
          <w:p w14:paraId="5E311FBE" w14:textId="23F4C3E1" w:rsidR="00BB5357" w:rsidRPr="00F321FC" w:rsidRDefault="00BB5357" w:rsidP="00BB5357">
            <w:pPr>
              <w:rPr>
                <w:rFonts w:cs="Arial"/>
              </w:rPr>
            </w:pPr>
            <w:r w:rsidRPr="004D3546">
              <w:rPr>
                <w:rFonts w:eastAsia="Times New Roman" w:cs="Arial"/>
                <w:b/>
                <w:lang w:eastAsia="en-GB"/>
              </w:rPr>
              <w:t>Weight or BMI outside healthy range</w:t>
            </w:r>
          </w:p>
        </w:tc>
        <w:tc>
          <w:tcPr>
            <w:tcW w:w="5245" w:type="dxa"/>
          </w:tcPr>
          <w:p w14:paraId="000B4F7B" w14:textId="77777777" w:rsidR="00BB5357" w:rsidRPr="004D3546" w:rsidRDefault="00BB5357" w:rsidP="00BB5357">
            <w:pPr>
              <w:rPr>
                <w:rFonts w:eastAsia="Times New Roman" w:cs="Arial"/>
                <w:lang w:eastAsia="en-GB"/>
              </w:rPr>
            </w:pPr>
            <w:r w:rsidRPr="004D3546">
              <w:rPr>
                <w:rFonts w:eastAsia="Times New Roman" w:cs="Arial"/>
                <w:lang w:eastAsia="en-GB"/>
              </w:rPr>
              <w:t>Provide appropriate support on multicomponent interventions to increase physical activity levels, improve eating behaviour and quality of diet.</w:t>
            </w:r>
          </w:p>
          <w:p w14:paraId="25E56149" w14:textId="4CF4D2C3" w:rsidR="00BB5357" w:rsidRPr="00F321FC" w:rsidRDefault="00BB5357" w:rsidP="00BB5357">
            <w:pPr>
              <w:rPr>
                <w:rFonts w:cs="Arial"/>
              </w:rPr>
            </w:pPr>
            <w:r w:rsidRPr="004D3546">
              <w:rPr>
                <w:rFonts w:eastAsia="Times New Roman" w:cs="Arial"/>
                <w:lang w:eastAsia="en-GB"/>
              </w:rPr>
              <w:t>Discuss with specialist if difficulty persists; dose reduction, or treatment break, or change of medicine may be required.</w:t>
            </w:r>
          </w:p>
        </w:tc>
      </w:tr>
      <w:tr w:rsidR="00BB5357" w:rsidRPr="00F321FC" w14:paraId="525ED011" w14:textId="77777777" w:rsidTr="0051526F">
        <w:trPr>
          <w:cantSplit/>
          <w:trHeight w:val="48"/>
        </w:trPr>
        <w:tc>
          <w:tcPr>
            <w:tcW w:w="5245" w:type="dxa"/>
          </w:tcPr>
          <w:p w14:paraId="67465BB4" w14:textId="77777777" w:rsidR="00BB5357" w:rsidRPr="004D3546" w:rsidRDefault="00BB5357" w:rsidP="00BB5357">
            <w:pPr>
              <w:rPr>
                <w:rFonts w:eastAsia="Times New Roman" w:cs="Arial"/>
                <w:lang w:eastAsia="en-GB"/>
              </w:rPr>
            </w:pPr>
            <w:r w:rsidRPr="004D3546">
              <w:rPr>
                <w:rFonts w:eastAsia="Times New Roman" w:cs="Arial"/>
                <w:b/>
                <w:lang w:eastAsia="en-GB"/>
              </w:rPr>
              <w:t>Psychiatric disorders</w:t>
            </w:r>
          </w:p>
          <w:p w14:paraId="056AACBC" w14:textId="3D0E502B" w:rsidR="00BB5357" w:rsidRPr="00F321FC" w:rsidRDefault="00BB5357" w:rsidP="00BB5357">
            <w:pPr>
              <w:rPr>
                <w:rFonts w:cs="Arial"/>
              </w:rPr>
            </w:pPr>
            <w:r w:rsidRPr="004D3546">
              <w:rPr>
                <w:rFonts w:eastAsia="Times New Roman" w:cs="Arial"/>
                <w:lang w:eastAsia="en-GB"/>
              </w:rPr>
              <w:t>Suicidal ideation or behaviour</w:t>
            </w:r>
            <w:r w:rsidR="00901E49">
              <w:rPr>
                <w:rFonts w:eastAsia="Times New Roman" w:cs="Arial"/>
                <w:lang w:eastAsia="en-GB"/>
              </w:rPr>
              <w:t>, aggressive behaviour or hostility</w:t>
            </w:r>
          </w:p>
        </w:tc>
        <w:tc>
          <w:tcPr>
            <w:tcW w:w="5245" w:type="dxa"/>
          </w:tcPr>
          <w:p w14:paraId="52C98F60" w14:textId="46B6C08D" w:rsidR="00BB5357" w:rsidRPr="004D3546" w:rsidRDefault="00BB5357" w:rsidP="00BB5357">
            <w:pPr>
              <w:rPr>
                <w:rFonts w:eastAsia="Times New Roman" w:cs="Arial"/>
                <w:lang w:eastAsia="en-GB"/>
              </w:rPr>
            </w:pPr>
            <w:r w:rsidRPr="004D3546">
              <w:rPr>
                <w:rFonts w:eastAsia="Times New Roman" w:cs="Arial"/>
                <w:lang w:eastAsia="en-GB"/>
              </w:rPr>
              <w:t>Review patient and exclude other causes.</w:t>
            </w:r>
            <w:r w:rsidR="00F364FE">
              <w:rPr>
                <w:rFonts w:eastAsia="Times New Roman" w:cs="Arial"/>
                <w:lang w:eastAsia="en-GB"/>
              </w:rPr>
              <w:t xml:space="preserve"> </w:t>
            </w:r>
            <w:r w:rsidR="0042404A">
              <w:rPr>
                <w:rFonts w:eastAsia="Times New Roman" w:cs="Arial"/>
                <w:lang w:eastAsia="en-GB"/>
              </w:rPr>
              <w:t>R</w:t>
            </w:r>
            <w:r w:rsidRPr="004D3546">
              <w:rPr>
                <w:rFonts w:eastAsia="Times New Roman" w:cs="Arial"/>
                <w:lang w:eastAsia="en-GB"/>
              </w:rPr>
              <w:t xml:space="preserve">efer urgently for psychiatric assessment </w:t>
            </w:r>
            <w:r w:rsidR="00901E49">
              <w:rPr>
                <w:rFonts w:eastAsia="Times New Roman" w:cs="Arial"/>
                <w:lang w:eastAsia="en-GB"/>
              </w:rPr>
              <w:t>if suicidal ideation or behaviour</w:t>
            </w:r>
            <w:r w:rsidR="00F17016">
              <w:rPr>
                <w:rFonts w:eastAsia="Times New Roman" w:cs="Arial"/>
                <w:lang w:eastAsia="en-GB"/>
              </w:rPr>
              <w:t xml:space="preserve"> is present</w:t>
            </w:r>
            <w:r w:rsidR="0042404A">
              <w:rPr>
                <w:rFonts w:eastAsia="Times New Roman" w:cs="Arial"/>
                <w:lang w:eastAsia="en-GB"/>
              </w:rPr>
              <w:t>.</w:t>
            </w:r>
          </w:p>
          <w:p w14:paraId="499E20D8" w14:textId="6B2EE0DE" w:rsidR="00BB5357" w:rsidRPr="00F321FC" w:rsidRDefault="00F364FE" w:rsidP="00BB5357">
            <w:pPr>
              <w:rPr>
                <w:rFonts w:cs="Arial"/>
              </w:rPr>
            </w:pPr>
            <w:r>
              <w:rPr>
                <w:rFonts w:eastAsia="Times New Roman" w:cs="Arial"/>
                <w:lang w:eastAsia="en-GB"/>
              </w:rPr>
              <w:t xml:space="preserve">Contact specialist </w:t>
            </w:r>
            <w:r w:rsidR="000C7A3C">
              <w:rPr>
                <w:rFonts w:eastAsia="Times New Roman" w:cs="Arial"/>
                <w:lang w:eastAsia="en-GB"/>
              </w:rPr>
              <w:t>team and</w:t>
            </w:r>
            <w:r>
              <w:rPr>
                <w:rFonts w:eastAsia="Times New Roman" w:cs="Arial"/>
                <w:lang w:eastAsia="en-GB"/>
              </w:rPr>
              <w:t xml:space="preserve"> d</w:t>
            </w:r>
            <w:r w:rsidR="00901E49">
              <w:rPr>
                <w:rFonts w:eastAsia="Times New Roman" w:cs="Arial"/>
                <w:lang w:eastAsia="en-GB"/>
              </w:rPr>
              <w:t>iscuss ongoing benefit of treatment</w:t>
            </w:r>
            <w:r w:rsidR="00BB5357" w:rsidRPr="004D3546">
              <w:rPr>
                <w:rFonts w:eastAsia="Times New Roman" w:cs="Arial"/>
                <w:lang w:eastAsia="en-GB"/>
              </w:rPr>
              <w:t>.</w:t>
            </w:r>
          </w:p>
        </w:tc>
      </w:tr>
      <w:tr w:rsidR="00E20FCD" w:rsidRPr="00F321FC" w14:paraId="5378DA15" w14:textId="77777777" w:rsidTr="0051526F">
        <w:trPr>
          <w:cantSplit/>
          <w:trHeight w:val="48"/>
        </w:trPr>
        <w:tc>
          <w:tcPr>
            <w:tcW w:w="5245" w:type="dxa"/>
          </w:tcPr>
          <w:p w14:paraId="1BF19D2F" w14:textId="3B2E0D0A" w:rsidR="00E20FCD" w:rsidRDefault="00E20FCD" w:rsidP="00BB5357">
            <w:pPr>
              <w:rPr>
                <w:rFonts w:eastAsia="Times New Roman" w:cs="Arial"/>
                <w:b/>
                <w:lang w:eastAsia="en-GB"/>
              </w:rPr>
            </w:pPr>
            <w:r>
              <w:rPr>
                <w:rFonts w:eastAsia="Times New Roman" w:cs="Arial"/>
                <w:b/>
                <w:lang w:eastAsia="en-GB"/>
              </w:rPr>
              <w:t>Withdrawal effects</w:t>
            </w:r>
            <w:r w:rsidR="00506E98">
              <w:rPr>
                <w:rFonts w:eastAsia="Times New Roman" w:cs="Arial"/>
                <w:b/>
                <w:lang w:eastAsia="en-GB"/>
              </w:rPr>
              <w:t xml:space="preserve"> due to abrupt discontinuation</w:t>
            </w:r>
          </w:p>
          <w:p w14:paraId="5AC48BDA" w14:textId="0AE21230" w:rsidR="00E20FCD" w:rsidRPr="00022C26" w:rsidRDefault="00E20FCD" w:rsidP="00BB5357">
            <w:pPr>
              <w:rPr>
                <w:rFonts w:eastAsia="Times New Roman" w:cs="Arial"/>
                <w:bCs/>
                <w:lang w:eastAsia="en-GB"/>
              </w:rPr>
            </w:pPr>
            <w:r>
              <w:rPr>
                <w:rFonts w:eastAsia="Times New Roman" w:cs="Arial"/>
                <w:bCs/>
                <w:lang w:eastAsia="en-GB"/>
              </w:rPr>
              <w:t>Increased blood pressure,</w:t>
            </w:r>
            <w:r w:rsidR="00506E98">
              <w:rPr>
                <w:rFonts w:eastAsia="Times New Roman" w:cs="Arial"/>
                <w:bCs/>
                <w:lang w:eastAsia="en-GB"/>
              </w:rPr>
              <w:t xml:space="preserve"> increased heat rate, and very rarely hypertensive encephalopathy.</w:t>
            </w:r>
          </w:p>
        </w:tc>
        <w:tc>
          <w:tcPr>
            <w:tcW w:w="5245" w:type="dxa"/>
          </w:tcPr>
          <w:p w14:paraId="41361964" w14:textId="23F063F9" w:rsidR="00E20FCD" w:rsidRPr="004D3546" w:rsidRDefault="00506E98" w:rsidP="00BB5357">
            <w:pPr>
              <w:rPr>
                <w:rFonts w:eastAsia="Times New Roman" w:cs="Arial"/>
                <w:lang w:eastAsia="en-GB"/>
              </w:rPr>
            </w:pPr>
            <w:r>
              <w:rPr>
                <w:rFonts w:eastAsia="Times New Roman" w:cs="Arial"/>
                <w:lang w:eastAsia="en-GB"/>
              </w:rPr>
              <w:t>When stopping</w:t>
            </w:r>
            <w:r w:rsidR="003516F1">
              <w:rPr>
                <w:rFonts w:eastAsia="Times New Roman" w:cs="Arial"/>
                <w:lang w:eastAsia="en-GB"/>
              </w:rPr>
              <w:t xml:space="preserve"> treatment</w:t>
            </w:r>
            <w:r>
              <w:rPr>
                <w:rFonts w:eastAsia="Times New Roman" w:cs="Arial"/>
                <w:lang w:eastAsia="en-GB"/>
              </w:rPr>
              <w:t xml:space="preserve">, the dose should be </w:t>
            </w:r>
            <w:r w:rsidR="003516F1">
              <w:rPr>
                <w:rFonts w:eastAsia="Times New Roman" w:cs="Arial"/>
                <w:lang w:eastAsia="en-GB"/>
              </w:rPr>
              <w:t>gradually reduced by no</w:t>
            </w:r>
            <w:r>
              <w:rPr>
                <w:rFonts w:eastAsia="Times New Roman" w:cs="Arial"/>
                <w:lang w:eastAsia="en-GB"/>
              </w:rPr>
              <w:t xml:space="preserve"> more than 1mg every 3 to 7 days</w:t>
            </w:r>
            <w:r w:rsidR="003516F1">
              <w:rPr>
                <w:rFonts w:eastAsia="Times New Roman" w:cs="Arial"/>
                <w:lang w:eastAsia="en-GB"/>
              </w:rPr>
              <w:t xml:space="preserve">. Blood pressure and pulse should be monitored. Discontinuation should be managed </w:t>
            </w:r>
            <w:r w:rsidR="003516F1" w:rsidRPr="003516F1">
              <w:rPr>
                <w:rFonts w:eastAsia="Times New Roman" w:cs="Arial"/>
                <w:lang w:eastAsia="en-GB"/>
              </w:rPr>
              <w:t>by the specialist team or HCP with expertise in ADHD who conducts the annual review.</w:t>
            </w:r>
            <w:r w:rsidR="003516F1">
              <w:rPr>
                <w:rFonts w:eastAsia="Times New Roman" w:cs="Arial"/>
                <w:lang w:eastAsia="en-GB"/>
              </w:rPr>
              <w:t xml:space="preserve"> </w:t>
            </w: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F132AA" w:rsidRPr="00F321FC" w14:paraId="399D38CB" w14:textId="77777777" w:rsidTr="00BF174A">
        <w:tc>
          <w:tcPr>
            <w:tcW w:w="2268" w:type="dxa"/>
          </w:tcPr>
          <w:p w14:paraId="139BFC3E" w14:textId="77777777" w:rsidR="00F132AA" w:rsidRDefault="001860C1" w:rsidP="001860C1">
            <w:pPr>
              <w:pStyle w:val="Heading2"/>
              <w:outlineLvl w:val="1"/>
              <w:rPr>
                <w:rFonts w:cs="Arial"/>
              </w:rPr>
            </w:pPr>
            <w:bookmarkStart w:id="27" w:name="eleven_patient_advice"/>
            <w:bookmarkStart w:id="28" w:name="_Toc149231795"/>
            <w:r w:rsidRPr="00F321FC">
              <w:rPr>
                <w:rFonts w:cs="Arial"/>
              </w:rPr>
              <w:t>Advice to patients and carers</w:t>
            </w:r>
            <w:bookmarkEnd w:id="27"/>
            <w:bookmarkEnd w:id="28"/>
          </w:p>
          <w:p w14:paraId="4928E953" w14:textId="77777777" w:rsidR="005D79FA" w:rsidRDefault="005D79FA" w:rsidP="005D79FA"/>
          <w:p w14:paraId="7E51F76A" w14:textId="42531282" w:rsidR="005D79FA" w:rsidRPr="005D79FA" w:rsidRDefault="005D79FA" w:rsidP="005D79FA">
            <w:r w:rsidRPr="00F321FC">
              <w:rPr>
                <w:rFonts w:cs="Arial"/>
              </w:rPr>
              <w:t>The specialist will counsel the patient with regard to the benefits and risks of treatment and will provide the patient with any relevant information and advice, including patient information leaflets on individual drugs.</w:t>
            </w:r>
          </w:p>
        </w:tc>
        <w:tc>
          <w:tcPr>
            <w:tcW w:w="8193" w:type="dxa"/>
          </w:tcPr>
          <w:p w14:paraId="70FC3A9A" w14:textId="77777777" w:rsidR="001D7C84" w:rsidRPr="001D7C84" w:rsidRDefault="001D7C84" w:rsidP="001D7C84">
            <w:pPr>
              <w:rPr>
                <w:rFonts w:cs="Arial"/>
                <w:b/>
              </w:rPr>
            </w:pPr>
            <w:r w:rsidRPr="001D7C84">
              <w:rPr>
                <w:rFonts w:cs="Arial"/>
                <w:b/>
              </w:rPr>
              <w:lastRenderedPageBreak/>
              <w:t xml:space="preserve">The patient should be advised to report any of the following signs or symptoms to their primary care prescriber without delay:          </w:t>
            </w:r>
          </w:p>
          <w:p w14:paraId="1761167E" w14:textId="3996291E" w:rsidR="001D7C84" w:rsidRPr="001D7C84" w:rsidRDefault="001D7C84" w:rsidP="001D7C84">
            <w:pPr>
              <w:numPr>
                <w:ilvl w:val="0"/>
                <w:numId w:val="47"/>
              </w:numPr>
              <w:rPr>
                <w:rFonts w:cs="Arial"/>
                <w:bCs/>
              </w:rPr>
            </w:pPr>
            <w:r w:rsidRPr="001D7C84">
              <w:rPr>
                <w:rFonts w:cs="Arial"/>
                <w:bCs/>
              </w:rPr>
              <w:lastRenderedPageBreak/>
              <w:t>New or worsening psychiatric symptoms, such as suicidal ideation or behaviour</w:t>
            </w:r>
            <w:r w:rsidR="00874EE5">
              <w:rPr>
                <w:rFonts w:cs="Arial"/>
                <w:bCs/>
              </w:rPr>
              <w:t>, aggressive behaviour, or hostility.</w:t>
            </w:r>
          </w:p>
          <w:p w14:paraId="02A88CA9" w14:textId="04081E34" w:rsidR="001D7C84" w:rsidRDefault="001D7C84" w:rsidP="001D7C84">
            <w:pPr>
              <w:numPr>
                <w:ilvl w:val="0"/>
                <w:numId w:val="47"/>
              </w:numPr>
              <w:rPr>
                <w:rFonts w:cs="Arial"/>
                <w:bCs/>
              </w:rPr>
            </w:pPr>
            <w:r w:rsidRPr="001D7C84">
              <w:rPr>
                <w:rFonts w:cs="Arial"/>
                <w:bCs/>
              </w:rPr>
              <w:t>Signs and symptoms of bradycardia or hypotension, e.g. fatigue, dizziness, palpitations, feeling faint or fainting</w:t>
            </w:r>
            <w:r w:rsidR="00022C26">
              <w:rPr>
                <w:rFonts w:cs="Arial"/>
                <w:bCs/>
              </w:rPr>
              <w:t>.</w:t>
            </w:r>
          </w:p>
          <w:p w14:paraId="28D8061D" w14:textId="3786073A" w:rsidR="00BC42BD" w:rsidRPr="001D7C84" w:rsidRDefault="00BC42BD" w:rsidP="001D7C84">
            <w:pPr>
              <w:numPr>
                <w:ilvl w:val="0"/>
                <w:numId w:val="47"/>
              </w:numPr>
              <w:rPr>
                <w:rFonts w:cs="Arial"/>
                <w:bCs/>
              </w:rPr>
            </w:pPr>
            <w:r>
              <w:rPr>
                <w:rFonts w:cs="Arial"/>
                <w:bCs/>
              </w:rPr>
              <w:t>Pregnancy or planning to become pregnant</w:t>
            </w:r>
            <w:r w:rsidR="000D470E">
              <w:rPr>
                <w:rFonts w:cs="Arial"/>
                <w:bCs/>
              </w:rPr>
              <w:t xml:space="preserve"> or breastfeed</w:t>
            </w:r>
            <w:r>
              <w:rPr>
                <w:rFonts w:cs="Arial"/>
                <w:bCs/>
              </w:rPr>
              <w:t xml:space="preserve">. </w:t>
            </w:r>
          </w:p>
          <w:p w14:paraId="78B8BC7F" w14:textId="77777777" w:rsidR="001D7C84" w:rsidRDefault="001D7C84" w:rsidP="00D84AB9">
            <w:pPr>
              <w:rPr>
                <w:rFonts w:cs="Arial"/>
                <w:b/>
              </w:rPr>
            </w:pPr>
          </w:p>
          <w:p w14:paraId="4E124FED" w14:textId="54310C7B" w:rsidR="00D84AB9" w:rsidRPr="00D84AB9" w:rsidRDefault="00D84AB9" w:rsidP="00D84AB9">
            <w:pPr>
              <w:rPr>
                <w:rFonts w:cs="Arial"/>
                <w:b/>
              </w:rPr>
            </w:pPr>
            <w:r w:rsidRPr="00D84AB9">
              <w:rPr>
                <w:rFonts w:cs="Arial"/>
                <w:b/>
              </w:rPr>
              <w:t>The patient should be advised:</w:t>
            </w:r>
          </w:p>
          <w:p w14:paraId="2F911C41" w14:textId="77777777" w:rsidR="00D84AB9" w:rsidRPr="00D84AB9" w:rsidRDefault="00D84AB9" w:rsidP="00D84AB9">
            <w:pPr>
              <w:numPr>
                <w:ilvl w:val="0"/>
                <w:numId w:val="47"/>
              </w:numPr>
              <w:rPr>
                <w:rFonts w:cs="Arial"/>
              </w:rPr>
            </w:pPr>
            <w:r w:rsidRPr="00D84AB9">
              <w:rPr>
                <w:rFonts w:cs="Arial"/>
              </w:rPr>
              <w:t xml:space="preserve">To drink plenty of fluids; dehydration can increase the risk of falls or fainting. </w:t>
            </w:r>
          </w:p>
          <w:p w14:paraId="6CF5A554" w14:textId="0E4E639B" w:rsidR="00D84AB9" w:rsidRPr="00D84AB9" w:rsidRDefault="00D84AB9" w:rsidP="00D84AB9">
            <w:pPr>
              <w:numPr>
                <w:ilvl w:val="0"/>
                <w:numId w:val="47"/>
              </w:numPr>
              <w:rPr>
                <w:rFonts w:cs="Arial"/>
              </w:rPr>
            </w:pPr>
            <w:r w:rsidRPr="00D84AB9">
              <w:rPr>
                <w:rFonts w:cs="Arial"/>
              </w:rPr>
              <w:t xml:space="preserve">Not to drive, cycle, or operate machines if guanfacine affects their ability to do so safely, e.g. by causing dizziness or drowsiness, and to inform the DVLA if their ability to drive safely is affected. See </w:t>
            </w:r>
            <w:hyperlink r:id="rId20" w:history="1">
              <w:r w:rsidR="00490180" w:rsidRPr="00F01A22">
                <w:rPr>
                  <w:rStyle w:val="Hyperlink"/>
                  <w:rFonts w:cs="Arial"/>
                </w:rPr>
                <w:t>https://www.gov.uk/adhd-and-driving</w:t>
              </w:r>
            </w:hyperlink>
            <w:r w:rsidRPr="00D84AB9">
              <w:rPr>
                <w:rFonts w:cs="Arial"/>
              </w:rPr>
              <w:t>.</w:t>
            </w:r>
          </w:p>
          <w:p w14:paraId="26D47ECE" w14:textId="77777777" w:rsidR="00D84AB9" w:rsidRPr="00D84AB9" w:rsidRDefault="00D84AB9" w:rsidP="00D84AB9">
            <w:pPr>
              <w:numPr>
                <w:ilvl w:val="0"/>
                <w:numId w:val="47"/>
              </w:numPr>
              <w:rPr>
                <w:rFonts w:cs="Arial"/>
              </w:rPr>
            </w:pPr>
            <w:r w:rsidRPr="00D84AB9">
              <w:rPr>
                <w:rFonts w:cs="Arial"/>
              </w:rPr>
              <w:t>Avoid alcohol while taking guanfacine, as it may make side effects worse.</w:t>
            </w:r>
          </w:p>
          <w:p w14:paraId="046248EA" w14:textId="77777777" w:rsidR="00BC42BD" w:rsidRDefault="00D84AB9" w:rsidP="00BC42BD">
            <w:pPr>
              <w:numPr>
                <w:ilvl w:val="0"/>
                <w:numId w:val="47"/>
              </w:numPr>
              <w:rPr>
                <w:rFonts w:cs="Arial"/>
              </w:rPr>
            </w:pPr>
            <w:r w:rsidRPr="00D84AB9">
              <w:rPr>
                <w:rFonts w:cs="Arial"/>
              </w:rPr>
              <w:t>Avoid grapefruit juice while taking guanfa</w:t>
            </w:r>
            <w:r w:rsidR="00BC42BD">
              <w:rPr>
                <w:rFonts w:cs="Arial"/>
              </w:rPr>
              <w:t xml:space="preserve">cine. </w:t>
            </w:r>
          </w:p>
          <w:p w14:paraId="52A7AD8C" w14:textId="26A759D4" w:rsidR="00BC42BD" w:rsidRPr="00BC42BD" w:rsidRDefault="00BC42BD" w:rsidP="00BC42BD">
            <w:pPr>
              <w:numPr>
                <w:ilvl w:val="0"/>
                <w:numId w:val="47"/>
              </w:numPr>
              <w:rPr>
                <w:rFonts w:cs="Arial"/>
              </w:rPr>
            </w:pPr>
            <w:r w:rsidRPr="00BC42BD">
              <w:rPr>
                <w:rFonts w:cs="Arial"/>
              </w:rPr>
              <w:t>Not to stop taking guanfacine without talking to their doctor. Due to risk of side effects, it is important to gradually reduce the dose of guanfacine under medical supervision.</w:t>
            </w:r>
          </w:p>
          <w:p w14:paraId="5F2B178F" w14:textId="77777777" w:rsidR="00BC42BD" w:rsidRPr="00BC42BD" w:rsidRDefault="00BC42BD" w:rsidP="00BC42BD">
            <w:pPr>
              <w:rPr>
                <w:rStyle w:val="Heading4Char"/>
                <w:rFonts w:eastAsiaTheme="minorHAnsi" w:cs="Arial"/>
                <w:b w:val="0"/>
                <w:iCs w:val="0"/>
              </w:rPr>
            </w:pPr>
          </w:p>
          <w:p w14:paraId="7F104DC2" w14:textId="0FC686C4" w:rsidR="00F34C5E" w:rsidRPr="00F34C5E" w:rsidRDefault="00F34C5E" w:rsidP="00F34C5E">
            <w:pPr>
              <w:rPr>
                <w:rFonts w:cs="Arial"/>
              </w:rPr>
            </w:pPr>
            <w:r w:rsidRPr="00F34C5E">
              <w:rPr>
                <w:rStyle w:val="Heading4Char"/>
              </w:rPr>
              <w:t>Patient information</w:t>
            </w:r>
            <w:r w:rsidRPr="00F34C5E">
              <w:rPr>
                <w:rFonts w:cs="Arial"/>
              </w:rPr>
              <w:t>:</w:t>
            </w:r>
          </w:p>
          <w:p w14:paraId="3B18A049" w14:textId="77777777" w:rsidR="00D84AB9" w:rsidRPr="00D84AB9" w:rsidRDefault="00D84AB9" w:rsidP="00D84AB9">
            <w:pPr>
              <w:numPr>
                <w:ilvl w:val="0"/>
                <w:numId w:val="47"/>
              </w:numPr>
              <w:rPr>
                <w:rFonts w:cs="Arial"/>
              </w:rPr>
            </w:pPr>
            <w:r w:rsidRPr="00D84AB9">
              <w:rPr>
                <w:rFonts w:cs="Arial"/>
              </w:rPr>
              <w:t xml:space="preserve">Royal College of Psychiatrists – ADHD in adults. </w:t>
            </w:r>
            <w:hyperlink r:id="rId21" w:history="1">
              <w:r w:rsidRPr="00D84AB9">
                <w:rPr>
                  <w:rStyle w:val="Hyperlink"/>
                  <w:rFonts w:cs="Arial"/>
                </w:rPr>
                <w:t>https://www.rcpsych.ac.uk/mental-health/problems-disorders/adhd-in-adults</w:t>
              </w:r>
            </w:hyperlink>
            <w:r w:rsidRPr="00D84AB9">
              <w:rPr>
                <w:rFonts w:cs="Arial"/>
              </w:rPr>
              <w:t xml:space="preserve"> </w:t>
            </w:r>
          </w:p>
          <w:p w14:paraId="036B5AAB" w14:textId="257C839D" w:rsidR="00F62DE8" w:rsidRDefault="00D84AB9" w:rsidP="00D84AB9">
            <w:pPr>
              <w:numPr>
                <w:ilvl w:val="0"/>
                <w:numId w:val="47"/>
              </w:numPr>
              <w:rPr>
                <w:rFonts w:cs="Arial"/>
              </w:rPr>
            </w:pPr>
            <w:r w:rsidRPr="00D84AB9">
              <w:rPr>
                <w:rFonts w:cs="Arial"/>
              </w:rPr>
              <w:t xml:space="preserve">NHS – Attention </w:t>
            </w:r>
            <w:r w:rsidR="000C7A3C">
              <w:rPr>
                <w:rFonts w:cs="Arial"/>
              </w:rPr>
              <w:t>D</w:t>
            </w:r>
            <w:r w:rsidRPr="00D84AB9">
              <w:rPr>
                <w:rFonts w:cs="Arial"/>
              </w:rPr>
              <w:t xml:space="preserve">eficit </w:t>
            </w:r>
            <w:r w:rsidR="000C7A3C">
              <w:rPr>
                <w:rFonts w:cs="Arial"/>
              </w:rPr>
              <w:t>H</w:t>
            </w:r>
            <w:r w:rsidRPr="00D84AB9">
              <w:rPr>
                <w:rFonts w:cs="Arial"/>
              </w:rPr>
              <w:t xml:space="preserve">yperactivity </w:t>
            </w:r>
            <w:r w:rsidR="000C7A3C">
              <w:rPr>
                <w:rFonts w:cs="Arial"/>
              </w:rPr>
              <w:t>D</w:t>
            </w:r>
            <w:r w:rsidRPr="00D84AB9">
              <w:rPr>
                <w:rFonts w:cs="Arial"/>
              </w:rPr>
              <w:t xml:space="preserve">isorder. </w:t>
            </w:r>
            <w:hyperlink r:id="rId22" w:history="1">
              <w:r w:rsidRPr="00D84AB9">
                <w:rPr>
                  <w:rStyle w:val="Hyperlink"/>
                  <w:rFonts w:cs="Arial"/>
                </w:rPr>
                <w:t>https://www.nhs.uk/conditions/attention-deficit-hyperactivity-disorder-adhd/</w:t>
              </w:r>
            </w:hyperlink>
          </w:p>
          <w:p w14:paraId="3D462577" w14:textId="77777777" w:rsidR="00F62DE8" w:rsidRDefault="00F62DE8" w:rsidP="00F62DE8">
            <w:pPr>
              <w:ind w:left="360"/>
              <w:rPr>
                <w:rFonts w:cs="Arial"/>
              </w:rPr>
            </w:pPr>
          </w:p>
          <w:p w14:paraId="298DA26F" w14:textId="471810EF" w:rsidR="00F132AA" w:rsidRPr="007A56FB" w:rsidRDefault="00D84AB9" w:rsidP="007A56FB">
            <w:pPr>
              <w:rPr>
                <w:rFonts w:cs="Arial"/>
              </w:rPr>
            </w:pPr>
            <w:r w:rsidRPr="00F62DE8">
              <w:rPr>
                <w:rFonts w:cs="Arial"/>
              </w:rPr>
              <w:t xml:space="preserve">Patient information leaflets are also available from </w:t>
            </w:r>
            <w:hyperlink r:id="rId23" w:history="1">
              <w:r w:rsidRPr="00F62DE8">
                <w:rPr>
                  <w:rStyle w:val="Hyperlink"/>
                  <w:rFonts w:cs="Arial"/>
                </w:rPr>
                <w:t>https://www.medicines.org.uk/emc/search?q=guanfacine</w:t>
              </w:r>
            </w:hyperlink>
          </w:p>
        </w:tc>
      </w:tr>
      <w:tr w:rsidR="001860C1" w:rsidRPr="00F321FC" w14:paraId="317161E6" w14:textId="77777777" w:rsidTr="00BF174A">
        <w:tc>
          <w:tcPr>
            <w:tcW w:w="2268" w:type="dxa"/>
          </w:tcPr>
          <w:p w14:paraId="7BADD8F8" w14:textId="77777777" w:rsidR="001860C1" w:rsidRDefault="009F106E" w:rsidP="009F106E">
            <w:pPr>
              <w:pStyle w:val="Heading2"/>
              <w:outlineLvl w:val="1"/>
              <w:rPr>
                <w:rFonts w:cs="Arial"/>
              </w:rPr>
            </w:pPr>
            <w:bookmarkStart w:id="29" w:name="twelve_pregnancy"/>
            <w:bookmarkStart w:id="30" w:name="_Toc149231796"/>
            <w:r w:rsidRPr="00F321FC">
              <w:rPr>
                <w:rFonts w:cs="Arial"/>
              </w:rPr>
              <w:lastRenderedPageBreak/>
              <w:t>Pregnancy</w:t>
            </w:r>
            <w:r w:rsidR="00FB404F">
              <w:rPr>
                <w:rFonts w:cs="Arial"/>
              </w:rPr>
              <w:t>, paternal exposure</w:t>
            </w:r>
            <w:r w:rsidRPr="00F321FC">
              <w:rPr>
                <w:rFonts w:cs="Arial"/>
              </w:rPr>
              <w:t xml:space="preserve"> and breastfeeding</w:t>
            </w:r>
            <w:bookmarkEnd w:id="29"/>
            <w:bookmarkEnd w:id="30"/>
          </w:p>
          <w:p w14:paraId="0AE00B39" w14:textId="77777777" w:rsidR="005D79FA" w:rsidRDefault="005D79FA" w:rsidP="005D79FA"/>
          <w:p w14:paraId="4C3ACC97" w14:textId="3495C602" w:rsidR="005D79FA" w:rsidRPr="005D79FA" w:rsidRDefault="005D79FA" w:rsidP="0051526F"/>
        </w:tc>
        <w:tc>
          <w:tcPr>
            <w:tcW w:w="8193" w:type="dxa"/>
          </w:tcPr>
          <w:p w14:paraId="588B71AB" w14:textId="77777777" w:rsidR="0051526F" w:rsidRDefault="0051526F" w:rsidP="0051526F">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7F5D565C" w14:textId="77777777" w:rsidR="0051526F" w:rsidRDefault="0051526F" w:rsidP="0051526F">
            <w:pPr>
              <w:rPr>
                <w:rFonts w:cs="Arial"/>
              </w:rPr>
            </w:pPr>
          </w:p>
          <w:p w14:paraId="4EBC4C15" w14:textId="77777777" w:rsidR="00F34C5E" w:rsidRPr="00F34C5E" w:rsidRDefault="00F34C5E" w:rsidP="00F34C5E">
            <w:pPr>
              <w:rPr>
                <w:rFonts w:cs="Arial"/>
              </w:rPr>
            </w:pPr>
            <w:r w:rsidRPr="007A56FB">
              <w:rPr>
                <w:b/>
                <w:bCs/>
              </w:rPr>
              <w:t>Pregnancy</w:t>
            </w:r>
            <w:r w:rsidRPr="00F34C5E">
              <w:rPr>
                <w:rFonts w:cs="Arial"/>
              </w:rPr>
              <w:t>:</w:t>
            </w:r>
          </w:p>
          <w:p w14:paraId="32F093E4" w14:textId="77777777" w:rsidR="00D84AB9" w:rsidRPr="004D3546" w:rsidRDefault="00D84AB9" w:rsidP="00D84AB9">
            <w:pPr>
              <w:autoSpaceDE w:val="0"/>
              <w:autoSpaceDN w:val="0"/>
              <w:adjustRightInd w:val="0"/>
              <w:rPr>
                <w:rFonts w:eastAsia="Times New Roman" w:cs="Arial"/>
                <w:color w:val="000000"/>
                <w:lang w:eastAsia="en-GB"/>
              </w:rPr>
            </w:pPr>
            <w:r w:rsidRPr="004D3546">
              <w:rPr>
                <w:rFonts w:eastAsia="Times New Roman" w:cs="Arial"/>
                <w:color w:val="000000"/>
                <w:lang w:eastAsia="en-GB"/>
              </w:rPr>
              <w:t xml:space="preserve">Guanfacine is not recommended for use during pregnancy. There are no or limited data from the use of guanfacine in pregnant women, and animal studies have shown reproductive toxicity. </w:t>
            </w:r>
          </w:p>
          <w:p w14:paraId="0F5BEFF9" w14:textId="207A59C4" w:rsidR="00F34C5E" w:rsidRPr="00D84AB9" w:rsidRDefault="00D84AB9" w:rsidP="00D84AB9">
            <w:pPr>
              <w:autoSpaceDE w:val="0"/>
              <w:autoSpaceDN w:val="0"/>
              <w:adjustRightInd w:val="0"/>
              <w:rPr>
                <w:rFonts w:eastAsia="Times New Roman" w:cs="Arial"/>
                <w:color w:val="000000"/>
                <w:lang w:eastAsia="en-GB"/>
              </w:rPr>
            </w:pPr>
            <w:r w:rsidRPr="004D3546">
              <w:rPr>
                <w:rFonts w:eastAsia="Times New Roman" w:cs="Arial"/>
                <w:color w:val="000000"/>
                <w:lang w:eastAsia="en-GB"/>
              </w:rPr>
              <w:t>Patients who become pregnant while taking guanfacine, or who</w:t>
            </w:r>
            <w:r w:rsidR="000E1A85">
              <w:rPr>
                <w:rFonts w:eastAsia="Times New Roman" w:cs="Arial"/>
                <w:color w:val="000000"/>
                <w:lang w:eastAsia="en-GB"/>
              </w:rPr>
              <w:t xml:space="preserve"> are</w:t>
            </w:r>
            <w:r w:rsidRPr="004D3546">
              <w:rPr>
                <w:rFonts w:eastAsia="Times New Roman" w:cs="Arial"/>
                <w:color w:val="000000"/>
                <w:lang w:eastAsia="en-GB"/>
              </w:rPr>
              <w:t xml:space="preserve"> </w:t>
            </w:r>
            <w:r w:rsidR="000E1A85">
              <w:rPr>
                <w:rFonts w:eastAsia="Times New Roman" w:cs="Arial"/>
                <w:color w:val="000000"/>
                <w:lang w:eastAsia="en-GB"/>
              </w:rPr>
              <w:t xml:space="preserve">planning </w:t>
            </w:r>
            <w:r w:rsidRPr="004D3546">
              <w:rPr>
                <w:rFonts w:eastAsia="Times New Roman" w:cs="Arial"/>
                <w:color w:val="000000"/>
                <w:lang w:eastAsia="en-GB"/>
              </w:rPr>
              <w:t xml:space="preserve">a pregnancy, should be referred to the specialist team for review. </w:t>
            </w:r>
          </w:p>
          <w:p w14:paraId="1E2891A3" w14:textId="77777777" w:rsidR="007A56FB" w:rsidRPr="00F34C5E" w:rsidRDefault="007A56FB" w:rsidP="00F34C5E">
            <w:pPr>
              <w:rPr>
                <w:rFonts w:cs="Arial"/>
              </w:rPr>
            </w:pPr>
          </w:p>
          <w:p w14:paraId="59D5FB1A" w14:textId="77777777" w:rsidR="00F34C5E" w:rsidRPr="00F34C5E" w:rsidRDefault="00F34C5E" w:rsidP="00F34C5E">
            <w:pPr>
              <w:rPr>
                <w:rFonts w:cs="Arial"/>
              </w:rPr>
            </w:pPr>
            <w:r w:rsidRPr="007A56FB">
              <w:rPr>
                <w:b/>
                <w:bCs/>
              </w:rPr>
              <w:t>Breastfeeding</w:t>
            </w:r>
            <w:r w:rsidRPr="00F34C5E">
              <w:rPr>
                <w:rFonts w:cs="Arial"/>
              </w:rPr>
              <w:t>:</w:t>
            </w:r>
          </w:p>
          <w:p w14:paraId="05DE51BB" w14:textId="00474566" w:rsidR="00777B86" w:rsidRDefault="00777B86" w:rsidP="007A56FB">
            <w:pPr>
              <w:rPr>
                <w:rFonts w:cs="Arial"/>
              </w:rPr>
            </w:pPr>
            <w:r>
              <w:rPr>
                <w:rFonts w:cs="Arial"/>
              </w:rPr>
              <w:t xml:space="preserve">There is no published evidence on the safety of guanfacine in breastfeeding. </w:t>
            </w:r>
            <w:r w:rsidR="00754B45">
              <w:rPr>
                <w:rFonts w:cs="Arial"/>
              </w:rPr>
              <w:t>Animal studies</w:t>
            </w:r>
            <w:r w:rsidRPr="00777B86">
              <w:rPr>
                <w:rFonts w:cs="Arial"/>
              </w:rPr>
              <w:t xml:space="preserve"> have shown excretion of guanfacine and its metabolites in milk. Therefore, a risk </w:t>
            </w:r>
            <w:r w:rsidR="00ED5A00">
              <w:rPr>
                <w:rFonts w:cs="Arial"/>
              </w:rPr>
              <w:t>to</w:t>
            </w:r>
            <w:r w:rsidRPr="00777B86">
              <w:rPr>
                <w:rFonts w:cs="Arial"/>
              </w:rPr>
              <w:t xml:space="preserve"> the breastfed infant cannot be excluded.</w:t>
            </w:r>
            <w:r w:rsidR="00ED5A00">
              <w:rPr>
                <w:rFonts w:cs="Arial"/>
              </w:rPr>
              <w:t xml:space="preserve"> Decisions on whether to use guanfacine while breastfeeding should be made on a case-by-case basis with specialist input e.g. </w:t>
            </w:r>
            <w:hyperlink r:id="rId24" w:history="1">
              <w:r w:rsidR="00ED5A00" w:rsidRPr="00ED5A00">
                <w:rPr>
                  <w:rStyle w:val="Hyperlink"/>
                  <w:rFonts w:cs="Arial"/>
                </w:rPr>
                <w:t>UK</w:t>
              </w:r>
              <w:r w:rsidR="0096236C">
                <w:rPr>
                  <w:rStyle w:val="Hyperlink"/>
                  <w:rFonts w:cs="Arial"/>
                </w:rPr>
                <w:t xml:space="preserve"> </w:t>
              </w:r>
              <w:r w:rsidR="00ED5A00" w:rsidRPr="00ED5A00">
                <w:rPr>
                  <w:rStyle w:val="Hyperlink"/>
                  <w:rFonts w:cs="Arial"/>
                </w:rPr>
                <w:t>D</w:t>
              </w:r>
              <w:r w:rsidR="0096236C">
                <w:rPr>
                  <w:rStyle w:val="Hyperlink"/>
                  <w:rFonts w:cs="Arial"/>
                </w:rPr>
                <w:t>r</w:t>
              </w:r>
              <w:r w:rsidR="0096236C">
                <w:rPr>
                  <w:rStyle w:val="Hyperlink"/>
                </w:rPr>
                <w:t xml:space="preserve">ugs in </w:t>
              </w:r>
              <w:r w:rsidR="00ED5A00" w:rsidRPr="00ED5A00">
                <w:rPr>
                  <w:rStyle w:val="Hyperlink"/>
                  <w:rFonts w:cs="Arial"/>
                </w:rPr>
                <w:t>L</w:t>
              </w:r>
              <w:r w:rsidR="0096236C">
                <w:rPr>
                  <w:rStyle w:val="Hyperlink"/>
                  <w:rFonts w:cs="Arial"/>
                </w:rPr>
                <w:t>a</w:t>
              </w:r>
              <w:r w:rsidR="0096236C">
                <w:rPr>
                  <w:rStyle w:val="Hyperlink"/>
                </w:rPr>
                <w:t xml:space="preserve">ctation </w:t>
              </w:r>
              <w:r w:rsidR="00ED5A00" w:rsidRPr="00ED5A00">
                <w:rPr>
                  <w:rStyle w:val="Hyperlink"/>
                  <w:rFonts w:cs="Arial"/>
                </w:rPr>
                <w:t>A</w:t>
              </w:r>
              <w:r w:rsidR="0096236C">
                <w:rPr>
                  <w:rStyle w:val="Hyperlink"/>
                  <w:rFonts w:cs="Arial"/>
                </w:rPr>
                <w:t>d</w:t>
              </w:r>
              <w:r w:rsidR="0096236C">
                <w:rPr>
                  <w:rStyle w:val="Hyperlink"/>
                </w:rPr>
                <w:t xml:space="preserve">visory </w:t>
              </w:r>
              <w:r w:rsidR="00ED5A00" w:rsidRPr="00ED5A00">
                <w:rPr>
                  <w:rStyle w:val="Hyperlink"/>
                  <w:rFonts w:cs="Arial"/>
                </w:rPr>
                <w:t>S</w:t>
              </w:r>
            </w:hyperlink>
            <w:r w:rsidR="0096236C">
              <w:rPr>
                <w:rStyle w:val="Hyperlink"/>
                <w:rFonts w:cs="Arial"/>
              </w:rPr>
              <w:t>e</w:t>
            </w:r>
            <w:r w:rsidR="0096236C">
              <w:rPr>
                <w:rStyle w:val="Hyperlink"/>
              </w:rPr>
              <w:t>rvice</w:t>
            </w:r>
            <w:r w:rsidR="00ED5A00">
              <w:rPr>
                <w:rFonts w:cs="Arial"/>
              </w:rPr>
              <w:t xml:space="preserve">, taking into account the risks to the infant and benefits of therapy.  </w:t>
            </w:r>
          </w:p>
          <w:p w14:paraId="0E2398DE" w14:textId="2DBFF6D5" w:rsidR="007A56FB" w:rsidRDefault="007A56FB" w:rsidP="007A56FB">
            <w:pPr>
              <w:rPr>
                <w:rFonts w:cs="Arial"/>
              </w:rPr>
            </w:pPr>
          </w:p>
          <w:p w14:paraId="046C9857" w14:textId="77777777" w:rsidR="00FB404F" w:rsidRDefault="007A56FB" w:rsidP="007A56FB">
            <w:pPr>
              <w:rPr>
                <w:rFonts w:cs="Arial"/>
              </w:rPr>
            </w:pPr>
            <w:r w:rsidRPr="007A56FB">
              <w:rPr>
                <w:rFonts w:cs="Arial"/>
                <w:b/>
                <w:bCs/>
              </w:rPr>
              <w:t>Paternal exposure</w:t>
            </w:r>
            <w:r>
              <w:rPr>
                <w:rFonts w:cs="Arial"/>
              </w:rPr>
              <w:t xml:space="preserve">: </w:t>
            </w:r>
          </w:p>
          <w:p w14:paraId="06C7937A" w14:textId="7EA1E603" w:rsidR="007A56FB" w:rsidRPr="007A56FB" w:rsidRDefault="00F62DE8" w:rsidP="007A56FB">
            <w:pPr>
              <w:rPr>
                <w:rFonts w:cs="Arial"/>
              </w:rPr>
            </w:pPr>
            <w:r w:rsidRPr="004D3546">
              <w:rPr>
                <w:rFonts w:eastAsia="Times New Roman" w:cs="Arial"/>
                <w:color w:val="000000"/>
                <w:lang w:eastAsia="en-GB"/>
              </w:rPr>
              <w:lastRenderedPageBreak/>
              <w:t xml:space="preserve">No evidence regarding paternal exposure was identified.  </w:t>
            </w:r>
          </w:p>
        </w:tc>
      </w:tr>
      <w:tr w:rsidR="00767B99" w:rsidRPr="00F321FC" w14:paraId="6398E15E" w14:textId="77777777" w:rsidTr="00BF174A">
        <w:tc>
          <w:tcPr>
            <w:tcW w:w="2268" w:type="dxa"/>
          </w:tcPr>
          <w:p w14:paraId="6BB398C7" w14:textId="6C037366" w:rsidR="00767B99" w:rsidRPr="00F321FC" w:rsidRDefault="00767B99" w:rsidP="00767B99">
            <w:pPr>
              <w:pStyle w:val="Heading2"/>
              <w:outlineLvl w:val="1"/>
              <w:rPr>
                <w:rFonts w:cs="Arial"/>
              </w:rPr>
            </w:pPr>
            <w:bookmarkStart w:id="31" w:name="thirteen_specialist_contact"/>
            <w:bookmarkStart w:id="32" w:name="_Toc149231797"/>
            <w:r w:rsidRPr="00F321FC">
              <w:rPr>
                <w:rFonts w:cs="Arial"/>
              </w:rPr>
              <w:lastRenderedPageBreak/>
              <w:t>Specialist contact information</w:t>
            </w:r>
            <w:r>
              <w:rPr>
                <w:rFonts w:cs="Arial"/>
              </w:rPr>
              <w:t xml:space="preserve"> and arrangements for referral</w:t>
            </w:r>
            <w:bookmarkEnd w:id="31"/>
            <w:bookmarkEnd w:id="32"/>
          </w:p>
        </w:tc>
        <w:tc>
          <w:tcPr>
            <w:tcW w:w="8193" w:type="dxa"/>
          </w:tcPr>
          <w:p w14:paraId="63F90746" w14:textId="263D8E3F" w:rsidR="00767B99" w:rsidRPr="000C7A3C" w:rsidRDefault="00E90316" w:rsidP="000C7A3C">
            <w:pPr>
              <w:rPr>
                <w:rFonts w:cs="Arial"/>
              </w:rPr>
            </w:pPr>
            <w:r w:rsidRPr="00E90316">
              <w:rPr>
                <w:rFonts w:cs="Arial"/>
              </w:rPr>
              <w:t>Details for contacting specialist must be included on clinic letter.</w:t>
            </w:r>
          </w:p>
        </w:tc>
      </w:tr>
      <w:tr w:rsidR="00767B99" w:rsidRPr="00F321FC" w14:paraId="207E7612" w14:textId="77777777" w:rsidTr="00BF174A">
        <w:tc>
          <w:tcPr>
            <w:tcW w:w="2268" w:type="dxa"/>
          </w:tcPr>
          <w:p w14:paraId="1F87C246" w14:textId="316BF7A3" w:rsidR="00767B99" w:rsidRPr="00F321FC" w:rsidRDefault="00767B99" w:rsidP="00767B99">
            <w:pPr>
              <w:pStyle w:val="Heading2"/>
              <w:outlineLvl w:val="1"/>
              <w:rPr>
                <w:rFonts w:cs="Arial"/>
              </w:rPr>
            </w:pPr>
            <w:bookmarkStart w:id="33" w:name="fourteen_additional_info"/>
            <w:bookmarkStart w:id="34" w:name="_Toc149231798"/>
            <w:r w:rsidRPr="00F321FC">
              <w:rPr>
                <w:rFonts w:cs="Arial"/>
              </w:rPr>
              <w:t>Additional information</w:t>
            </w:r>
            <w:bookmarkEnd w:id="33"/>
            <w:bookmarkEnd w:id="34"/>
          </w:p>
        </w:tc>
        <w:tc>
          <w:tcPr>
            <w:tcW w:w="8193" w:type="dxa"/>
          </w:tcPr>
          <w:p w14:paraId="581EA439" w14:textId="77777777" w:rsidR="00767B99" w:rsidRDefault="005D79FA" w:rsidP="00FB404F">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p w14:paraId="4AA27BDE" w14:textId="77777777" w:rsidR="00E218D5" w:rsidRPr="00E218D5" w:rsidRDefault="00E218D5" w:rsidP="00FB404F">
            <w:pPr>
              <w:rPr>
                <w:rFonts w:cs="Arial"/>
                <w:color w:val="00B050"/>
                <w:sz w:val="24"/>
                <w:szCs w:val="24"/>
              </w:rPr>
            </w:pPr>
          </w:p>
          <w:p w14:paraId="5676C578" w14:textId="03BB4475" w:rsidR="00E218D5" w:rsidRPr="003B4362" w:rsidRDefault="00E218D5" w:rsidP="00E218D5">
            <w:pPr>
              <w:rPr>
                <w:rFonts w:cs="Arial"/>
                <w:color w:val="0070C0"/>
              </w:rPr>
            </w:pPr>
            <w:r w:rsidRPr="003B4362">
              <w:rPr>
                <w:rFonts w:cs="Arial"/>
                <w:color w:val="0070C0"/>
              </w:rPr>
              <w:t>Notify specialist immediately (within 2 weeks) if transfer of prescribing and monitoring responsibility is not accepted so that alternative arrangements can be put in place.</w:t>
            </w:r>
          </w:p>
          <w:p w14:paraId="258273EC" w14:textId="4BA15DBC" w:rsidR="00E218D5" w:rsidRPr="003B4362" w:rsidRDefault="00E218D5" w:rsidP="00E218D5">
            <w:pPr>
              <w:tabs>
                <w:tab w:val="right" w:pos="2500"/>
                <w:tab w:val="left" w:pos="2600"/>
              </w:tabs>
              <w:rPr>
                <w:rFonts w:cs="Arial"/>
                <w:color w:val="0070C0"/>
              </w:rPr>
            </w:pPr>
            <w:r w:rsidRPr="003B4362">
              <w:rPr>
                <w:rFonts w:cs="Arial"/>
                <w:color w:val="0070C0"/>
              </w:rPr>
              <w:t xml:space="preserve">Contact specialist if communication of prescribing &amp; monitoring requirements is </w:t>
            </w:r>
            <w:r w:rsidR="00263667" w:rsidRPr="003B4362">
              <w:rPr>
                <w:rFonts w:cs="Arial"/>
                <w:color w:val="0070C0"/>
              </w:rPr>
              <w:t>un</w:t>
            </w:r>
            <w:r w:rsidRPr="003B4362">
              <w:rPr>
                <w:rFonts w:cs="Arial"/>
                <w:color w:val="0070C0"/>
              </w:rPr>
              <w:t>clear.</w:t>
            </w:r>
          </w:p>
          <w:p w14:paraId="3634BE8A" w14:textId="5D969788" w:rsidR="00E218D5" w:rsidRPr="00F321FC" w:rsidRDefault="00E218D5" w:rsidP="00FB404F">
            <w:pPr>
              <w:rPr>
                <w:rFonts w:cs="Arial"/>
              </w:rPr>
            </w:pPr>
          </w:p>
        </w:tc>
      </w:tr>
      <w:tr w:rsidR="00767B99" w:rsidRPr="00F321FC" w14:paraId="6B6F9FF7" w14:textId="77777777" w:rsidTr="00BF174A">
        <w:tc>
          <w:tcPr>
            <w:tcW w:w="2268" w:type="dxa"/>
          </w:tcPr>
          <w:p w14:paraId="4580613D" w14:textId="3D2EB4DF" w:rsidR="00767B99" w:rsidRPr="00F321FC" w:rsidRDefault="00767B99" w:rsidP="00767B99">
            <w:pPr>
              <w:pStyle w:val="Heading2"/>
              <w:outlineLvl w:val="1"/>
              <w:rPr>
                <w:rFonts w:cs="Arial"/>
              </w:rPr>
            </w:pPr>
            <w:bookmarkStart w:id="35" w:name="fifteen_references"/>
            <w:bookmarkStart w:id="36" w:name="_Toc149231799"/>
            <w:r w:rsidRPr="00F321FC">
              <w:rPr>
                <w:rFonts w:cs="Arial"/>
              </w:rPr>
              <w:t>References</w:t>
            </w:r>
            <w:bookmarkEnd w:id="35"/>
            <w:bookmarkEnd w:id="36"/>
          </w:p>
        </w:tc>
        <w:tc>
          <w:tcPr>
            <w:tcW w:w="8193" w:type="dxa"/>
          </w:tcPr>
          <w:p w14:paraId="21D250C9" w14:textId="6006183F" w:rsidR="00F62DE8" w:rsidRPr="00F62DE8" w:rsidRDefault="00F62DE8" w:rsidP="00175D50">
            <w:pPr>
              <w:pStyle w:val="ListParagraph"/>
              <w:numPr>
                <w:ilvl w:val="0"/>
                <w:numId w:val="48"/>
              </w:numPr>
              <w:rPr>
                <w:rFonts w:cs="Arial"/>
              </w:rPr>
            </w:pPr>
            <w:r w:rsidRPr="00F62DE8">
              <w:rPr>
                <w:rFonts w:cs="Arial"/>
              </w:rPr>
              <w:t xml:space="preserve">eBNF. Guanfacine. Accessed via </w:t>
            </w:r>
            <w:hyperlink r:id="rId25" w:history="1">
              <w:r w:rsidR="00175D50" w:rsidRPr="00F105EB">
                <w:rPr>
                  <w:rStyle w:val="Hyperlink"/>
                  <w:rFonts w:cs="Arial"/>
                </w:rPr>
                <w:t>https://bnf.nice.org.uk/drug/guanfacine.html</w:t>
              </w:r>
            </w:hyperlink>
            <w:r w:rsidR="00175D50">
              <w:rPr>
                <w:rFonts w:cs="Arial"/>
              </w:rPr>
              <w:t xml:space="preserve"> </w:t>
            </w:r>
            <w:r w:rsidRPr="00F62DE8">
              <w:rPr>
                <w:rFonts w:cs="Arial"/>
              </w:rPr>
              <w:t xml:space="preserve"> on </w:t>
            </w:r>
            <w:r w:rsidR="00874EE5">
              <w:rPr>
                <w:rFonts w:cs="Arial"/>
              </w:rPr>
              <w:t>02/04/2024.</w:t>
            </w:r>
          </w:p>
          <w:p w14:paraId="1C71FA40" w14:textId="4171CC90" w:rsidR="00F62DE8" w:rsidRPr="00F62DE8" w:rsidRDefault="00F62DE8" w:rsidP="00F62DE8">
            <w:pPr>
              <w:pStyle w:val="ListParagraph"/>
              <w:numPr>
                <w:ilvl w:val="0"/>
                <w:numId w:val="48"/>
              </w:numPr>
              <w:rPr>
                <w:rFonts w:cs="Arial"/>
              </w:rPr>
            </w:pPr>
            <w:r w:rsidRPr="00F62DE8">
              <w:rPr>
                <w:rFonts w:cs="Arial"/>
              </w:rPr>
              <w:t xml:space="preserve">Guanfacine hydrochloride 1mg prolonged-release tablets (Intuniv®). Date of revision of the text </w:t>
            </w:r>
            <w:r w:rsidR="00175D50">
              <w:rPr>
                <w:rFonts w:cs="Arial"/>
              </w:rPr>
              <w:t>15</w:t>
            </w:r>
            <w:r w:rsidR="00874EE5">
              <w:rPr>
                <w:rFonts w:cs="Arial"/>
              </w:rPr>
              <w:t>/05/2023</w:t>
            </w:r>
            <w:r w:rsidRPr="00F62DE8">
              <w:rPr>
                <w:rFonts w:cs="Arial"/>
              </w:rPr>
              <w:t xml:space="preserve">. Accessed via </w:t>
            </w:r>
            <w:hyperlink r:id="rId26" w:history="1">
              <w:r w:rsidRPr="00F62DE8">
                <w:rPr>
                  <w:rStyle w:val="Hyperlink"/>
                  <w:rFonts w:cs="Arial"/>
                </w:rPr>
                <w:t>https://www.medicines.org.uk/emc/product/5099</w:t>
              </w:r>
            </w:hyperlink>
            <w:r w:rsidRPr="00F62DE8">
              <w:rPr>
                <w:rFonts w:cs="Arial"/>
              </w:rPr>
              <w:t xml:space="preserve"> on 0</w:t>
            </w:r>
            <w:r w:rsidR="00874EE5">
              <w:rPr>
                <w:rFonts w:cs="Arial"/>
              </w:rPr>
              <w:t>2/04/2024.</w:t>
            </w:r>
          </w:p>
          <w:p w14:paraId="5B9A2AD0" w14:textId="6A791D0F" w:rsidR="00F62DE8" w:rsidRPr="00F62DE8" w:rsidRDefault="00F62DE8" w:rsidP="00F62DE8">
            <w:pPr>
              <w:pStyle w:val="ListParagraph"/>
              <w:numPr>
                <w:ilvl w:val="0"/>
                <w:numId w:val="48"/>
              </w:numPr>
              <w:rPr>
                <w:rFonts w:cs="Arial"/>
              </w:rPr>
            </w:pPr>
            <w:r w:rsidRPr="00F62DE8">
              <w:rPr>
                <w:rFonts w:cs="Arial"/>
              </w:rPr>
              <w:t xml:space="preserve">NICE NG87: Attention deficit hyperactivity disorder: diagnosis and management. Last updated September 2019. Accessed via </w:t>
            </w:r>
            <w:hyperlink r:id="rId27" w:history="1">
              <w:r w:rsidRPr="00F62DE8">
                <w:rPr>
                  <w:rStyle w:val="Hyperlink"/>
                  <w:rFonts w:cs="Arial"/>
                </w:rPr>
                <w:t>https://www.nice.org.uk/guidance/ng87/</w:t>
              </w:r>
            </w:hyperlink>
            <w:r w:rsidRPr="00F62DE8">
              <w:rPr>
                <w:rFonts w:cs="Arial"/>
              </w:rPr>
              <w:t xml:space="preserve"> on 0</w:t>
            </w:r>
            <w:r w:rsidR="00874EE5">
              <w:rPr>
                <w:rFonts w:cs="Arial"/>
              </w:rPr>
              <w:t>2/04/2024.</w:t>
            </w:r>
          </w:p>
          <w:p w14:paraId="446944EE" w14:textId="63EDCB83" w:rsidR="00F62DE8" w:rsidRPr="00F62DE8" w:rsidRDefault="00F62DE8" w:rsidP="00F62DE8">
            <w:pPr>
              <w:pStyle w:val="ListParagraph"/>
              <w:numPr>
                <w:ilvl w:val="0"/>
                <w:numId w:val="48"/>
              </w:numPr>
              <w:rPr>
                <w:rFonts w:cs="Arial"/>
              </w:rPr>
            </w:pPr>
            <w:r w:rsidRPr="00F62DE8">
              <w:rPr>
                <w:rFonts w:cs="Arial"/>
              </w:rPr>
              <w:t xml:space="preserve">NICE NG43: Transition from children’s to adults’ services for young people using health or social care services. Last updated February 2016. Accessed via </w:t>
            </w:r>
            <w:hyperlink r:id="rId28" w:history="1">
              <w:r w:rsidRPr="00F62DE8">
                <w:rPr>
                  <w:rStyle w:val="Hyperlink"/>
                  <w:rFonts w:cs="Arial"/>
                </w:rPr>
                <w:t>https://www.nice.org.uk/guidance/ng43/</w:t>
              </w:r>
            </w:hyperlink>
            <w:r w:rsidRPr="00F62DE8">
              <w:rPr>
                <w:rFonts w:cs="Arial"/>
              </w:rPr>
              <w:t xml:space="preserve"> on 0</w:t>
            </w:r>
            <w:r w:rsidR="00874EE5">
              <w:rPr>
                <w:rFonts w:cs="Arial"/>
              </w:rPr>
              <w:t>2/04/2024.</w:t>
            </w:r>
            <w:r w:rsidRPr="00F62DE8">
              <w:rPr>
                <w:rFonts w:cs="Arial"/>
              </w:rPr>
              <w:t xml:space="preserve"> </w:t>
            </w:r>
          </w:p>
          <w:p w14:paraId="0DDB4569" w14:textId="03F7FC39" w:rsidR="00EF276F" w:rsidRPr="00F62DE8" w:rsidRDefault="00F62DE8" w:rsidP="00F62DE8">
            <w:pPr>
              <w:pStyle w:val="ListParagraph"/>
              <w:numPr>
                <w:ilvl w:val="0"/>
                <w:numId w:val="48"/>
              </w:numPr>
              <w:rPr>
                <w:rFonts w:cs="Arial"/>
              </w:rPr>
            </w:pPr>
            <w:r w:rsidRPr="00F62DE8">
              <w:rPr>
                <w:rFonts w:cs="Arial"/>
              </w:rPr>
              <w:t xml:space="preserve">Guanfacine risk minimisation materials. Updated </w:t>
            </w:r>
            <w:r w:rsidR="00874EE5">
              <w:rPr>
                <w:rFonts w:cs="Arial"/>
              </w:rPr>
              <w:t>June 2022</w:t>
            </w:r>
            <w:r w:rsidRPr="00F62DE8">
              <w:rPr>
                <w:rFonts w:cs="Arial"/>
              </w:rPr>
              <w:t>. Accessed via</w:t>
            </w:r>
            <w:r w:rsidR="00A90F72">
              <w:rPr>
                <w:rFonts w:cs="Arial"/>
              </w:rPr>
              <w:t xml:space="preserve"> </w:t>
            </w:r>
            <w:hyperlink r:id="rId29" w:anchor="about-medicine" w:history="1">
              <w:r w:rsidR="00A90F72" w:rsidRPr="003E2E4B">
                <w:rPr>
                  <w:rStyle w:val="Hyperlink"/>
                  <w:rFonts w:cs="Arial"/>
                </w:rPr>
                <w:t>https://www.medicines.org.uk/emc/product/7507/rmms#about-medicine</w:t>
              </w:r>
            </w:hyperlink>
            <w:r w:rsidR="00A90F72">
              <w:rPr>
                <w:rFonts w:cs="Arial"/>
              </w:rPr>
              <w:t xml:space="preserve"> on 02/04/2024</w:t>
            </w:r>
            <w:r w:rsidRPr="00F62DE8">
              <w:rPr>
                <w:rFonts w:cs="Arial"/>
              </w:rPr>
              <w:t>.</w:t>
            </w:r>
          </w:p>
          <w:p w14:paraId="01D18DD5" w14:textId="1B80D92C" w:rsidR="002A2C9D" w:rsidRPr="005B3B0C" w:rsidRDefault="00EF276F" w:rsidP="002A2C9D">
            <w:pPr>
              <w:pStyle w:val="ListParagraph"/>
              <w:numPr>
                <w:ilvl w:val="0"/>
                <w:numId w:val="48"/>
              </w:numPr>
              <w:rPr>
                <w:rFonts w:cs="Arial"/>
              </w:rPr>
            </w:pPr>
            <w:r w:rsidRPr="00EF276F">
              <w:rPr>
                <w:rFonts w:cs="Arial"/>
              </w:rPr>
              <w:t>Drugs and Lactation Database (</w:t>
            </w:r>
            <w:proofErr w:type="spellStart"/>
            <w:r w:rsidRPr="00EF276F">
              <w:rPr>
                <w:rFonts w:cs="Arial"/>
              </w:rPr>
              <w:t>LactMed</w:t>
            </w:r>
            <w:proofErr w:type="spellEnd"/>
            <w:r w:rsidRPr="00EF276F">
              <w:rPr>
                <w:rFonts w:cs="Arial"/>
              </w:rPr>
              <w:t>®)</w:t>
            </w:r>
            <w:r>
              <w:rPr>
                <w:rFonts w:cs="Arial"/>
              </w:rPr>
              <w:t xml:space="preserve">. Guanfacine. Last updated February 2023. Accessed via </w:t>
            </w:r>
            <w:hyperlink r:id="rId30" w:history="1">
              <w:r w:rsidR="000E1A85" w:rsidRPr="003E2E4B">
                <w:rPr>
                  <w:rStyle w:val="Hyperlink"/>
                  <w:rFonts w:cs="Arial"/>
                </w:rPr>
                <w:t>https://www.ncbi.nlm.nih.gov/books/NBK501522/</w:t>
              </w:r>
            </w:hyperlink>
            <w:r w:rsidR="000E1A85">
              <w:rPr>
                <w:rFonts w:cs="Arial"/>
              </w:rPr>
              <w:t xml:space="preserve"> </w:t>
            </w:r>
            <w:r>
              <w:rPr>
                <w:rFonts w:cs="Arial"/>
              </w:rPr>
              <w:t>on 23/04/2024.</w:t>
            </w:r>
          </w:p>
          <w:p w14:paraId="691F28DD" w14:textId="5A08FBA1" w:rsidR="0085244E" w:rsidRPr="00F62DE8" w:rsidRDefault="002A2C9D" w:rsidP="005B3B0C">
            <w:pPr>
              <w:pStyle w:val="ListParagraph"/>
              <w:numPr>
                <w:ilvl w:val="0"/>
                <w:numId w:val="48"/>
              </w:numPr>
            </w:pPr>
            <w:r>
              <w:t xml:space="preserve">Regional Medicines Optimisation Committee (RMOC). February 2021. Shared Care for Medicines Guidance – A Standard Approach. Available via </w:t>
            </w:r>
            <w:hyperlink r:id="rId31" w:history="1">
              <w:r w:rsidRPr="002A2C9D">
                <w:rPr>
                  <w:rStyle w:val="Hyperlink"/>
                </w:rPr>
                <w:t>FutureNHS</w:t>
              </w:r>
            </w:hyperlink>
            <w:r>
              <w:t xml:space="preserve"> (log in required).</w:t>
            </w:r>
          </w:p>
        </w:tc>
      </w:tr>
      <w:tr w:rsidR="00767B99" w:rsidRPr="00F321FC" w14:paraId="5BFC9044" w14:textId="77777777" w:rsidTr="00BF174A">
        <w:tc>
          <w:tcPr>
            <w:tcW w:w="2268" w:type="dxa"/>
          </w:tcPr>
          <w:p w14:paraId="2578110D" w14:textId="586DDC3D" w:rsidR="00767B99" w:rsidRPr="00F321FC" w:rsidRDefault="00767B99" w:rsidP="00767B99">
            <w:pPr>
              <w:pStyle w:val="Heading2"/>
              <w:outlineLvl w:val="1"/>
              <w:rPr>
                <w:rFonts w:cs="Arial"/>
              </w:rPr>
            </w:pPr>
            <w:bookmarkStart w:id="37" w:name="sixteen_read_with"/>
            <w:bookmarkStart w:id="38" w:name="_Toc149231800"/>
            <w:r w:rsidRPr="00F321FC">
              <w:rPr>
                <w:rFonts w:cs="Arial"/>
              </w:rPr>
              <w:t>To be read in conjunction with the following documents</w:t>
            </w:r>
            <w:bookmarkEnd w:id="37"/>
            <w:bookmarkEnd w:id="38"/>
          </w:p>
        </w:tc>
        <w:tc>
          <w:tcPr>
            <w:tcW w:w="8193" w:type="dxa"/>
          </w:tcPr>
          <w:p w14:paraId="2D3D56F2" w14:textId="12AD946B"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32" w:history="1">
              <w:r w:rsidRPr="00FB404F">
                <w:rPr>
                  <w:rStyle w:val="Hyperlink"/>
                  <w:rFonts w:cs="Arial"/>
                </w:rPr>
                <w:t>https://www.england.nhs.uk/publication/responsibility-for-prescribing-between-primary-and-secondary-tertiary-care/</w:t>
              </w:r>
            </w:hyperlink>
            <w:r w:rsidR="0096236C">
              <w:rPr>
                <w:rFonts w:cs="Arial"/>
              </w:rPr>
              <w:t>.</w:t>
            </w:r>
          </w:p>
          <w:p w14:paraId="253D5A7B" w14:textId="101B415D"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33" w:history="1">
              <w:r w:rsidRPr="00FB404F">
                <w:rPr>
                  <w:rStyle w:val="Hyperlink"/>
                  <w:rFonts w:eastAsia="Times New Roman" w:cs="Arial"/>
                  <w:lang w:eastAsia="en-GB"/>
                </w:rPr>
                <w:t>https://www.gmc-uk.org/ethical-guidance/ethical-guidance-for-doctors/good-practice-in-prescribing-and-managing-medicines-and-devices/shared-care</w:t>
              </w:r>
            </w:hyperlink>
            <w:r w:rsidR="0096236C">
              <w:rPr>
                <w:rFonts w:eastAsia="Times New Roman" w:cs="Arial"/>
                <w:lang w:eastAsia="en-GB"/>
              </w:rPr>
              <w:t>.</w:t>
            </w:r>
          </w:p>
          <w:p w14:paraId="0A32DAB2" w14:textId="781DB999" w:rsidR="00767B99" w:rsidRPr="00FB404F" w:rsidRDefault="00FB404F" w:rsidP="00FB404F">
            <w:pPr>
              <w:pStyle w:val="References"/>
              <w:spacing w:after="60"/>
              <w:rPr>
                <w:rFonts w:cs="Arial"/>
              </w:rPr>
            </w:pPr>
            <w:r w:rsidRPr="00FB404F">
              <w:rPr>
                <w:rFonts w:eastAsia="Times New Roman" w:cs="Arial"/>
                <w:lang w:eastAsia="en-GB"/>
              </w:rPr>
              <w:t xml:space="preserve">NICE NG197: Shared decision making. Last updated June 2021. </w:t>
            </w:r>
            <w:hyperlink r:id="rId34"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1D58D8AD" w14:textId="77777777" w:rsidR="00F62DE8" w:rsidRPr="00F62DE8" w:rsidRDefault="00F62DE8" w:rsidP="00F62DE8"/>
    <w:p w14:paraId="0284A701" w14:textId="77777777" w:rsidR="00F62DE8" w:rsidRPr="00F62DE8" w:rsidRDefault="00F62DE8" w:rsidP="00F62DE8"/>
    <w:p w14:paraId="58328CC8" w14:textId="77777777" w:rsidR="00F62DE8" w:rsidRPr="00F62DE8" w:rsidRDefault="00F62DE8" w:rsidP="00F62DE8"/>
    <w:p w14:paraId="5A2DEC93" w14:textId="77777777" w:rsidR="00F62DE8" w:rsidRPr="00F62DE8" w:rsidRDefault="00F62DE8" w:rsidP="00F62DE8"/>
    <w:p w14:paraId="6F2FB126" w14:textId="77777777" w:rsidR="00F62DE8" w:rsidRPr="00F62DE8" w:rsidRDefault="00F62DE8" w:rsidP="00F62DE8"/>
    <w:p w14:paraId="44944D3D" w14:textId="77777777" w:rsidR="00F62DE8" w:rsidRPr="00F62DE8" w:rsidRDefault="00F62DE8" w:rsidP="00F62DE8"/>
    <w:p w14:paraId="005A91E8" w14:textId="77777777" w:rsidR="00F62DE8" w:rsidRPr="00F62DE8" w:rsidRDefault="00F62DE8" w:rsidP="00F62DE8"/>
    <w:p w14:paraId="58CDE893" w14:textId="77777777" w:rsidR="00F62DE8" w:rsidRPr="00F62DE8" w:rsidRDefault="00F62DE8" w:rsidP="00F62DE8"/>
    <w:p w14:paraId="0E484A5E" w14:textId="77777777" w:rsidR="00F62DE8" w:rsidRPr="00F62DE8" w:rsidRDefault="00F62DE8" w:rsidP="00E90316"/>
    <w:sectPr w:rsidR="00F62DE8" w:rsidRPr="00F62DE8" w:rsidSect="00BF1406">
      <w:headerReference w:type="even" r:id="rId35"/>
      <w:headerReference w:type="default" r:id="rId36"/>
      <w:footerReference w:type="even" r:id="rId37"/>
      <w:footerReference w:type="default" r:id="rId38"/>
      <w:headerReference w:type="first" r:id="rId39"/>
      <w:footerReference w:type="first" r:id="rId40"/>
      <w:pgSz w:w="11906" w:h="16838"/>
      <w:pgMar w:top="851" w:right="720" w:bottom="1135"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F8D51" w14:textId="77777777" w:rsidR="00327D0C" w:rsidRDefault="00327D0C" w:rsidP="00E83C66">
      <w:pPr>
        <w:spacing w:after="0" w:line="240" w:lineRule="auto"/>
      </w:pPr>
      <w:r>
        <w:separator/>
      </w:r>
    </w:p>
  </w:endnote>
  <w:endnote w:type="continuationSeparator" w:id="0">
    <w:p w14:paraId="743F8DB1" w14:textId="77777777" w:rsidR="00327D0C" w:rsidRDefault="00327D0C"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ECCEE" w14:textId="77777777" w:rsidR="00E90316" w:rsidRDefault="00E90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288E" w14:textId="25A15E5C" w:rsidR="00CC4648" w:rsidRPr="00003E35" w:rsidRDefault="00CC4648" w:rsidP="00003E35">
    <w:pPr>
      <w:pStyle w:val="Footer"/>
    </w:pPr>
    <w:r w:rsidRPr="00003E35">
      <w:t xml:space="preserve">Shared care protocol: </w:t>
    </w:r>
    <w:r w:rsidR="00F62DE8">
      <w:t>Guanfacine</w:t>
    </w:r>
    <w:r w:rsidRPr="00003E35">
      <w:t xml:space="preserve"> in </w:t>
    </w:r>
    <w:r w:rsidR="000C7A3C" w:rsidRPr="003B4362">
      <w:rPr>
        <w:color w:val="0070C0"/>
      </w:rPr>
      <w:t xml:space="preserve">children and </w:t>
    </w:r>
    <w:r w:rsidRPr="00003E35">
      <w:t xml:space="preserve">adults </w:t>
    </w:r>
    <w:r w:rsidRPr="00003E35">
      <w:tab/>
    </w:r>
    <w:r w:rsidRPr="00003E35">
      <w:tab/>
    </w:r>
    <w:r w:rsidR="0018504F">
      <w:t>v1.0</w:t>
    </w:r>
  </w:p>
  <w:p w14:paraId="505A2D92" w14:textId="0C550F75" w:rsidR="00BF1406" w:rsidRDefault="00CC4648" w:rsidP="00003E35">
    <w:pPr>
      <w:pStyle w:val="Footer"/>
    </w:pPr>
    <w:r w:rsidRPr="00003E35">
      <w:t xml:space="preserve">Clinical content reviewed by RDTC: </w:t>
    </w:r>
    <w:r w:rsidR="0018504F">
      <w:t>2</w:t>
    </w:r>
    <w:r w:rsidR="0018504F" w:rsidRPr="0018504F">
      <w:rPr>
        <w:vertAlign w:val="superscript"/>
      </w:rPr>
      <w:t>nd</w:t>
    </w:r>
    <w:r w:rsidR="0018504F">
      <w:t xml:space="preserve"> April 2024</w:t>
    </w:r>
    <w:r w:rsidRPr="00003E35">
      <w:tab/>
    </w:r>
    <w:r w:rsidRPr="00003E35">
      <w:tab/>
      <w:t xml:space="preserve">Approved by </w:t>
    </w:r>
    <w:r w:rsidRPr="00003E35">
      <w:rPr>
        <w:highlight w:val="yellow"/>
      </w:rPr>
      <w:t>xx</w:t>
    </w:r>
    <w:r w:rsidRPr="00003E35">
      <w:t xml:space="preserve"> ICB: DATE</w:t>
    </w:r>
  </w:p>
  <w:p w14:paraId="6053BF00" w14:textId="38ECDC62" w:rsidR="0092446D" w:rsidRPr="0092446D" w:rsidRDefault="0092446D"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3925CC">
      <w:rPr>
        <w:noProof/>
      </w:rPr>
      <w:t>11</w:t>
    </w:r>
    <w:r w:rsidRPr="0092446D">
      <w:fldChar w:fldCharType="end"/>
    </w:r>
    <w:r w:rsidRPr="0092446D">
      <w:t xml:space="preserve"> of </w:t>
    </w:r>
    <w:fldSimple w:instr="NUMPAGES  \* Arabic  \* MERGEFORMAT">
      <w:r w:rsidR="003925CC">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75FB6" w14:textId="77777777" w:rsidR="00E90316" w:rsidRDefault="00E90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0914F" w14:textId="77777777" w:rsidR="00327D0C" w:rsidRDefault="00327D0C" w:rsidP="00E83C66">
      <w:pPr>
        <w:spacing w:after="0" w:line="240" w:lineRule="auto"/>
      </w:pPr>
      <w:r>
        <w:separator/>
      </w:r>
    </w:p>
  </w:footnote>
  <w:footnote w:type="continuationSeparator" w:id="0">
    <w:p w14:paraId="155E1D6E" w14:textId="77777777" w:rsidR="00327D0C" w:rsidRDefault="00327D0C"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3905" w14:textId="29F6D830" w:rsidR="00E90316" w:rsidRDefault="003925CC">
    <w:pPr>
      <w:pStyle w:val="Header"/>
    </w:pPr>
    <w:r>
      <w:rPr>
        <w:noProof/>
      </w:rPr>
      <w:pict w14:anchorId="4A368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38876" o:spid="_x0000_s1026" type="#_x0000_t136" style="position:absolute;margin-left:0;margin-top:0;width:527pt;height:210.8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FC1A3" w14:textId="77198F1E" w:rsidR="00E90316" w:rsidRDefault="003925CC">
    <w:pPr>
      <w:pStyle w:val="Header"/>
    </w:pPr>
    <w:r>
      <w:rPr>
        <w:noProof/>
      </w:rPr>
      <w:pict w14:anchorId="45876A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38877" o:spid="_x0000_s1027" type="#_x0000_t136" style="position:absolute;margin-left:0;margin-top:0;width:527pt;height:210.8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ABC3F" w14:textId="4FB09468" w:rsidR="00CB6622" w:rsidRPr="003C21D1" w:rsidRDefault="003925CC" w:rsidP="003C21D1">
    <w:pPr>
      <w:pStyle w:val="Header"/>
      <w:spacing w:after="0"/>
    </w:pPr>
    <w:r>
      <w:rPr>
        <w:noProof/>
      </w:rPr>
      <w:pict w14:anchorId="771730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38875" o:spid="_x0000_s1025" type="#_x0000_t136" style="position:absolute;margin-left:0;margin-top:0;width:527pt;height:210.8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E90316" w:rsidRPr="00EC13F4">
      <w:rPr>
        <w:noProof/>
        <w:lang w:eastAsia="en-GB"/>
      </w:rPr>
      <w:drawing>
        <wp:anchor distT="0" distB="0" distL="114300" distR="114300" simplePos="0" relativeHeight="251661312" behindDoc="1" locked="0" layoutInCell="1" allowOverlap="1" wp14:anchorId="4EF382CB" wp14:editId="7072A302">
          <wp:simplePos x="0" y="0"/>
          <wp:positionH relativeFrom="margin">
            <wp:posOffset>5845505</wp:posOffset>
          </wp:positionH>
          <wp:positionV relativeFrom="paragraph">
            <wp:posOffset>-373710</wp:posOffset>
          </wp:positionV>
          <wp:extent cx="1259840" cy="766445"/>
          <wp:effectExtent l="0" t="0" r="0" b="0"/>
          <wp:wrapTight wrapText="bothSides">
            <wp:wrapPolygon edited="0">
              <wp:start x="0" y="0"/>
              <wp:lineTo x="0" y="20938"/>
              <wp:lineTo x="21230" y="20938"/>
              <wp:lineTo x="21230" y="0"/>
              <wp:lineTo x="0" y="0"/>
            </wp:wrapPolygon>
          </wp:wrapTight>
          <wp:docPr id="18" name="Picture 18"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up of a logo&#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766445"/>
                  </a:xfrm>
                  <a:prstGeom prst="rect">
                    <a:avLst/>
                  </a:prstGeom>
                </pic:spPr>
              </pic:pic>
            </a:graphicData>
          </a:graphic>
        </wp:anchor>
      </w:drawing>
    </w:r>
    <w:r w:rsidR="00E90316" w:rsidRPr="00EC13F4">
      <w:rPr>
        <w:noProof/>
        <w:lang w:eastAsia="en-GB"/>
      </w:rPr>
      <w:drawing>
        <wp:anchor distT="0" distB="0" distL="114300" distR="114300" simplePos="0" relativeHeight="251659264" behindDoc="1" locked="0" layoutInCell="1" allowOverlap="1" wp14:anchorId="4B0C0238" wp14:editId="6DED3965">
          <wp:simplePos x="0" y="0"/>
          <wp:positionH relativeFrom="margin">
            <wp:posOffset>-270663</wp:posOffset>
          </wp:positionH>
          <wp:positionV relativeFrom="paragraph">
            <wp:posOffset>-395656</wp:posOffset>
          </wp:positionV>
          <wp:extent cx="2209800" cy="466725"/>
          <wp:effectExtent l="0" t="0" r="0" b="9525"/>
          <wp:wrapTight wrapText="bothSides">
            <wp:wrapPolygon edited="0">
              <wp:start x="0" y="0"/>
              <wp:lineTo x="0" y="21159"/>
              <wp:lineTo x="21414" y="21159"/>
              <wp:lineTo x="21414" y="0"/>
              <wp:lineTo x="0" y="0"/>
            </wp:wrapPolygon>
          </wp:wrapTight>
          <wp:docPr id="21" name="Picture 2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close-up of a logo&#10;&#10;AI-generated content may be incorrect."/>
                  <pic:cNvPicPr/>
                </pic:nvPicPr>
                <pic:blipFill rotWithShape="1">
                  <a:blip r:embed="rId2">
                    <a:extLst>
                      <a:ext uri="{28A0092B-C50C-407E-A947-70E740481C1C}">
                        <a14:useLocalDpi xmlns:a14="http://schemas.microsoft.com/office/drawing/2010/main" val="0"/>
                      </a:ext>
                    </a:extLst>
                  </a:blip>
                  <a:srcRect l="6384" t="23001" r="11348" b="28000"/>
                  <a:stretch/>
                </pic:blipFill>
                <pic:spPr bwMode="auto">
                  <a:xfrm>
                    <a:off x="0" y="0"/>
                    <a:ext cx="2209800" cy="466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C21D1"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656"/>
    <w:multiLevelType w:val="hybridMultilevel"/>
    <w:tmpl w:val="5A724906"/>
    <w:lvl w:ilvl="0" w:tplc="01883D9C">
      <w:start w:val="1"/>
      <w:numFmt w:val="bullet"/>
      <w:lvlText w:val=""/>
      <w:lvlJc w:val="left"/>
      <w:pPr>
        <w:ind w:left="720" w:hanging="360"/>
      </w:pPr>
      <w:rPr>
        <w:rFonts w:ascii="Symbol" w:hAnsi="Symbol"/>
      </w:rPr>
    </w:lvl>
    <w:lvl w:ilvl="1" w:tplc="EC5892FE">
      <w:start w:val="1"/>
      <w:numFmt w:val="bullet"/>
      <w:lvlText w:val=""/>
      <w:lvlJc w:val="left"/>
      <w:pPr>
        <w:ind w:left="720" w:hanging="360"/>
      </w:pPr>
      <w:rPr>
        <w:rFonts w:ascii="Symbol" w:hAnsi="Symbol"/>
      </w:rPr>
    </w:lvl>
    <w:lvl w:ilvl="2" w:tplc="986C11D8">
      <w:start w:val="1"/>
      <w:numFmt w:val="bullet"/>
      <w:lvlText w:val=""/>
      <w:lvlJc w:val="left"/>
      <w:pPr>
        <w:ind w:left="720" w:hanging="360"/>
      </w:pPr>
      <w:rPr>
        <w:rFonts w:ascii="Symbol" w:hAnsi="Symbol"/>
      </w:rPr>
    </w:lvl>
    <w:lvl w:ilvl="3" w:tplc="F09AD328">
      <w:start w:val="1"/>
      <w:numFmt w:val="bullet"/>
      <w:lvlText w:val=""/>
      <w:lvlJc w:val="left"/>
      <w:pPr>
        <w:ind w:left="720" w:hanging="360"/>
      </w:pPr>
      <w:rPr>
        <w:rFonts w:ascii="Symbol" w:hAnsi="Symbol"/>
      </w:rPr>
    </w:lvl>
    <w:lvl w:ilvl="4" w:tplc="57A27790">
      <w:start w:val="1"/>
      <w:numFmt w:val="bullet"/>
      <w:lvlText w:val=""/>
      <w:lvlJc w:val="left"/>
      <w:pPr>
        <w:ind w:left="720" w:hanging="360"/>
      </w:pPr>
      <w:rPr>
        <w:rFonts w:ascii="Symbol" w:hAnsi="Symbol"/>
      </w:rPr>
    </w:lvl>
    <w:lvl w:ilvl="5" w:tplc="75C0C808">
      <w:start w:val="1"/>
      <w:numFmt w:val="bullet"/>
      <w:lvlText w:val=""/>
      <w:lvlJc w:val="left"/>
      <w:pPr>
        <w:ind w:left="720" w:hanging="360"/>
      </w:pPr>
      <w:rPr>
        <w:rFonts w:ascii="Symbol" w:hAnsi="Symbol"/>
      </w:rPr>
    </w:lvl>
    <w:lvl w:ilvl="6" w:tplc="8A986C04">
      <w:start w:val="1"/>
      <w:numFmt w:val="bullet"/>
      <w:lvlText w:val=""/>
      <w:lvlJc w:val="left"/>
      <w:pPr>
        <w:ind w:left="720" w:hanging="360"/>
      </w:pPr>
      <w:rPr>
        <w:rFonts w:ascii="Symbol" w:hAnsi="Symbol"/>
      </w:rPr>
    </w:lvl>
    <w:lvl w:ilvl="7" w:tplc="42FAC53A">
      <w:start w:val="1"/>
      <w:numFmt w:val="bullet"/>
      <w:lvlText w:val=""/>
      <w:lvlJc w:val="left"/>
      <w:pPr>
        <w:ind w:left="720" w:hanging="360"/>
      </w:pPr>
      <w:rPr>
        <w:rFonts w:ascii="Symbol" w:hAnsi="Symbol"/>
      </w:rPr>
    </w:lvl>
    <w:lvl w:ilvl="8" w:tplc="C29A44BE">
      <w:start w:val="1"/>
      <w:numFmt w:val="bullet"/>
      <w:lvlText w:val=""/>
      <w:lvlJc w:val="left"/>
      <w:pPr>
        <w:ind w:left="720" w:hanging="360"/>
      </w:pPr>
      <w:rPr>
        <w:rFonts w:ascii="Symbol" w:hAnsi="Symbol"/>
      </w:rPr>
    </w:lvl>
  </w:abstractNum>
  <w:abstractNum w:abstractNumId="1" w15:restartNumberingAfterBreak="0">
    <w:nsid w:val="03A45CE7"/>
    <w:multiLevelType w:val="hybridMultilevel"/>
    <w:tmpl w:val="914692A0"/>
    <w:lvl w:ilvl="0" w:tplc="08090005">
      <w:start w:val="1"/>
      <w:numFmt w:val="bullet"/>
      <w:lvlText w:val=""/>
      <w:lvlJc w:val="left"/>
      <w:pPr>
        <w:ind w:left="2520" w:hanging="360"/>
      </w:pPr>
      <w:rPr>
        <w:rFonts w:ascii="Wingdings" w:hAnsi="Wingdings"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15:restartNumberingAfterBreak="0">
    <w:nsid w:val="05AF464B"/>
    <w:multiLevelType w:val="hybridMultilevel"/>
    <w:tmpl w:val="519884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D44F35"/>
    <w:multiLevelType w:val="hybridMultilevel"/>
    <w:tmpl w:val="B81CAE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D73EDF"/>
    <w:multiLevelType w:val="hybridMultilevel"/>
    <w:tmpl w:val="815C3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5B064C"/>
    <w:multiLevelType w:val="hybridMultilevel"/>
    <w:tmpl w:val="F0EC22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DA23841"/>
    <w:multiLevelType w:val="hybridMultilevel"/>
    <w:tmpl w:val="67CE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0E045B69"/>
    <w:multiLevelType w:val="hybridMultilevel"/>
    <w:tmpl w:val="367695B0"/>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B53C63"/>
    <w:multiLevelType w:val="hybridMultilevel"/>
    <w:tmpl w:val="B57AA9AC"/>
    <w:lvl w:ilvl="0" w:tplc="AE3E1E5A">
      <w:start w:val="1"/>
      <w:numFmt w:val="bullet"/>
      <w:lvlText w:val=""/>
      <w:lvlJc w:val="left"/>
      <w:pPr>
        <w:ind w:left="720" w:hanging="360"/>
      </w:pPr>
      <w:rPr>
        <w:rFonts w:ascii="Symbol" w:hAnsi="Symbol"/>
      </w:rPr>
    </w:lvl>
    <w:lvl w:ilvl="1" w:tplc="BA6C6F84">
      <w:start w:val="1"/>
      <w:numFmt w:val="bullet"/>
      <w:lvlText w:val=""/>
      <w:lvlJc w:val="left"/>
      <w:pPr>
        <w:ind w:left="720" w:hanging="360"/>
      </w:pPr>
      <w:rPr>
        <w:rFonts w:ascii="Symbol" w:hAnsi="Symbol"/>
      </w:rPr>
    </w:lvl>
    <w:lvl w:ilvl="2" w:tplc="7F1E2BAC">
      <w:start w:val="1"/>
      <w:numFmt w:val="bullet"/>
      <w:lvlText w:val=""/>
      <w:lvlJc w:val="left"/>
      <w:pPr>
        <w:ind w:left="720" w:hanging="360"/>
      </w:pPr>
      <w:rPr>
        <w:rFonts w:ascii="Symbol" w:hAnsi="Symbol"/>
      </w:rPr>
    </w:lvl>
    <w:lvl w:ilvl="3" w:tplc="B94ABE30">
      <w:start w:val="1"/>
      <w:numFmt w:val="bullet"/>
      <w:lvlText w:val=""/>
      <w:lvlJc w:val="left"/>
      <w:pPr>
        <w:ind w:left="720" w:hanging="360"/>
      </w:pPr>
      <w:rPr>
        <w:rFonts w:ascii="Symbol" w:hAnsi="Symbol"/>
      </w:rPr>
    </w:lvl>
    <w:lvl w:ilvl="4" w:tplc="B2866B00">
      <w:start w:val="1"/>
      <w:numFmt w:val="bullet"/>
      <w:lvlText w:val=""/>
      <w:lvlJc w:val="left"/>
      <w:pPr>
        <w:ind w:left="720" w:hanging="360"/>
      </w:pPr>
      <w:rPr>
        <w:rFonts w:ascii="Symbol" w:hAnsi="Symbol"/>
      </w:rPr>
    </w:lvl>
    <w:lvl w:ilvl="5" w:tplc="64DE0CB0">
      <w:start w:val="1"/>
      <w:numFmt w:val="bullet"/>
      <w:lvlText w:val=""/>
      <w:lvlJc w:val="left"/>
      <w:pPr>
        <w:ind w:left="720" w:hanging="360"/>
      </w:pPr>
      <w:rPr>
        <w:rFonts w:ascii="Symbol" w:hAnsi="Symbol"/>
      </w:rPr>
    </w:lvl>
    <w:lvl w:ilvl="6" w:tplc="0008713A">
      <w:start w:val="1"/>
      <w:numFmt w:val="bullet"/>
      <w:lvlText w:val=""/>
      <w:lvlJc w:val="left"/>
      <w:pPr>
        <w:ind w:left="720" w:hanging="360"/>
      </w:pPr>
      <w:rPr>
        <w:rFonts w:ascii="Symbol" w:hAnsi="Symbol"/>
      </w:rPr>
    </w:lvl>
    <w:lvl w:ilvl="7" w:tplc="578AC2C6">
      <w:start w:val="1"/>
      <w:numFmt w:val="bullet"/>
      <w:lvlText w:val=""/>
      <w:lvlJc w:val="left"/>
      <w:pPr>
        <w:ind w:left="720" w:hanging="360"/>
      </w:pPr>
      <w:rPr>
        <w:rFonts w:ascii="Symbol" w:hAnsi="Symbol"/>
      </w:rPr>
    </w:lvl>
    <w:lvl w:ilvl="8" w:tplc="AF82AE3A">
      <w:start w:val="1"/>
      <w:numFmt w:val="bullet"/>
      <w:lvlText w:val=""/>
      <w:lvlJc w:val="left"/>
      <w:pPr>
        <w:ind w:left="720" w:hanging="360"/>
      </w:pPr>
      <w:rPr>
        <w:rFonts w:ascii="Symbol" w:hAnsi="Symbol"/>
      </w:rPr>
    </w:lvl>
  </w:abstractNum>
  <w:abstractNum w:abstractNumId="9" w15:restartNumberingAfterBreak="0">
    <w:nsid w:val="138E60A6"/>
    <w:multiLevelType w:val="hybridMultilevel"/>
    <w:tmpl w:val="0CCEB13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6A3C92"/>
    <w:multiLevelType w:val="hybridMultilevel"/>
    <w:tmpl w:val="04A474C8"/>
    <w:lvl w:ilvl="0" w:tplc="E626FE08">
      <w:start w:val="1"/>
      <w:numFmt w:val="bullet"/>
      <w:lvlText w:val=""/>
      <w:lvlJc w:val="left"/>
      <w:pPr>
        <w:ind w:left="644"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84DC7B74">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4E6097"/>
    <w:multiLevelType w:val="hybridMultilevel"/>
    <w:tmpl w:val="4EB6247A"/>
    <w:lvl w:ilvl="0" w:tplc="AB30C4F2">
      <w:numFmt w:val="bullet"/>
      <w:lvlText w:val="•"/>
      <w:lvlJc w:val="left"/>
      <w:pPr>
        <w:ind w:left="720" w:hanging="360"/>
      </w:pPr>
      <w:rPr>
        <w:rFonts w:ascii="Arial" w:eastAsiaTheme="minorHAnsi" w:hAnsi="Arial"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D61B41"/>
    <w:multiLevelType w:val="hybridMultilevel"/>
    <w:tmpl w:val="48043C8C"/>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9725738"/>
    <w:multiLevelType w:val="hybridMultilevel"/>
    <w:tmpl w:val="84728926"/>
    <w:lvl w:ilvl="0" w:tplc="DC1002D6">
      <w:start w:val="1"/>
      <w:numFmt w:val="decimal"/>
      <w:lvlText w:val="%1."/>
      <w:lvlJc w:val="left"/>
      <w:pPr>
        <w:ind w:left="360" w:hanging="360"/>
      </w:pPr>
      <w:rPr>
        <w:rFonts w:ascii="Arial" w:eastAsiaTheme="minorHAnsi" w:hAnsi="Arial" w:cs="Arial"/>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C470498"/>
    <w:multiLevelType w:val="hybridMultilevel"/>
    <w:tmpl w:val="EE6C3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8726F"/>
    <w:multiLevelType w:val="hybridMultilevel"/>
    <w:tmpl w:val="C04477BE"/>
    <w:lvl w:ilvl="0" w:tplc="59C0B3D4">
      <w:start w:val="1"/>
      <w:numFmt w:val="bullet"/>
      <w:lvlText w:val=""/>
      <w:lvlJc w:val="left"/>
      <w:pPr>
        <w:ind w:left="720" w:hanging="360"/>
      </w:pPr>
      <w:rPr>
        <w:rFonts w:ascii="Symbol" w:hAnsi="Symbol"/>
      </w:rPr>
    </w:lvl>
    <w:lvl w:ilvl="1" w:tplc="74705526">
      <w:start w:val="1"/>
      <w:numFmt w:val="bullet"/>
      <w:lvlText w:val=""/>
      <w:lvlJc w:val="left"/>
      <w:pPr>
        <w:ind w:left="720" w:hanging="360"/>
      </w:pPr>
      <w:rPr>
        <w:rFonts w:ascii="Symbol" w:hAnsi="Symbol"/>
      </w:rPr>
    </w:lvl>
    <w:lvl w:ilvl="2" w:tplc="0B4E008C">
      <w:start w:val="1"/>
      <w:numFmt w:val="bullet"/>
      <w:lvlText w:val=""/>
      <w:lvlJc w:val="left"/>
      <w:pPr>
        <w:ind w:left="720" w:hanging="360"/>
      </w:pPr>
      <w:rPr>
        <w:rFonts w:ascii="Symbol" w:hAnsi="Symbol"/>
      </w:rPr>
    </w:lvl>
    <w:lvl w:ilvl="3" w:tplc="4F2CA5DE">
      <w:start w:val="1"/>
      <w:numFmt w:val="bullet"/>
      <w:lvlText w:val=""/>
      <w:lvlJc w:val="left"/>
      <w:pPr>
        <w:ind w:left="720" w:hanging="360"/>
      </w:pPr>
      <w:rPr>
        <w:rFonts w:ascii="Symbol" w:hAnsi="Symbol"/>
      </w:rPr>
    </w:lvl>
    <w:lvl w:ilvl="4" w:tplc="A440A752">
      <w:start w:val="1"/>
      <w:numFmt w:val="bullet"/>
      <w:lvlText w:val=""/>
      <w:lvlJc w:val="left"/>
      <w:pPr>
        <w:ind w:left="720" w:hanging="360"/>
      </w:pPr>
      <w:rPr>
        <w:rFonts w:ascii="Symbol" w:hAnsi="Symbol"/>
      </w:rPr>
    </w:lvl>
    <w:lvl w:ilvl="5" w:tplc="65A25668">
      <w:start w:val="1"/>
      <w:numFmt w:val="bullet"/>
      <w:lvlText w:val=""/>
      <w:lvlJc w:val="left"/>
      <w:pPr>
        <w:ind w:left="720" w:hanging="360"/>
      </w:pPr>
      <w:rPr>
        <w:rFonts w:ascii="Symbol" w:hAnsi="Symbol"/>
      </w:rPr>
    </w:lvl>
    <w:lvl w:ilvl="6" w:tplc="48B6F09A">
      <w:start w:val="1"/>
      <w:numFmt w:val="bullet"/>
      <w:lvlText w:val=""/>
      <w:lvlJc w:val="left"/>
      <w:pPr>
        <w:ind w:left="720" w:hanging="360"/>
      </w:pPr>
      <w:rPr>
        <w:rFonts w:ascii="Symbol" w:hAnsi="Symbol"/>
      </w:rPr>
    </w:lvl>
    <w:lvl w:ilvl="7" w:tplc="CBC2783A">
      <w:start w:val="1"/>
      <w:numFmt w:val="bullet"/>
      <w:lvlText w:val=""/>
      <w:lvlJc w:val="left"/>
      <w:pPr>
        <w:ind w:left="720" w:hanging="360"/>
      </w:pPr>
      <w:rPr>
        <w:rFonts w:ascii="Symbol" w:hAnsi="Symbol"/>
      </w:rPr>
    </w:lvl>
    <w:lvl w:ilvl="8" w:tplc="E07E01BC">
      <w:start w:val="1"/>
      <w:numFmt w:val="bullet"/>
      <w:lvlText w:val=""/>
      <w:lvlJc w:val="left"/>
      <w:pPr>
        <w:ind w:left="720" w:hanging="360"/>
      </w:pPr>
      <w:rPr>
        <w:rFonts w:ascii="Symbol" w:hAnsi="Symbol"/>
      </w:rPr>
    </w:lvl>
  </w:abstractNum>
  <w:abstractNum w:abstractNumId="16" w15:restartNumberingAfterBreak="0">
    <w:nsid w:val="22584CB4"/>
    <w:multiLevelType w:val="hybridMultilevel"/>
    <w:tmpl w:val="95F080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5F148DE"/>
    <w:multiLevelType w:val="hybridMultilevel"/>
    <w:tmpl w:val="7D1AE69E"/>
    <w:lvl w:ilvl="0" w:tplc="ECA87920">
      <w:start w:val="1"/>
      <w:numFmt w:val="bullet"/>
      <w:lvlText w:val=""/>
      <w:lvlJc w:val="left"/>
      <w:pPr>
        <w:ind w:left="720" w:hanging="360"/>
      </w:pPr>
      <w:rPr>
        <w:rFonts w:ascii="Symbol" w:hAnsi="Symbol"/>
      </w:rPr>
    </w:lvl>
    <w:lvl w:ilvl="1" w:tplc="6012159C">
      <w:start w:val="1"/>
      <w:numFmt w:val="bullet"/>
      <w:lvlText w:val=""/>
      <w:lvlJc w:val="left"/>
      <w:pPr>
        <w:ind w:left="720" w:hanging="360"/>
      </w:pPr>
      <w:rPr>
        <w:rFonts w:ascii="Symbol" w:hAnsi="Symbol"/>
      </w:rPr>
    </w:lvl>
    <w:lvl w:ilvl="2" w:tplc="62C6B6B0">
      <w:start w:val="1"/>
      <w:numFmt w:val="bullet"/>
      <w:lvlText w:val=""/>
      <w:lvlJc w:val="left"/>
      <w:pPr>
        <w:ind w:left="720" w:hanging="360"/>
      </w:pPr>
      <w:rPr>
        <w:rFonts w:ascii="Symbol" w:hAnsi="Symbol"/>
      </w:rPr>
    </w:lvl>
    <w:lvl w:ilvl="3" w:tplc="0D6C2E02">
      <w:start w:val="1"/>
      <w:numFmt w:val="bullet"/>
      <w:lvlText w:val=""/>
      <w:lvlJc w:val="left"/>
      <w:pPr>
        <w:ind w:left="720" w:hanging="360"/>
      </w:pPr>
      <w:rPr>
        <w:rFonts w:ascii="Symbol" w:hAnsi="Symbol"/>
      </w:rPr>
    </w:lvl>
    <w:lvl w:ilvl="4" w:tplc="6A862E76">
      <w:start w:val="1"/>
      <w:numFmt w:val="bullet"/>
      <w:lvlText w:val=""/>
      <w:lvlJc w:val="left"/>
      <w:pPr>
        <w:ind w:left="720" w:hanging="360"/>
      </w:pPr>
      <w:rPr>
        <w:rFonts w:ascii="Symbol" w:hAnsi="Symbol"/>
      </w:rPr>
    </w:lvl>
    <w:lvl w:ilvl="5" w:tplc="C9B49986">
      <w:start w:val="1"/>
      <w:numFmt w:val="bullet"/>
      <w:lvlText w:val=""/>
      <w:lvlJc w:val="left"/>
      <w:pPr>
        <w:ind w:left="720" w:hanging="360"/>
      </w:pPr>
      <w:rPr>
        <w:rFonts w:ascii="Symbol" w:hAnsi="Symbol"/>
      </w:rPr>
    </w:lvl>
    <w:lvl w:ilvl="6" w:tplc="4DF2CE2A">
      <w:start w:val="1"/>
      <w:numFmt w:val="bullet"/>
      <w:lvlText w:val=""/>
      <w:lvlJc w:val="left"/>
      <w:pPr>
        <w:ind w:left="720" w:hanging="360"/>
      </w:pPr>
      <w:rPr>
        <w:rFonts w:ascii="Symbol" w:hAnsi="Symbol"/>
      </w:rPr>
    </w:lvl>
    <w:lvl w:ilvl="7" w:tplc="A8182254">
      <w:start w:val="1"/>
      <w:numFmt w:val="bullet"/>
      <w:lvlText w:val=""/>
      <w:lvlJc w:val="left"/>
      <w:pPr>
        <w:ind w:left="720" w:hanging="360"/>
      </w:pPr>
      <w:rPr>
        <w:rFonts w:ascii="Symbol" w:hAnsi="Symbol"/>
      </w:rPr>
    </w:lvl>
    <w:lvl w:ilvl="8" w:tplc="71B0071A">
      <w:start w:val="1"/>
      <w:numFmt w:val="bullet"/>
      <w:lvlText w:val=""/>
      <w:lvlJc w:val="left"/>
      <w:pPr>
        <w:ind w:left="720" w:hanging="360"/>
      </w:pPr>
      <w:rPr>
        <w:rFonts w:ascii="Symbol" w:hAnsi="Symbol"/>
      </w:rPr>
    </w:lvl>
  </w:abstractNum>
  <w:abstractNum w:abstractNumId="18" w15:restartNumberingAfterBreak="0">
    <w:nsid w:val="27941E9E"/>
    <w:multiLevelType w:val="hybridMultilevel"/>
    <w:tmpl w:val="BF3CFC7A"/>
    <w:lvl w:ilvl="0" w:tplc="F940AB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065773"/>
    <w:multiLevelType w:val="hybridMultilevel"/>
    <w:tmpl w:val="6324F18C"/>
    <w:lvl w:ilvl="0" w:tplc="34F047E0">
      <w:start w:val="1"/>
      <w:numFmt w:val="bullet"/>
      <w:lvlText w:val=""/>
      <w:lvlJc w:val="left"/>
      <w:pPr>
        <w:ind w:left="720" w:hanging="360"/>
      </w:pPr>
      <w:rPr>
        <w:rFonts w:ascii="Symbol" w:hAnsi="Symbol"/>
      </w:rPr>
    </w:lvl>
    <w:lvl w:ilvl="1" w:tplc="D1FAF286">
      <w:start w:val="1"/>
      <w:numFmt w:val="bullet"/>
      <w:lvlText w:val=""/>
      <w:lvlJc w:val="left"/>
      <w:pPr>
        <w:ind w:left="720" w:hanging="360"/>
      </w:pPr>
      <w:rPr>
        <w:rFonts w:ascii="Symbol" w:hAnsi="Symbol"/>
      </w:rPr>
    </w:lvl>
    <w:lvl w:ilvl="2" w:tplc="C310CB12">
      <w:start w:val="1"/>
      <w:numFmt w:val="bullet"/>
      <w:lvlText w:val=""/>
      <w:lvlJc w:val="left"/>
      <w:pPr>
        <w:ind w:left="720" w:hanging="360"/>
      </w:pPr>
      <w:rPr>
        <w:rFonts w:ascii="Symbol" w:hAnsi="Symbol"/>
      </w:rPr>
    </w:lvl>
    <w:lvl w:ilvl="3" w:tplc="285E0132">
      <w:start w:val="1"/>
      <w:numFmt w:val="bullet"/>
      <w:lvlText w:val=""/>
      <w:lvlJc w:val="left"/>
      <w:pPr>
        <w:ind w:left="720" w:hanging="360"/>
      </w:pPr>
      <w:rPr>
        <w:rFonts w:ascii="Symbol" w:hAnsi="Symbol"/>
      </w:rPr>
    </w:lvl>
    <w:lvl w:ilvl="4" w:tplc="5E20731E">
      <w:start w:val="1"/>
      <w:numFmt w:val="bullet"/>
      <w:lvlText w:val=""/>
      <w:lvlJc w:val="left"/>
      <w:pPr>
        <w:ind w:left="720" w:hanging="360"/>
      </w:pPr>
      <w:rPr>
        <w:rFonts w:ascii="Symbol" w:hAnsi="Symbol"/>
      </w:rPr>
    </w:lvl>
    <w:lvl w:ilvl="5" w:tplc="C4DE2E62">
      <w:start w:val="1"/>
      <w:numFmt w:val="bullet"/>
      <w:lvlText w:val=""/>
      <w:lvlJc w:val="left"/>
      <w:pPr>
        <w:ind w:left="720" w:hanging="360"/>
      </w:pPr>
      <w:rPr>
        <w:rFonts w:ascii="Symbol" w:hAnsi="Symbol"/>
      </w:rPr>
    </w:lvl>
    <w:lvl w:ilvl="6" w:tplc="DAA80724">
      <w:start w:val="1"/>
      <w:numFmt w:val="bullet"/>
      <w:lvlText w:val=""/>
      <w:lvlJc w:val="left"/>
      <w:pPr>
        <w:ind w:left="720" w:hanging="360"/>
      </w:pPr>
      <w:rPr>
        <w:rFonts w:ascii="Symbol" w:hAnsi="Symbol"/>
      </w:rPr>
    </w:lvl>
    <w:lvl w:ilvl="7" w:tplc="713215C0">
      <w:start w:val="1"/>
      <w:numFmt w:val="bullet"/>
      <w:lvlText w:val=""/>
      <w:lvlJc w:val="left"/>
      <w:pPr>
        <w:ind w:left="720" w:hanging="360"/>
      </w:pPr>
      <w:rPr>
        <w:rFonts w:ascii="Symbol" w:hAnsi="Symbol"/>
      </w:rPr>
    </w:lvl>
    <w:lvl w:ilvl="8" w:tplc="AC98EA1C">
      <w:start w:val="1"/>
      <w:numFmt w:val="bullet"/>
      <w:lvlText w:val=""/>
      <w:lvlJc w:val="left"/>
      <w:pPr>
        <w:ind w:left="720" w:hanging="360"/>
      </w:pPr>
      <w:rPr>
        <w:rFonts w:ascii="Symbol" w:hAnsi="Symbol"/>
      </w:rPr>
    </w:lvl>
  </w:abstractNum>
  <w:abstractNum w:abstractNumId="20" w15:restartNumberingAfterBreak="0">
    <w:nsid w:val="2D514878"/>
    <w:multiLevelType w:val="hybridMultilevel"/>
    <w:tmpl w:val="0C2421B4"/>
    <w:lvl w:ilvl="0" w:tplc="511C3112">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44A2877"/>
    <w:multiLevelType w:val="hybridMultilevel"/>
    <w:tmpl w:val="979241D0"/>
    <w:lvl w:ilvl="0" w:tplc="9FB8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8E42DA"/>
    <w:multiLevelType w:val="hybridMultilevel"/>
    <w:tmpl w:val="9BA0E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6C73F66"/>
    <w:multiLevelType w:val="hybridMultilevel"/>
    <w:tmpl w:val="E4449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1B4D06"/>
    <w:multiLevelType w:val="hybridMultilevel"/>
    <w:tmpl w:val="473AD1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E935B69"/>
    <w:multiLevelType w:val="hybridMultilevel"/>
    <w:tmpl w:val="2C646F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3EF664C"/>
    <w:multiLevelType w:val="hybridMultilevel"/>
    <w:tmpl w:val="557A8A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5DE25A1"/>
    <w:multiLevelType w:val="hybridMultilevel"/>
    <w:tmpl w:val="440835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7EE2D6B"/>
    <w:multiLevelType w:val="hybridMultilevel"/>
    <w:tmpl w:val="4E8CC78E"/>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D83B6D"/>
    <w:multiLevelType w:val="hybridMultilevel"/>
    <w:tmpl w:val="E9D67A8E"/>
    <w:lvl w:ilvl="0" w:tplc="5A12B89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B069E9"/>
    <w:multiLevelType w:val="hybridMultilevel"/>
    <w:tmpl w:val="973694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1B01E5E"/>
    <w:multiLevelType w:val="hybridMultilevel"/>
    <w:tmpl w:val="7AC095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3C60E30"/>
    <w:multiLevelType w:val="hybridMultilevel"/>
    <w:tmpl w:val="F97214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52F3130"/>
    <w:multiLevelType w:val="hybridMultilevel"/>
    <w:tmpl w:val="A2AE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74A7FE9"/>
    <w:multiLevelType w:val="hybridMultilevel"/>
    <w:tmpl w:val="B31E1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F6440DA"/>
    <w:multiLevelType w:val="hybridMultilevel"/>
    <w:tmpl w:val="5ACA72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0DB005A"/>
    <w:multiLevelType w:val="hybridMultilevel"/>
    <w:tmpl w:val="770C6174"/>
    <w:lvl w:ilvl="0" w:tplc="AB30C4F2">
      <w:numFmt w:val="bullet"/>
      <w:lvlText w:val="•"/>
      <w:lvlJc w:val="left"/>
      <w:pPr>
        <w:ind w:left="1080" w:hanging="360"/>
      </w:pPr>
      <w:rPr>
        <w:rFonts w:ascii="Arial" w:eastAsiaTheme="minorHAnsi" w:hAnsi="Arial" w:hint="default"/>
        <w:b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1971A72"/>
    <w:multiLevelType w:val="hybridMultilevel"/>
    <w:tmpl w:val="6DBA08C2"/>
    <w:lvl w:ilvl="0" w:tplc="178C9B6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956018"/>
    <w:multiLevelType w:val="hybridMultilevel"/>
    <w:tmpl w:val="6004E9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1" w15:restartNumberingAfterBreak="0">
    <w:nsid w:val="67405FB3"/>
    <w:multiLevelType w:val="hybridMultilevel"/>
    <w:tmpl w:val="3D4E336A"/>
    <w:lvl w:ilvl="0" w:tplc="F53A632C">
      <w:start w:val="1"/>
      <w:numFmt w:val="bullet"/>
      <w:lvlText w:val=""/>
      <w:lvlJc w:val="left"/>
      <w:pPr>
        <w:ind w:left="740" w:hanging="360"/>
      </w:pPr>
      <w:rPr>
        <w:rFonts w:ascii="Symbol" w:hAnsi="Symbol"/>
      </w:rPr>
    </w:lvl>
    <w:lvl w:ilvl="1" w:tplc="0B24DABE">
      <w:start w:val="1"/>
      <w:numFmt w:val="bullet"/>
      <w:lvlText w:val=""/>
      <w:lvlJc w:val="left"/>
      <w:pPr>
        <w:ind w:left="740" w:hanging="360"/>
      </w:pPr>
      <w:rPr>
        <w:rFonts w:ascii="Symbol" w:hAnsi="Symbol"/>
      </w:rPr>
    </w:lvl>
    <w:lvl w:ilvl="2" w:tplc="3A2628B2">
      <w:start w:val="1"/>
      <w:numFmt w:val="bullet"/>
      <w:lvlText w:val=""/>
      <w:lvlJc w:val="left"/>
      <w:pPr>
        <w:ind w:left="740" w:hanging="360"/>
      </w:pPr>
      <w:rPr>
        <w:rFonts w:ascii="Symbol" w:hAnsi="Symbol"/>
      </w:rPr>
    </w:lvl>
    <w:lvl w:ilvl="3" w:tplc="985445F8">
      <w:start w:val="1"/>
      <w:numFmt w:val="bullet"/>
      <w:lvlText w:val=""/>
      <w:lvlJc w:val="left"/>
      <w:pPr>
        <w:ind w:left="740" w:hanging="360"/>
      </w:pPr>
      <w:rPr>
        <w:rFonts w:ascii="Symbol" w:hAnsi="Symbol"/>
      </w:rPr>
    </w:lvl>
    <w:lvl w:ilvl="4" w:tplc="BEE8467C">
      <w:start w:val="1"/>
      <w:numFmt w:val="bullet"/>
      <w:lvlText w:val=""/>
      <w:lvlJc w:val="left"/>
      <w:pPr>
        <w:ind w:left="740" w:hanging="360"/>
      </w:pPr>
      <w:rPr>
        <w:rFonts w:ascii="Symbol" w:hAnsi="Symbol"/>
      </w:rPr>
    </w:lvl>
    <w:lvl w:ilvl="5" w:tplc="94168FD4">
      <w:start w:val="1"/>
      <w:numFmt w:val="bullet"/>
      <w:lvlText w:val=""/>
      <w:lvlJc w:val="left"/>
      <w:pPr>
        <w:ind w:left="740" w:hanging="360"/>
      </w:pPr>
      <w:rPr>
        <w:rFonts w:ascii="Symbol" w:hAnsi="Symbol"/>
      </w:rPr>
    </w:lvl>
    <w:lvl w:ilvl="6" w:tplc="272AF04E">
      <w:start w:val="1"/>
      <w:numFmt w:val="bullet"/>
      <w:lvlText w:val=""/>
      <w:lvlJc w:val="left"/>
      <w:pPr>
        <w:ind w:left="740" w:hanging="360"/>
      </w:pPr>
      <w:rPr>
        <w:rFonts w:ascii="Symbol" w:hAnsi="Symbol"/>
      </w:rPr>
    </w:lvl>
    <w:lvl w:ilvl="7" w:tplc="62805864">
      <w:start w:val="1"/>
      <w:numFmt w:val="bullet"/>
      <w:lvlText w:val=""/>
      <w:lvlJc w:val="left"/>
      <w:pPr>
        <w:ind w:left="740" w:hanging="360"/>
      </w:pPr>
      <w:rPr>
        <w:rFonts w:ascii="Symbol" w:hAnsi="Symbol"/>
      </w:rPr>
    </w:lvl>
    <w:lvl w:ilvl="8" w:tplc="84C4C044">
      <w:start w:val="1"/>
      <w:numFmt w:val="bullet"/>
      <w:lvlText w:val=""/>
      <w:lvlJc w:val="left"/>
      <w:pPr>
        <w:ind w:left="740" w:hanging="360"/>
      </w:pPr>
      <w:rPr>
        <w:rFonts w:ascii="Symbol" w:hAnsi="Symbol"/>
      </w:rPr>
    </w:lvl>
  </w:abstractNum>
  <w:abstractNum w:abstractNumId="42" w15:restartNumberingAfterBreak="0">
    <w:nsid w:val="686945C6"/>
    <w:multiLevelType w:val="hybridMultilevel"/>
    <w:tmpl w:val="DB2CC392"/>
    <w:lvl w:ilvl="0" w:tplc="AB30C4F2">
      <w:numFmt w:val="bullet"/>
      <w:lvlText w:val="•"/>
      <w:lvlJc w:val="left"/>
      <w:pPr>
        <w:ind w:left="2520" w:hanging="360"/>
      </w:pPr>
      <w:rPr>
        <w:rFonts w:ascii="Arial" w:eastAsiaTheme="minorHAnsi" w:hAnsi="Arial"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3" w15:restartNumberingAfterBreak="0">
    <w:nsid w:val="68DC069E"/>
    <w:multiLevelType w:val="hybridMultilevel"/>
    <w:tmpl w:val="D5C44A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4" w15:restartNumberingAfterBreak="0">
    <w:nsid w:val="68F25D56"/>
    <w:multiLevelType w:val="hybridMultilevel"/>
    <w:tmpl w:val="F31AD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6B98727B"/>
    <w:multiLevelType w:val="hybridMultilevel"/>
    <w:tmpl w:val="6B864AA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C42641B"/>
    <w:multiLevelType w:val="hybridMultilevel"/>
    <w:tmpl w:val="3C923F64"/>
    <w:lvl w:ilvl="0" w:tplc="9D321D5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E574B5D"/>
    <w:multiLevelType w:val="hybridMultilevel"/>
    <w:tmpl w:val="4EA21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0BE03CA"/>
    <w:multiLevelType w:val="hybridMultilevel"/>
    <w:tmpl w:val="8DAEC6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0E5AF9"/>
    <w:multiLevelType w:val="hybridMultilevel"/>
    <w:tmpl w:val="A858E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4082F82"/>
    <w:multiLevelType w:val="hybridMultilevel"/>
    <w:tmpl w:val="AC76D0C0"/>
    <w:lvl w:ilvl="0" w:tplc="178C9B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46"/>
  </w:num>
  <w:num w:numId="3">
    <w:abstractNumId w:val="30"/>
  </w:num>
  <w:num w:numId="4">
    <w:abstractNumId w:val="10"/>
  </w:num>
  <w:num w:numId="5">
    <w:abstractNumId w:val="23"/>
  </w:num>
  <w:num w:numId="6">
    <w:abstractNumId w:val="11"/>
  </w:num>
  <w:num w:numId="7">
    <w:abstractNumId w:val="38"/>
  </w:num>
  <w:num w:numId="8">
    <w:abstractNumId w:val="42"/>
  </w:num>
  <w:num w:numId="9">
    <w:abstractNumId w:val="1"/>
  </w:num>
  <w:num w:numId="10">
    <w:abstractNumId w:val="48"/>
  </w:num>
  <w:num w:numId="11">
    <w:abstractNumId w:val="32"/>
  </w:num>
  <w:num w:numId="12">
    <w:abstractNumId w:val="18"/>
  </w:num>
  <w:num w:numId="13">
    <w:abstractNumId w:val="21"/>
  </w:num>
  <w:num w:numId="14">
    <w:abstractNumId w:val="51"/>
  </w:num>
  <w:num w:numId="15">
    <w:abstractNumId w:val="9"/>
  </w:num>
  <w:num w:numId="16">
    <w:abstractNumId w:val="39"/>
  </w:num>
  <w:num w:numId="17">
    <w:abstractNumId w:val="7"/>
  </w:num>
  <w:num w:numId="18">
    <w:abstractNumId w:val="45"/>
  </w:num>
  <w:num w:numId="19">
    <w:abstractNumId w:val="29"/>
  </w:num>
  <w:num w:numId="20">
    <w:abstractNumId w:val="32"/>
    <w:lvlOverride w:ilvl="0">
      <w:startOverride w:val="1"/>
    </w:lvlOverride>
  </w:num>
  <w:num w:numId="21">
    <w:abstractNumId w:val="50"/>
  </w:num>
  <w:num w:numId="22">
    <w:abstractNumId w:val="25"/>
  </w:num>
  <w:num w:numId="23">
    <w:abstractNumId w:val="22"/>
  </w:num>
  <w:num w:numId="24">
    <w:abstractNumId w:val="37"/>
  </w:num>
  <w:num w:numId="25">
    <w:abstractNumId w:val="33"/>
  </w:num>
  <w:num w:numId="26">
    <w:abstractNumId w:val="44"/>
  </w:num>
  <w:num w:numId="27">
    <w:abstractNumId w:val="16"/>
  </w:num>
  <w:num w:numId="28">
    <w:abstractNumId w:val="4"/>
  </w:num>
  <w:num w:numId="29">
    <w:abstractNumId w:val="43"/>
  </w:num>
  <w:num w:numId="30">
    <w:abstractNumId w:val="3"/>
  </w:num>
  <w:num w:numId="31">
    <w:abstractNumId w:val="28"/>
  </w:num>
  <w:num w:numId="32">
    <w:abstractNumId w:val="49"/>
  </w:num>
  <w:num w:numId="33">
    <w:abstractNumId w:val="2"/>
  </w:num>
  <w:num w:numId="34">
    <w:abstractNumId w:val="6"/>
  </w:num>
  <w:num w:numId="35">
    <w:abstractNumId w:val="47"/>
  </w:num>
  <w:num w:numId="36">
    <w:abstractNumId w:val="31"/>
  </w:num>
  <w:num w:numId="37">
    <w:abstractNumId w:val="14"/>
  </w:num>
  <w:num w:numId="38">
    <w:abstractNumId w:val="40"/>
  </w:num>
  <w:num w:numId="39">
    <w:abstractNumId w:val="41"/>
  </w:num>
  <w:num w:numId="40">
    <w:abstractNumId w:val="36"/>
  </w:num>
  <w:num w:numId="41">
    <w:abstractNumId w:val="26"/>
  </w:num>
  <w:num w:numId="42">
    <w:abstractNumId w:val="12"/>
  </w:num>
  <w:num w:numId="43">
    <w:abstractNumId w:val="35"/>
  </w:num>
  <w:num w:numId="44">
    <w:abstractNumId w:val="27"/>
  </w:num>
  <w:num w:numId="45">
    <w:abstractNumId w:val="5"/>
  </w:num>
  <w:num w:numId="46">
    <w:abstractNumId w:val="20"/>
  </w:num>
  <w:num w:numId="47">
    <w:abstractNumId w:val="24"/>
  </w:num>
  <w:num w:numId="48">
    <w:abstractNumId w:val="13"/>
  </w:num>
  <w:num w:numId="49">
    <w:abstractNumId w:val="34"/>
  </w:num>
  <w:num w:numId="50">
    <w:abstractNumId w:val="8"/>
  </w:num>
  <w:num w:numId="51">
    <w:abstractNumId w:val="17"/>
  </w:num>
  <w:num w:numId="52">
    <w:abstractNumId w:val="19"/>
  </w:num>
  <w:num w:numId="53">
    <w:abstractNumId w:val="0"/>
  </w:num>
  <w:num w:numId="54">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DEwNbW0NAWS5ko6SsGpxcWZ+XkgBaa1AJeahIYsAAAA"/>
  </w:docVars>
  <w:rsids>
    <w:rsidRoot w:val="00E83C66"/>
    <w:rsid w:val="00003E35"/>
    <w:rsid w:val="00005FC7"/>
    <w:rsid w:val="00006013"/>
    <w:rsid w:val="00020927"/>
    <w:rsid w:val="00021009"/>
    <w:rsid w:val="00022C26"/>
    <w:rsid w:val="00022FE8"/>
    <w:rsid w:val="00023A66"/>
    <w:rsid w:val="0002435C"/>
    <w:rsid w:val="00026645"/>
    <w:rsid w:val="00032724"/>
    <w:rsid w:val="00035AE8"/>
    <w:rsid w:val="00036678"/>
    <w:rsid w:val="00044DF9"/>
    <w:rsid w:val="00057CD1"/>
    <w:rsid w:val="000950C8"/>
    <w:rsid w:val="000A0ECA"/>
    <w:rsid w:val="000B18BF"/>
    <w:rsid w:val="000C4AF9"/>
    <w:rsid w:val="000C7A3C"/>
    <w:rsid w:val="000D080C"/>
    <w:rsid w:val="000D470E"/>
    <w:rsid w:val="000D7801"/>
    <w:rsid w:val="000E1A85"/>
    <w:rsid w:val="000E2D8B"/>
    <w:rsid w:val="000F1BE5"/>
    <w:rsid w:val="000F4219"/>
    <w:rsid w:val="000F48EC"/>
    <w:rsid w:val="000F53A2"/>
    <w:rsid w:val="000F5E8F"/>
    <w:rsid w:val="000F68E2"/>
    <w:rsid w:val="001026FB"/>
    <w:rsid w:val="001123BA"/>
    <w:rsid w:val="001179FD"/>
    <w:rsid w:val="001208FF"/>
    <w:rsid w:val="00127BC4"/>
    <w:rsid w:val="00135DDB"/>
    <w:rsid w:val="00141994"/>
    <w:rsid w:val="00142209"/>
    <w:rsid w:val="001432AE"/>
    <w:rsid w:val="0014572E"/>
    <w:rsid w:val="00145D93"/>
    <w:rsid w:val="001479B1"/>
    <w:rsid w:val="00152265"/>
    <w:rsid w:val="00161742"/>
    <w:rsid w:val="00165BA2"/>
    <w:rsid w:val="00170656"/>
    <w:rsid w:val="00173AC1"/>
    <w:rsid w:val="0017424B"/>
    <w:rsid w:val="00175D50"/>
    <w:rsid w:val="00180953"/>
    <w:rsid w:val="001825AE"/>
    <w:rsid w:val="0018504F"/>
    <w:rsid w:val="001860C1"/>
    <w:rsid w:val="00190AC9"/>
    <w:rsid w:val="001939C7"/>
    <w:rsid w:val="001946BB"/>
    <w:rsid w:val="001948E2"/>
    <w:rsid w:val="0019640D"/>
    <w:rsid w:val="001A101D"/>
    <w:rsid w:val="001A4776"/>
    <w:rsid w:val="001A51F3"/>
    <w:rsid w:val="001B0E46"/>
    <w:rsid w:val="001B5F28"/>
    <w:rsid w:val="001B694A"/>
    <w:rsid w:val="001B6C1D"/>
    <w:rsid w:val="001C1B5C"/>
    <w:rsid w:val="001C246F"/>
    <w:rsid w:val="001D0EF0"/>
    <w:rsid w:val="001D2CF1"/>
    <w:rsid w:val="001D5D77"/>
    <w:rsid w:val="001D7C84"/>
    <w:rsid w:val="001E4A10"/>
    <w:rsid w:val="001E5484"/>
    <w:rsid w:val="001F2290"/>
    <w:rsid w:val="001F2BF8"/>
    <w:rsid w:val="001F4159"/>
    <w:rsid w:val="00200BBF"/>
    <w:rsid w:val="0020740C"/>
    <w:rsid w:val="00214BDA"/>
    <w:rsid w:val="00224A5C"/>
    <w:rsid w:val="00236EDC"/>
    <w:rsid w:val="002415D5"/>
    <w:rsid w:val="0024547E"/>
    <w:rsid w:val="002477FF"/>
    <w:rsid w:val="00250BA1"/>
    <w:rsid w:val="00251EF7"/>
    <w:rsid w:val="002523EC"/>
    <w:rsid w:val="00263667"/>
    <w:rsid w:val="0027038D"/>
    <w:rsid w:val="00273B12"/>
    <w:rsid w:val="00274A7A"/>
    <w:rsid w:val="0028454D"/>
    <w:rsid w:val="002A0803"/>
    <w:rsid w:val="002A2C9D"/>
    <w:rsid w:val="002B0761"/>
    <w:rsid w:val="002B318E"/>
    <w:rsid w:val="002B4475"/>
    <w:rsid w:val="002B45DB"/>
    <w:rsid w:val="002C3506"/>
    <w:rsid w:val="002C4029"/>
    <w:rsid w:val="002C5EE8"/>
    <w:rsid w:val="002D1A25"/>
    <w:rsid w:val="002D4BB4"/>
    <w:rsid w:val="002E2BA7"/>
    <w:rsid w:val="002E7A92"/>
    <w:rsid w:val="002F2DEA"/>
    <w:rsid w:val="002F47EB"/>
    <w:rsid w:val="002F6F07"/>
    <w:rsid w:val="00302122"/>
    <w:rsid w:val="00303331"/>
    <w:rsid w:val="0030335E"/>
    <w:rsid w:val="003036A6"/>
    <w:rsid w:val="00306E44"/>
    <w:rsid w:val="00310E09"/>
    <w:rsid w:val="00316F74"/>
    <w:rsid w:val="00320AAD"/>
    <w:rsid w:val="00321D7E"/>
    <w:rsid w:val="00323120"/>
    <w:rsid w:val="003249D2"/>
    <w:rsid w:val="003263E8"/>
    <w:rsid w:val="003268BD"/>
    <w:rsid w:val="00326BD8"/>
    <w:rsid w:val="00327D0C"/>
    <w:rsid w:val="003310A9"/>
    <w:rsid w:val="00333A28"/>
    <w:rsid w:val="0034160F"/>
    <w:rsid w:val="00341D88"/>
    <w:rsid w:val="00343C0A"/>
    <w:rsid w:val="003516F1"/>
    <w:rsid w:val="00352F67"/>
    <w:rsid w:val="003552BC"/>
    <w:rsid w:val="003558F4"/>
    <w:rsid w:val="00357F6B"/>
    <w:rsid w:val="00360805"/>
    <w:rsid w:val="00360FFA"/>
    <w:rsid w:val="00361167"/>
    <w:rsid w:val="00361FB3"/>
    <w:rsid w:val="003664E1"/>
    <w:rsid w:val="0037508C"/>
    <w:rsid w:val="00375C79"/>
    <w:rsid w:val="00375F17"/>
    <w:rsid w:val="003851DC"/>
    <w:rsid w:val="00386DAA"/>
    <w:rsid w:val="003925CC"/>
    <w:rsid w:val="003931A7"/>
    <w:rsid w:val="0039379F"/>
    <w:rsid w:val="0039672B"/>
    <w:rsid w:val="003A4127"/>
    <w:rsid w:val="003A4B07"/>
    <w:rsid w:val="003B3F51"/>
    <w:rsid w:val="003B4362"/>
    <w:rsid w:val="003B5125"/>
    <w:rsid w:val="003C21D1"/>
    <w:rsid w:val="003C2558"/>
    <w:rsid w:val="003D2022"/>
    <w:rsid w:val="003D53B2"/>
    <w:rsid w:val="003E5AD7"/>
    <w:rsid w:val="003E7840"/>
    <w:rsid w:val="003F2C46"/>
    <w:rsid w:val="003F440F"/>
    <w:rsid w:val="003F646D"/>
    <w:rsid w:val="003F7161"/>
    <w:rsid w:val="00400E02"/>
    <w:rsid w:val="0040159E"/>
    <w:rsid w:val="004024D1"/>
    <w:rsid w:val="00403F47"/>
    <w:rsid w:val="0041005A"/>
    <w:rsid w:val="004114D6"/>
    <w:rsid w:val="00413F90"/>
    <w:rsid w:val="0041687B"/>
    <w:rsid w:val="00420944"/>
    <w:rsid w:val="00421D96"/>
    <w:rsid w:val="0042404A"/>
    <w:rsid w:val="00432CCD"/>
    <w:rsid w:val="004425EF"/>
    <w:rsid w:val="0044347D"/>
    <w:rsid w:val="004438CF"/>
    <w:rsid w:val="00447C21"/>
    <w:rsid w:val="00451B01"/>
    <w:rsid w:val="00462329"/>
    <w:rsid w:val="004823F5"/>
    <w:rsid w:val="00485359"/>
    <w:rsid w:val="004864D7"/>
    <w:rsid w:val="00490180"/>
    <w:rsid w:val="00490E2D"/>
    <w:rsid w:val="004912A2"/>
    <w:rsid w:val="004968DC"/>
    <w:rsid w:val="004A28EF"/>
    <w:rsid w:val="004A3BBD"/>
    <w:rsid w:val="004A4D94"/>
    <w:rsid w:val="004A5F57"/>
    <w:rsid w:val="004B05FA"/>
    <w:rsid w:val="004B25D8"/>
    <w:rsid w:val="004B6FA7"/>
    <w:rsid w:val="004B7BBD"/>
    <w:rsid w:val="004C0D86"/>
    <w:rsid w:val="004C2598"/>
    <w:rsid w:val="004C31F8"/>
    <w:rsid w:val="004C7302"/>
    <w:rsid w:val="004D46F6"/>
    <w:rsid w:val="004D5B8A"/>
    <w:rsid w:val="004E5EB8"/>
    <w:rsid w:val="004F2781"/>
    <w:rsid w:val="00502B61"/>
    <w:rsid w:val="00506E98"/>
    <w:rsid w:val="0051526F"/>
    <w:rsid w:val="00515CB1"/>
    <w:rsid w:val="00517DC6"/>
    <w:rsid w:val="00521A7D"/>
    <w:rsid w:val="00521C66"/>
    <w:rsid w:val="00521D64"/>
    <w:rsid w:val="005221E5"/>
    <w:rsid w:val="005228A2"/>
    <w:rsid w:val="00531A59"/>
    <w:rsid w:val="0053459F"/>
    <w:rsid w:val="00535162"/>
    <w:rsid w:val="0053551A"/>
    <w:rsid w:val="00537F63"/>
    <w:rsid w:val="00541CF7"/>
    <w:rsid w:val="005432DD"/>
    <w:rsid w:val="00545443"/>
    <w:rsid w:val="00547308"/>
    <w:rsid w:val="00547AA5"/>
    <w:rsid w:val="0055256C"/>
    <w:rsid w:val="00561F39"/>
    <w:rsid w:val="00565352"/>
    <w:rsid w:val="00572DB9"/>
    <w:rsid w:val="0057400B"/>
    <w:rsid w:val="00581703"/>
    <w:rsid w:val="00592565"/>
    <w:rsid w:val="0059282E"/>
    <w:rsid w:val="005A3C86"/>
    <w:rsid w:val="005A5F28"/>
    <w:rsid w:val="005A633C"/>
    <w:rsid w:val="005A7119"/>
    <w:rsid w:val="005A7786"/>
    <w:rsid w:val="005B1D84"/>
    <w:rsid w:val="005B3461"/>
    <w:rsid w:val="005B3B0C"/>
    <w:rsid w:val="005B4BAE"/>
    <w:rsid w:val="005B7F7A"/>
    <w:rsid w:val="005D05B1"/>
    <w:rsid w:val="005D105B"/>
    <w:rsid w:val="005D27FE"/>
    <w:rsid w:val="005D416F"/>
    <w:rsid w:val="005D56F3"/>
    <w:rsid w:val="005D75B4"/>
    <w:rsid w:val="005D79FA"/>
    <w:rsid w:val="005E28D0"/>
    <w:rsid w:val="005E6901"/>
    <w:rsid w:val="005E6CD5"/>
    <w:rsid w:val="005F346E"/>
    <w:rsid w:val="005F3D83"/>
    <w:rsid w:val="006062AD"/>
    <w:rsid w:val="00613294"/>
    <w:rsid w:val="006179D7"/>
    <w:rsid w:val="0062204F"/>
    <w:rsid w:val="006247FA"/>
    <w:rsid w:val="00626457"/>
    <w:rsid w:val="006277B7"/>
    <w:rsid w:val="00633F5E"/>
    <w:rsid w:val="00640678"/>
    <w:rsid w:val="00641F7D"/>
    <w:rsid w:val="00643FC9"/>
    <w:rsid w:val="00644539"/>
    <w:rsid w:val="00647492"/>
    <w:rsid w:val="0065325B"/>
    <w:rsid w:val="00656044"/>
    <w:rsid w:val="00661A75"/>
    <w:rsid w:val="006706F6"/>
    <w:rsid w:val="006837B0"/>
    <w:rsid w:val="00683C92"/>
    <w:rsid w:val="0068627A"/>
    <w:rsid w:val="006876AB"/>
    <w:rsid w:val="00692AD5"/>
    <w:rsid w:val="00694531"/>
    <w:rsid w:val="00696EFE"/>
    <w:rsid w:val="006A333F"/>
    <w:rsid w:val="006A6B10"/>
    <w:rsid w:val="006B7253"/>
    <w:rsid w:val="006B7712"/>
    <w:rsid w:val="006C3870"/>
    <w:rsid w:val="006D277B"/>
    <w:rsid w:val="006D5DC7"/>
    <w:rsid w:val="006E062E"/>
    <w:rsid w:val="006E5307"/>
    <w:rsid w:val="006F1403"/>
    <w:rsid w:val="006F2BD8"/>
    <w:rsid w:val="006F5C79"/>
    <w:rsid w:val="006F68B2"/>
    <w:rsid w:val="007015BE"/>
    <w:rsid w:val="00703459"/>
    <w:rsid w:val="007039EB"/>
    <w:rsid w:val="00715459"/>
    <w:rsid w:val="00716C9C"/>
    <w:rsid w:val="00721E7A"/>
    <w:rsid w:val="007333E4"/>
    <w:rsid w:val="0073466F"/>
    <w:rsid w:val="00743437"/>
    <w:rsid w:val="00747226"/>
    <w:rsid w:val="00747D63"/>
    <w:rsid w:val="007525E6"/>
    <w:rsid w:val="00753498"/>
    <w:rsid w:val="00754B45"/>
    <w:rsid w:val="00756EF7"/>
    <w:rsid w:val="00757743"/>
    <w:rsid w:val="00761FA3"/>
    <w:rsid w:val="00767B99"/>
    <w:rsid w:val="00776295"/>
    <w:rsid w:val="00776F28"/>
    <w:rsid w:val="00777B86"/>
    <w:rsid w:val="0078680E"/>
    <w:rsid w:val="0079308C"/>
    <w:rsid w:val="007A2F8D"/>
    <w:rsid w:val="007A3942"/>
    <w:rsid w:val="007A4CEB"/>
    <w:rsid w:val="007A56FB"/>
    <w:rsid w:val="007A6AB9"/>
    <w:rsid w:val="007A703C"/>
    <w:rsid w:val="007C751C"/>
    <w:rsid w:val="007D0860"/>
    <w:rsid w:val="007D49ED"/>
    <w:rsid w:val="007E5D61"/>
    <w:rsid w:val="007E5DFE"/>
    <w:rsid w:val="007F2776"/>
    <w:rsid w:val="007F5A80"/>
    <w:rsid w:val="007F76B7"/>
    <w:rsid w:val="0080432B"/>
    <w:rsid w:val="00810E5D"/>
    <w:rsid w:val="0081160F"/>
    <w:rsid w:val="00812579"/>
    <w:rsid w:val="00813FDD"/>
    <w:rsid w:val="00824D10"/>
    <w:rsid w:val="00834811"/>
    <w:rsid w:val="0083681D"/>
    <w:rsid w:val="008378E4"/>
    <w:rsid w:val="00850521"/>
    <w:rsid w:val="0085244E"/>
    <w:rsid w:val="00854C79"/>
    <w:rsid w:val="00855246"/>
    <w:rsid w:val="00855303"/>
    <w:rsid w:val="008556AB"/>
    <w:rsid w:val="00857AF2"/>
    <w:rsid w:val="00857D13"/>
    <w:rsid w:val="00864066"/>
    <w:rsid w:val="00870582"/>
    <w:rsid w:val="00874EE5"/>
    <w:rsid w:val="0087643C"/>
    <w:rsid w:val="008875AD"/>
    <w:rsid w:val="00890C0E"/>
    <w:rsid w:val="00891257"/>
    <w:rsid w:val="0089223A"/>
    <w:rsid w:val="00893011"/>
    <w:rsid w:val="0089560C"/>
    <w:rsid w:val="008A1C28"/>
    <w:rsid w:val="008A5BB4"/>
    <w:rsid w:val="008A7289"/>
    <w:rsid w:val="008B07A3"/>
    <w:rsid w:val="008C536B"/>
    <w:rsid w:val="008C5DE7"/>
    <w:rsid w:val="008C6935"/>
    <w:rsid w:val="008C732D"/>
    <w:rsid w:val="008C759F"/>
    <w:rsid w:val="008C7B37"/>
    <w:rsid w:val="008D0277"/>
    <w:rsid w:val="008D52D9"/>
    <w:rsid w:val="008D6C16"/>
    <w:rsid w:val="008E223E"/>
    <w:rsid w:val="008F6069"/>
    <w:rsid w:val="008F6407"/>
    <w:rsid w:val="008F7C48"/>
    <w:rsid w:val="009017A2"/>
    <w:rsid w:val="00901E49"/>
    <w:rsid w:val="00904B9E"/>
    <w:rsid w:val="00905143"/>
    <w:rsid w:val="0090559C"/>
    <w:rsid w:val="00913319"/>
    <w:rsid w:val="00913C81"/>
    <w:rsid w:val="00914836"/>
    <w:rsid w:val="00914A70"/>
    <w:rsid w:val="00915E09"/>
    <w:rsid w:val="0092079F"/>
    <w:rsid w:val="00921203"/>
    <w:rsid w:val="0092446D"/>
    <w:rsid w:val="00924D4C"/>
    <w:rsid w:val="00925D95"/>
    <w:rsid w:val="0093064C"/>
    <w:rsid w:val="009331B2"/>
    <w:rsid w:val="00934454"/>
    <w:rsid w:val="00934919"/>
    <w:rsid w:val="0094328F"/>
    <w:rsid w:val="00943F97"/>
    <w:rsid w:val="00944F42"/>
    <w:rsid w:val="00946787"/>
    <w:rsid w:val="009510E4"/>
    <w:rsid w:val="009515C6"/>
    <w:rsid w:val="0095205B"/>
    <w:rsid w:val="00952F29"/>
    <w:rsid w:val="0095396C"/>
    <w:rsid w:val="00955587"/>
    <w:rsid w:val="0096236C"/>
    <w:rsid w:val="0096376B"/>
    <w:rsid w:val="0096381D"/>
    <w:rsid w:val="00971FA7"/>
    <w:rsid w:val="009727D6"/>
    <w:rsid w:val="00974382"/>
    <w:rsid w:val="00977019"/>
    <w:rsid w:val="00977956"/>
    <w:rsid w:val="009827DB"/>
    <w:rsid w:val="00983558"/>
    <w:rsid w:val="0098487D"/>
    <w:rsid w:val="00986C24"/>
    <w:rsid w:val="00987128"/>
    <w:rsid w:val="00990069"/>
    <w:rsid w:val="00990EEA"/>
    <w:rsid w:val="0099141A"/>
    <w:rsid w:val="00997659"/>
    <w:rsid w:val="009A1A10"/>
    <w:rsid w:val="009A2B89"/>
    <w:rsid w:val="009A325F"/>
    <w:rsid w:val="009B21F3"/>
    <w:rsid w:val="009C34A6"/>
    <w:rsid w:val="009C3964"/>
    <w:rsid w:val="009C64D5"/>
    <w:rsid w:val="009C7155"/>
    <w:rsid w:val="009D28E8"/>
    <w:rsid w:val="009D3C59"/>
    <w:rsid w:val="009D5234"/>
    <w:rsid w:val="009E2C50"/>
    <w:rsid w:val="009E47CE"/>
    <w:rsid w:val="009E48D1"/>
    <w:rsid w:val="009E7120"/>
    <w:rsid w:val="009E76E0"/>
    <w:rsid w:val="009F106E"/>
    <w:rsid w:val="009F147B"/>
    <w:rsid w:val="009F2FB2"/>
    <w:rsid w:val="009F3CD7"/>
    <w:rsid w:val="009F495B"/>
    <w:rsid w:val="009F60DF"/>
    <w:rsid w:val="00A00E16"/>
    <w:rsid w:val="00A07375"/>
    <w:rsid w:val="00A23014"/>
    <w:rsid w:val="00A238E8"/>
    <w:rsid w:val="00A34E93"/>
    <w:rsid w:val="00A34F87"/>
    <w:rsid w:val="00A44140"/>
    <w:rsid w:val="00A45A38"/>
    <w:rsid w:val="00A51C33"/>
    <w:rsid w:val="00A547B5"/>
    <w:rsid w:val="00A62C68"/>
    <w:rsid w:val="00A75F2A"/>
    <w:rsid w:val="00A7767F"/>
    <w:rsid w:val="00A866B1"/>
    <w:rsid w:val="00A87E4E"/>
    <w:rsid w:val="00A90F72"/>
    <w:rsid w:val="00A93496"/>
    <w:rsid w:val="00AA054A"/>
    <w:rsid w:val="00AA2DB4"/>
    <w:rsid w:val="00AA3CE9"/>
    <w:rsid w:val="00AA77AA"/>
    <w:rsid w:val="00AB5625"/>
    <w:rsid w:val="00AB5FFA"/>
    <w:rsid w:val="00AD29EE"/>
    <w:rsid w:val="00AE0E89"/>
    <w:rsid w:val="00AE6B64"/>
    <w:rsid w:val="00AF3702"/>
    <w:rsid w:val="00AF6D9B"/>
    <w:rsid w:val="00B00BA2"/>
    <w:rsid w:val="00B02888"/>
    <w:rsid w:val="00B1162A"/>
    <w:rsid w:val="00B12236"/>
    <w:rsid w:val="00B140AC"/>
    <w:rsid w:val="00B211F5"/>
    <w:rsid w:val="00B26BC0"/>
    <w:rsid w:val="00B32818"/>
    <w:rsid w:val="00B34E46"/>
    <w:rsid w:val="00B37609"/>
    <w:rsid w:val="00B448FF"/>
    <w:rsid w:val="00B47CA2"/>
    <w:rsid w:val="00B57008"/>
    <w:rsid w:val="00B57456"/>
    <w:rsid w:val="00B6423F"/>
    <w:rsid w:val="00B7076B"/>
    <w:rsid w:val="00B71E59"/>
    <w:rsid w:val="00B73F57"/>
    <w:rsid w:val="00B802D9"/>
    <w:rsid w:val="00B8340C"/>
    <w:rsid w:val="00B87200"/>
    <w:rsid w:val="00B917CE"/>
    <w:rsid w:val="00BA2628"/>
    <w:rsid w:val="00BA47E9"/>
    <w:rsid w:val="00BA501C"/>
    <w:rsid w:val="00BA5689"/>
    <w:rsid w:val="00BA59D4"/>
    <w:rsid w:val="00BB4167"/>
    <w:rsid w:val="00BB50BD"/>
    <w:rsid w:val="00BB5357"/>
    <w:rsid w:val="00BC10C0"/>
    <w:rsid w:val="00BC42BD"/>
    <w:rsid w:val="00BD117A"/>
    <w:rsid w:val="00BE0C8B"/>
    <w:rsid w:val="00BE0EF2"/>
    <w:rsid w:val="00BE22FC"/>
    <w:rsid w:val="00BE36F4"/>
    <w:rsid w:val="00BE5563"/>
    <w:rsid w:val="00BE765E"/>
    <w:rsid w:val="00BE7D39"/>
    <w:rsid w:val="00BF1406"/>
    <w:rsid w:val="00BF174A"/>
    <w:rsid w:val="00BF634E"/>
    <w:rsid w:val="00C013FB"/>
    <w:rsid w:val="00C035A7"/>
    <w:rsid w:val="00C047D6"/>
    <w:rsid w:val="00C05700"/>
    <w:rsid w:val="00C05C66"/>
    <w:rsid w:val="00C068F7"/>
    <w:rsid w:val="00C06D95"/>
    <w:rsid w:val="00C10A49"/>
    <w:rsid w:val="00C127DC"/>
    <w:rsid w:val="00C15C81"/>
    <w:rsid w:val="00C15EC2"/>
    <w:rsid w:val="00C2040F"/>
    <w:rsid w:val="00C23216"/>
    <w:rsid w:val="00C268D5"/>
    <w:rsid w:val="00C3123A"/>
    <w:rsid w:val="00C31FE5"/>
    <w:rsid w:val="00C3262E"/>
    <w:rsid w:val="00C46AF9"/>
    <w:rsid w:val="00C54C9D"/>
    <w:rsid w:val="00C64E95"/>
    <w:rsid w:val="00C72861"/>
    <w:rsid w:val="00C73E51"/>
    <w:rsid w:val="00C77A63"/>
    <w:rsid w:val="00C82D2B"/>
    <w:rsid w:val="00C85274"/>
    <w:rsid w:val="00C94B7A"/>
    <w:rsid w:val="00C95FCE"/>
    <w:rsid w:val="00CA1513"/>
    <w:rsid w:val="00CA706A"/>
    <w:rsid w:val="00CB0F04"/>
    <w:rsid w:val="00CB369C"/>
    <w:rsid w:val="00CB3BDD"/>
    <w:rsid w:val="00CB457C"/>
    <w:rsid w:val="00CB5E9C"/>
    <w:rsid w:val="00CB5ECE"/>
    <w:rsid w:val="00CB6622"/>
    <w:rsid w:val="00CC4648"/>
    <w:rsid w:val="00CC4B76"/>
    <w:rsid w:val="00CC5F1B"/>
    <w:rsid w:val="00CD41C1"/>
    <w:rsid w:val="00CE22D1"/>
    <w:rsid w:val="00CE5010"/>
    <w:rsid w:val="00CF1121"/>
    <w:rsid w:val="00CF42CA"/>
    <w:rsid w:val="00CF5D14"/>
    <w:rsid w:val="00CF60A1"/>
    <w:rsid w:val="00D03A33"/>
    <w:rsid w:val="00D04CA9"/>
    <w:rsid w:val="00D13A1C"/>
    <w:rsid w:val="00D16545"/>
    <w:rsid w:val="00D24F9E"/>
    <w:rsid w:val="00D27732"/>
    <w:rsid w:val="00D31D08"/>
    <w:rsid w:val="00D324D4"/>
    <w:rsid w:val="00D3299B"/>
    <w:rsid w:val="00D32FCD"/>
    <w:rsid w:val="00D36B2C"/>
    <w:rsid w:val="00D376D3"/>
    <w:rsid w:val="00D435FB"/>
    <w:rsid w:val="00D5030F"/>
    <w:rsid w:val="00D51C91"/>
    <w:rsid w:val="00D565E0"/>
    <w:rsid w:val="00D61801"/>
    <w:rsid w:val="00D62E9D"/>
    <w:rsid w:val="00D6465A"/>
    <w:rsid w:val="00D6471C"/>
    <w:rsid w:val="00D6535F"/>
    <w:rsid w:val="00D763A0"/>
    <w:rsid w:val="00D80BC7"/>
    <w:rsid w:val="00D83656"/>
    <w:rsid w:val="00D84AB9"/>
    <w:rsid w:val="00D84DEF"/>
    <w:rsid w:val="00D85A4D"/>
    <w:rsid w:val="00D91957"/>
    <w:rsid w:val="00D94606"/>
    <w:rsid w:val="00DA207D"/>
    <w:rsid w:val="00DA43EF"/>
    <w:rsid w:val="00DA50AB"/>
    <w:rsid w:val="00DA6373"/>
    <w:rsid w:val="00DA6898"/>
    <w:rsid w:val="00DB1904"/>
    <w:rsid w:val="00DB4462"/>
    <w:rsid w:val="00DB7BE4"/>
    <w:rsid w:val="00DC56F7"/>
    <w:rsid w:val="00DC6BC1"/>
    <w:rsid w:val="00DD0BA5"/>
    <w:rsid w:val="00DD1964"/>
    <w:rsid w:val="00DD2F74"/>
    <w:rsid w:val="00DD3EC9"/>
    <w:rsid w:val="00DD72FD"/>
    <w:rsid w:val="00DE4EDB"/>
    <w:rsid w:val="00DE5F0F"/>
    <w:rsid w:val="00DF53DC"/>
    <w:rsid w:val="00DF546B"/>
    <w:rsid w:val="00E01D24"/>
    <w:rsid w:val="00E02748"/>
    <w:rsid w:val="00E02EB3"/>
    <w:rsid w:val="00E1029D"/>
    <w:rsid w:val="00E15F67"/>
    <w:rsid w:val="00E20FCD"/>
    <w:rsid w:val="00E218D5"/>
    <w:rsid w:val="00E237BF"/>
    <w:rsid w:val="00E2395D"/>
    <w:rsid w:val="00E26932"/>
    <w:rsid w:val="00E40774"/>
    <w:rsid w:val="00E41DC1"/>
    <w:rsid w:val="00E45F49"/>
    <w:rsid w:val="00E57F18"/>
    <w:rsid w:val="00E6086E"/>
    <w:rsid w:val="00E67648"/>
    <w:rsid w:val="00E70B23"/>
    <w:rsid w:val="00E72BD0"/>
    <w:rsid w:val="00E768F3"/>
    <w:rsid w:val="00E83C66"/>
    <w:rsid w:val="00E90316"/>
    <w:rsid w:val="00E933BF"/>
    <w:rsid w:val="00E95339"/>
    <w:rsid w:val="00EA470A"/>
    <w:rsid w:val="00EA5CA5"/>
    <w:rsid w:val="00EA6E66"/>
    <w:rsid w:val="00EA78BB"/>
    <w:rsid w:val="00EB33A1"/>
    <w:rsid w:val="00EB6ECF"/>
    <w:rsid w:val="00EB6F88"/>
    <w:rsid w:val="00EC0326"/>
    <w:rsid w:val="00EC3273"/>
    <w:rsid w:val="00EC32AE"/>
    <w:rsid w:val="00EC60A1"/>
    <w:rsid w:val="00EC6389"/>
    <w:rsid w:val="00EC702D"/>
    <w:rsid w:val="00ED2366"/>
    <w:rsid w:val="00ED5A00"/>
    <w:rsid w:val="00ED7060"/>
    <w:rsid w:val="00ED7968"/>
    <w:rsid w:val="00ED7C8A"/>
    <w:rsid w:val="00EE22F5"/>
    <w:rsid w:val="00EE3527"/>
    <w:rsid w:val="00EE3DFC"/>
    <w:rsid w:val="00EE51EC"/>
    <w:rsid w:val="00EE6A28"/>
    <w:rsid w:val="00EF0329"/>
    <w:rsid w:val="00EF0D5B"/>
    <w:rsid w:val="00EF1CF5"/>
    <w:rsid w:val="00EF276F"/>
    <w:rsid w:val="00EF31C2"/>
    <w:rsid w:val="00EF4A47"/>
    <w:rsid w:val="00EF71D5"/>
    <w:rsid w:val="00F02A8A"/>
    <w:rsid w:val="00F02C6E"/>
    <w:rsid w:val="00F10F0C"/>
    <w:rsid w:val="00F12BB5"/>
    <w:rsid w:val="00F132AA"/>
    <w:rsid w:val="00F17016"/>
    <w:rsid w:val="00F231EB"/>
    <w:rsid w:val="00F24018"/>
    <w:rsid w:val="00F24C6C"/>
    <w:rsid w:val="00F2717B"/>
    <w:rsid w:val="00F321FC"/>
    <w:rsid w:val="00F34C5E"/>
    <w:rsid w:val="00F364FE"/>
    <w:rsid w:val="00F37647"/>
    <w:rsid w:val="00F4137E"/>
    <w:rsid w:val="00F42B3C"/>
    <w:rsid w:val="00F43222"/>
    <w:rsid w:val="00F465B4"/>
    <w:rsid w:val="00F54268"/>
    <w:rsid w:val="00F556DE"/>
    <w:rsid w:val="00F57B58"/>
    <w:rsid w:val="00F62DE8"/>
    <w:rsid w:val="00F66DA7"/>
    <w:rsid w:val="00F70124"/>
    <w:rsid w:val="00F70696"/>
    <w:rsid w:val="00F71253"/>
    <w:rsid w:val="00F7127C"/>
    <w:rsid w:val="00F863CC"/>
    <w:rsid w:val="00F87896"/>
    <w:rsid w:val="00FA1C34"/>
    <w:rsid w:val="00FA30F5"/>
    <w:rsid w:val="00FA5C0B"/>
    <w:rsid w:val="00FB404F"/>
    <w:rsid w:val="00FB49CB"/>
    <w:rsid w:val="00FD6D26"/>
    <w:rsid w:val="00FE24F1"/>
    <w:rsid w:val="00FE28A6"/>
    <w:rsid w:val="00FE3EEF"/>
    <w:rsid w:val="00FE6F5A"/>
    <w:rsid w:val="00FE7024"/>
    <w:rsid w:val="00FE741B"/>
    <w:rsid w:val="00FF1B80"/>
    <w:rsid w:val="00FF2DA0"/>
    <w:rsid w:val="00FF2F68"/>
    <w:rsid w:val="00FF4964"/>
    <w:rsid w:val="00FF5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14"/>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eastAsiaTheme="majorEastAsia"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customStyle="1" w:styleId="UnresolvedMention">
    <w:name w:val="Unresolved Mention"/>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ice.org.uk/guidance/ng43" TargetMode="External"/><Relationship Id="rId18" Type="http://schemas.openxmlformats.org/officeDocument/2006/relationships/hyperlink" Target="https://www.medicines.org.uk/emc/search?q=guanfacine" TargetMode="External"/><Relationship Id="rId26" Type="http://schemas.openxmlformats.org/officeDocument/2006/relationships/hyperlink" Target="https://www.medicines.org.uk/emc/product/5099" TargetMode="External"/><Relationship Id="rId39" Type="http://schemas.openxmlformats.org/officeDocument/2006/relationships/header" Target="header3.xml"/><Relationship Id="rId21" Type="http://schemas.openxmlformats.org/officeDocument/2006/relationships/hyperlink" Target="https://www.rcpsych.ac.uk/mental-health/problems-disorders/adhd-in-adults" TargetMode="External"/><Relationship Id="rId34" Type="http://schemas.openxmlformats.org/officeDocument/2006/relationships/hyperlink" Target="https://www.nice.org.uk/guidance/ng197/"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nf.nice.org.uk/guidance/prescribing-in-the-elderly.html" TargetMode="External"/><Relationship Id="rId20" Type="http://schemas.openxmlformats.org/officeDocument/2006/relationships/hyperlink" Target="https://www.gov.uk/adhd-and-driving" TargetMode="External"/><Relationship Id="rId29" Type="http://schemas.openxmlformats.org/officeDocument/2006/relationships/hyperlink" Target="https://www.medicines.org.uk/emc/product/7507/rmm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dtc.nhs.uk/prescribing-support-document/shared-care-protocol-guanfacine-in-adults/" TargetMode="External"/><Relationship Id="rId24" Type="http://schemas.openxmlformats.org/officeDocument/2006/relationships/hyperlink" Target="https://www.sps.nhs.uk/home/about-sps/get-in-touch/medicines-information-services-contact-details/breastfeeding-medicines-advice-service/" TargetMode="External"/><Relationship Id="rId32" Type="http://schemas.openxmlformats.org/officeDocument/2006/relationships/hyperlink" Target="https://www.england.nhs.uk/publication/responsibility-for-prescribing-between-primary-and-secondary-tertiary-care/"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medicines.org.uk/emc/search?q=guanfacine" TargetMode="External"/><Relationship Id="rId23" Type="http://schemas.openxmlformats.org/officeDocument/2006/relationships/hyperlink" Target="https://www.medicines.org.uk/emc/search?q=guanfacine" TargetMode="External"/><Relationship Id="rId28" Type="http://schemas.openxmlformats.org/officeDocument/2006/relationships/hyperlink" Target="https://www.nice.org.uk/guidance/ng43/"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yellowcard.mhra.gov.uk" TargetMode="External"/><Relationship Id="rId31" Type="http://schemas.openxmlformats.org/officeDocument/2006/relationships/hyperlink" Target="https://future.nhs.uk/connect.ti/PrescribingMedicinesOptimisation/view?objectId=4455323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nf.nice.org.uk/" TargetMode="External"/><Relationship Id="rId22" Type="http://schemas.openxmlformats.org/officeDocument/2006/relationships/hyperlink" Target="https://www.nhs.uk/conditions/attention-deficit-hyperactivity-disorder-adhd/" TargetMode="External"/><Relationship Id="rId27" Type="http://schemas.openxmlformats.org/officeDocument/2006/relationships/hyperlink" Target="https://www.nice.org.uk/guidance/ng87/" TargetMode="External"/><Relationship Id="rId30" Type="http://schemas.openxmlformats.org/officeDocument/2006/relationships/hyperlink" Target="https://www.ncbi.nlm.nih.gov/books/NBK501522/"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ice.org.uk/guidance/ng87" TargetMode="External"/><Relationship Id="rId17" Type="http://schemas.openxmlformats.org/officeDocument/2006/relationships/hyperlink" Target="https://bnf.nice.org.uk/" TargetMode="External"/><Relationship Id="rId25" Type="http://schemas.openxmlformats.org/officeDocument/2006/relationships/hyperlink" Target="https://bnf.nice.org.uk/drug/guanfacine.html" TargetMode="External"/><Relationship Id="rId33" Type="http://schemas.openxmlformats.org/officeDocument/2006/relationships/hyperlink" Target="https://www.gmc-uk.org/ethical-guidance/ethical-guidance-for-doctors/good-practice-in-prescribing-and-managing-medicines-and-devices/shared-care" TargetMode="External"/><Relationship Id="rId38"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af8bb99-f63a-4e33-b200-ec62ac311639" xsi:nil="true"/>
    <lcf76f155ced4ddcb4097134ff3c332f xmlns="f20c8ee1-5c4d-4fe6-a884-671ceaf5210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174624CA836641BE22D1EB9A9E2204" ma:contentTypeVersion="19" ma:contentTypeDescription="Create a new document." ma:contentTypeScope="" ma:versionID="8c534e726c896b57c82b5b99f4f319a2">
  <xsd:schema xmlns:xsd="http://www.w3.org/2001/XMLSchema" xmlns:xs="http://www.w3.org/2001/XMLSchema" xmlns:p="http://schemas.microsoft.com/office/2006/metadata/properties" xmlns:ns1="http://schemas.microsoft.com/sharepoint/v3" xmlns:ns2="f20c8ee1-5c4d-4fe6-a884-671ceaf52101" xmlns:ns3="daf8bb99-f63a-4e33-b200-ec62ac311639" targetNamespace="http://schemas.microsoft.com/office/2006/metadata/properties" ma:root="true" ma:fieldsID="27677d382d494c3cc9cf583fe71f4b5e" ns1:_="" ns2:_="" ns3:_="">
    <xsd:import namespace="http://schemas.microsoft.com/sharepoint/v3"/>
    <xsd:import namespace="f20c8ee1-5c4d-4fe6-a884-671ceaf52101"/>
    <xsd:import namespace="daf8bb99-f63a-4e33-b200-ec62ac3116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0c8ee1-5c4d-4fe6-a884-671ceaf52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f8bb99-f63a-4e33-b200-ec62ac31163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8631231-6f43-4857-8242-87355a4339e9}" ma:internalName="TaxCatchAll" ma:showField="CatchAllData" ma:web="daf8bb99-f63a-4e33-b200-ec62ac3116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AB882-76C8-4C3A-80F2-A88BAF8090B7}">
  <ds:schemaRefs>
    <ds:schemaRef ds:uri="http://schemas.microsoft.com/sharepoint/v3/contenttype/forms"/>
  </ds:schemaRefs>
</ds:datastoreItem>
</file>

<file path=customXml/itemProps2.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 ds:uri="daf8bb99-f63a-4e33-b200-ec62ac311639"/>
    <ds:schemaRef ds:uri="f20c8ee1-5c4d-4fe6-a884-671ceaf52101"/>
    <ds:schemaRef ds:uri="http://schemas.microsoft.com/sharepoint/v3"/>
  </ds:schemaRefs>
</ds:datastoreItem>
</file>

<file path=customXml/itemProps3.xml><?xml version="1.0" encoding="utf-8"?>
<ds:datastoreItem xmlns:ds="http://schemas.openxmlformats.org/officeDocument/2006/customXml" ds:itemID="{ABDB9D5B-4532-4214-8CA2-B3F511316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0c8ee1-5c4d-4fe6-a884-671ceaf52101"/>
    <ds:schemaRef ds:uri="daf8bb99-f63a-4e33-b200-ec62ac311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392BD6-DEC7-456A-8AD1-2266DC1D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3734</Words>
  <Characters>21289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RLBUHT</Company>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Donlon Kieron (MLCSU)</dc:creator>
  <cp:lastModifiedBy>Kane, Nancy</cp:lastModifiedBy>
  <cp:revision>3</cp:revision>
  <cp:lastPrinted>2022-03-11T14:19:00Z</cp:lastPrinted>
  <dcterms:created xsi:type="dcterms:W3CDTF">2025-04-28T16:19:00Z</dcterms:created>
  <dcterms:modified xsi:type="dcterms:W3CDTF">2025-06-03T13:49:00Z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0x01010031174624CA836641BE22D1EB9A9E2204</vt:lpwstr>
  </property>
  <property fmtid="{D5CDD505-2E9C-101B-9397-08002B2CF9AE}" pid="3" name="_dlc_DocIdItemGuid">
    <vt:lpwstr>51b1480d-bcbe-4409-8965-5d4ba7a1fe1a</vt:lpwstr>
  </property>
  <property fmtid="{D5CDD505-2E9C-101B-9397-08002B2CF9AE}" pid="4" name="MediaServiceImageTags">
    <vt:lpwstr/>
  </property>
</Properties>
</file>