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EA1C" w14:textId="5F168A91" w:rsidR="003C21D1" w:rsidRDefault="003C21D1"/>
    <w:p w14:paraId="1A9789A2" w14:textId="3CF96C98" w:rsidR="005228A2" w:rsidRPr="005228A2" w:rsidRDefault="00F12AB0" w:rsidP="005228A2">
      <w:pPr>
        <w:pStyle w:val="Heading2"/>
        <w:numPr>
          <w:ilvl w:val="0"/>
          <w:numId w:val="0"/>
        </w:numPr>
        <w:ind w:left="357" w:hanging="357"/>
        <w:jc w:val="center"/>
        <w:rPr>
          <w:sz w:val="28"/>
          <w:szCs w:val="32"/>
        </w:rPr>
      </w:pPr>
      <w:r>
        <w:rPr>
          <w:sz w:val="28"/>
          <w:szCs w:val="32"/>
        </w:rPr>
        <w:t>Hydroxychloroquine</w:t>
      </w:r>
      <w:r w:rsidR="005228A2" w:rsidRPr="005228A2">
        <w:rPr>
          <w:sz w:val="28"/>
          <w:szCs w:val="32"/>
        </w:rPr>
        <w:t xml:space="preserve"> for patients within adult services</w:t>
      </w:r>
    </w:p>
    <w:tbl>
      <w:tblPr>
        <w:tblStyle w:val="TableGrid"/>
        <w:tblW w:w="0" w:type="auto"/>
        <w:tblLook w:val="04A0" w:firstRow="1" w:lastRow="0" w:firstColumn="1" w:lastColumn="0" w:noHBand="0" w:noVBand="1"/>
      </w:tblPr>
      <w:tblGrid>
        <w:gridCol w:w="3256"/>
        <w:gridCol w:w="2305"/>
        <w:gridCol w:w="2447"/>
        <w:gridCol w:w="2448"/>
      </w:tblGrid>
      <w:tr w:rsidR="00812579" w14:paraId="117D375B" w14:textId="77777777" w:rsidTr="00812579">
        <w:tc>
          <w:tcPr>
            <w:tcW w:w="3256" w:type="dxa"/>
          </w:tcPr>
          <w:p w14:paraId="1FC4E973" w14:textId="4E19234A" w:rsidR="00812579" w:rsidRDefault="00812579" w:rsidP="00BF1406">
            <w:pPr>
              <w:rPr>
                <w:rFonts w:cs="Arial"/>
              </w:rPr>
            </w:pPr>
            <w:r>
              <w:rPr>
                <w:rFonts w:cs="Arial"/>
              </w:rPr>
              <w:t>Version:</w:t>
            </w:r>
          </w:p>
        </w:tc>
        <w:tc>
          <w:tcPr>
            <w:tcW w:w="2305" w:type="dxa"/>
          </w:tcPr>
          <w:p w14:paraId="1B35B75E" w14:textId="12FDE28B" w:rsidR="00812579" w:rsidRDefault="00CD4653" w:rsidP="00BF1406">
            <w:pPr>
              <w:rPr>
                <w:rFonts w:cs="Arial"/>
              </w:rPr>
            </w:pPr>
            <w:r>
              <w:rPr>
                <w:rFonts w:cs="Arial"/>
              </w:rPr>
              <w:t xml:space="preserve">HNY </w:t>
            </w:r>
            <w:r w:rsidR="005A19CF">
              <w:rPr>
                <w:rFonts w:cs="Arial"/>
              </w:rPr>
              <w:t>v1.</w:t>
            </w:r>
            <w:r>
              <w:rPr>
                <w:rFonts w:cs="Arial"/>
              </w:rPr>
              <w:t>0</w:t>
            </w:r>
          </w:p>
        </w:tc>
        <w:tc>
          <w:tcPr>
            <w:tcW w:w="2447" w:type="dxa"/>
          </w:tcPr>
          <w:p w14:paraId="76C84DC3" w14:textId="7BC745AD" w:rsidR="00812579" w:rsidRDefault="00812579" w:rsidP="00BF1406">
            <w:pPr>
              <w:rPr>
                <w:rFonts w:cs="Arial"/>
              </w:rPr>
            </w:pPr>
            <w:r>
              <w:rPr>
                <w:rFonts w:cs="Arial"/>
              </w:rPr>
              <w:t>Replaces version:</w:t>
            </w:r>
          </w:p>
        </w:tc>
        <w:tc>
          <w:tcPr>
            <w:tcW w:w="2448" w:type="dxa"/>
          </w:tcPr>
          <w:p w14:paraId="603CA470" w14:textId="049435AF" w:rsidR="00812579" w:rsidRDefault="00070EF7" w:rsidP="00BF1406">
            <w:pPr>
              <w:rPr>
                <w:rFonts w:cs="Arial"/>
              </w:rPr>
            </w:pPr>
            <w:r>
              <w:rPr>
                <w:rFonts w:cs="Arial"/>
              </w:rPr>
              <w:t xml:space="preserve">RDTC </w:t>
            </w:r>
            <w:r w:rsidR="00F12AB0">
              <w:rPr>
                <w:rFonts w:cs="Arial"/>
              </w:rPr>
              <w:t>v1.</w:t>
            </w:r>
            <w:r w:rsidR="00CD4653">
              <w:rPr>
                <w:rFonts w:cs="Arial"/>
              </w:rPr>
              <w:t>1</w:t>
            </w:r>
          </w:p>
        </w:tc>
      </w:tr>
      <w:tr w:rsidR="00812579" w14:paraId="69C53677" w14:textId="77777777" w:rsidTr="00812579">
        <w:tc>
          <w:tcPr>
            <w:tcW w:w="3256" w:type="dxa"/>
          </w:tcPr>
          <w:p w14:paraId="0BC1494C" w14:textId="356B9B36" w:rsidR="00812579" w:rsidRDefault="00812579" w:rsidP="00BF1406">
            <w:pPr>
              <w:rPr>
                <w:rFonts w:cs="Arial"/>
              </w:rPr>
            </w:pPr>
            <w:r>
              <w:rPr>
                <w:rFonts w:cs="Arial"/>
              </w:rPr>
              <w:t>Clinical content last reviewed:</w:t>
            </w:r>
          </w:p>
        </w:tc>
        <w:tc>
          <w:tcPr>
            <w:tcW w:w="2305" w:type="dxa"/>
          </w:tcPr>
          <w:p w14:paraId="456B394F" w14:textId="283394E1" w:rsidR="00812579" w:rsidRDefault="00F12AB0" w:rsidP="00BF1406">
            <w:pPr>
              <w:rPr>
                <w:rFonts w:cs="Arial"/>
              </w:rPr>
            </w:pPr>
            <w:r>
              <w:rPr>
                <w:rFonts w:cs="Arial"/>
              </w:rPr>
              <w:t>November 2023</w:t>
            </w:r>
          </w:p>
        </w:tc>
        <w:tc>
          <w:tcPr>
            <w:tcW w:w="2447" w:type="dxa"/>
          </w:tcPr>
          <w:p w14:paraId="3D826204" w14:textId="26C8FFED" w:rsidR="00812579" w:rsidRDefault="00812579" w:rsidP="00BF1406">
            <w:pPr>
              <w:rPr>
                <w:rFonts w:cs="Arial"/>
              </w:rPr>
            </w:pPr>
            <w:r>
              <w:rPr>
                <w:rFonts w:cs="Arial"/>
              </w:rPr>
              <w:t>Next review date:</w:t>
            </w:r>
          </w:p>
        </w:tc>
        <w:tc>
          <w:tcPr>
            <w:tcW w:w="2448" w:type="dxa"/>
          </w:tcPr>
          <w:p w14:paraId="112594AC" w14:textId="35DD11A0" w:rsidR="00812579" w:rsidRDefault="00F12AB0" w:rsidP="00BF1406">
            <w:pPr>
              <w:rPr>
                <w:rFonts w:cs="Arial"/>
              </w:rPr>
            </w:pPr>
            <w:r>
              <w:rPr>
                <w:rFonts w:cs="Arial"/>
              </w:rPr>
              <w:t>November 2025</w:t>
            </w:r>
          </w:p>
        </w:tc>
      </w:tr>
    </w:tbl>
    <w:p w14:paraId="530E612C" w14:textId="77777777" w:rsidR="00BF1406" w:rsidRDefault="00BF1406">
      <w:pPr>
        <w:rPr>
          <w:rFonts w:cs="Arial"/>
        </w:rPr>
      </w:pPr>
    </w:p>
    <w:tbl>
      <w:tblPr>
        <w:tblStyle w:val="TableGrid"/>
        <w:tblW w:w="0" w:type="auto"/>
        <w:tblLook w:val="04A0" w:firstRow="1" w:lastRow="0" w:firstColumn="1" w:lastColumn="0" w:noHBand="0" w:noVBand="1"/>
      </w:tblPr>
      <w:tblGrid>
        <w:gridCol w:w="1413"/>
        <w:gridCol w:w="1843"/>
        <w:gridCol w:w="7200"/>
      </w:tblGrid>
      <w:tr w:rsidR="00812579" w:rsidRPr="00812579" w14:paraId="34CF4584" w14:textId="77777777" w:rsidTr="41A577ED">
        <w:tc>
          <w:tcPr>
            <w:tcW w:w="1413" w:type="dxa"/>
          </w:tcPr>
          <w:p w14:paraId="61CA52AD" w14:textId="62A0E277" w:rsidR="00812579" w:rsidRPr="00812579" w:rsidRDefault="00812579" w:rsidP="00812579">
            <w:pPr>
              <w:rPr>
                <w:rFonts w:cs="Arial"/>
                <w:b/>
                <w:bCs/>
              </w:rPr>
            </w:pPr>
            <w:r w:rsidRPr="00812579">
              <w:rPr>
                <w:rFonts w:cs="Arial"/>
                <w:b/>
                <w:bCs/>
              </w:rPr>
              <w:t>Version</w:t>
            </w:r>
          </w:p>
        </w:tc>
        <w:tc>
          <w:tcPr>
            <w:tcW w:w="1843" w:type="dxa"/>
          </w:tcPr>
          <w:p w14:paraId="29D2AD29" w14:textId="1CDE1ADD" w:rsidR="00812579" w:rsidRPr="00812579" w:rsidRDefault="00812579" w:rsidP="00812579">
            <w:pPr>
              <w:rPr>
                <w:rFonts w:cs="Arial"/>
                <w:b/>
                <w:bCs/>
              </w:rPr>
            </w:pPr>
            <w:r w:rsidRPr="00812579">
              <w:rPr>
                <w:rFonts w:cs="Arial"/>
                <w:b/>
                <w:bCs/>
              </w:rPr>
              <w:t>Date published</w:t>
            </w:r>
          </w:p>
        </w:tc>
        <w:tc>
          <w:tcPr>
            <w:tcW w:w="7200" w:type="dxa"/>
          </w:tcPr>
          <w:p w14:paraId="1249D078" w14:textId="0D4735C0" w:rsidR="00812579" w:rsidRPr="00812579" w:rsidRDefault="00812579" w:rsidP="65FCFA20">
            <w:pPr>
              <w:rPr>
                <w:rFonts w:cs="Arial"/>
                <w:b/>
                <w:bCs/>
              </w:rPr>
            </w:pPr>
            <w:r w:rsidRPr="65FCFA20">
              <w:rPr>
                <w:rFonts w:cs="Arial"/>
                <w:b/>
                <w:bCs/>
              </w:rPr>
              <w:t>Changes since previous version</w:t>
            </w:r>
          </w:p>
        </w:tc>
      </w:tr>
      <w:tr w:rsidR="00812579" w14:paraId="752F6420" w14:textId="77777777" w:rsidTr="41A577ED">
        <w:tc>
          <w:tcPr>
            <w:tcW w:w="1413" w:type="dxa"/>
          </w:tcPr>
          <w:p w14:paraId="0EAA9C18" w14:textId="74562A36" w:rsidR="00812579" w:rsidRDefault="005A7119" w:rsidP="00812579">
            <w:pPr>
              <w:rPr>
                <w:rFonts w:cs="Arial"/>
              </w:rPr>
            </w:pPr>
            <w:r>
              <w:rPr>
                <w:rFonts w:cs="Arial"/>
              </w:rPr>
              <w:t>RDTC v</w:t>
            </w:r>
            <w:r w:rsidR="00812579">
              <w:rPr>
                <w:rFonts w:cs="Arial"/>
              </w:rPr>
              <w:t>1.0</w:t>
            </w:r>
          </w:p>
        </w:tc>
        <w:tc>
          <w:tcPr>
            <w:tcW w:w="1843" w:type="dxa"/>
          </w:tcPr>
          <w:p w14:paraId="4232EE9B" w14:textId="0027D8EA" w:rsidR="00812579" w:rsidRDefault="00604054" w:rsidP="00812579">
            <w:pPr>
              <w:rPr>
                <w:rFonts w:cs="Arial"/>
              </w:rPr>
            </w:pPr>
            <w:r>
              <w:rPr>
                <w:rFonts w:cs="Arial"/>
              </w:rPr>
              <w:t>14</w:t>
            </w:r>
            <w:r w:rsidRPr="00604054">
              <w:rPr>
                <w:rFonts w:cs="Arial"/>
                <w:vertAlign w:val="superscript"/>
              </w:rPr>
              <w:t>th</w:t>
            </w:r>
            <w:r>
              <w:rPr>
                <w:rFonts w:cs="Arial"/>
              </w:rPr>
              <w:t xml:space="preserve"> February</w:t>
            </w:r>
            <w:r w:rsidR="005A19CF">
              <w:rPr>
                <w:rFonts w:cs="Arial"/>
              </w:rPr>
              <w:t xml:space="preserve"> 2024</w:t>
            </w:r>
          </w:p>
        </w:tc>
        <w:tc>
          <w:tcPr>
            <w:tcW w:w="7200" w:type="dxa"/>
          </w:tcPr>
          <w:p w14:paraId="20190A52" w14:textId="77777777" w:rsidR="00641F7D" w:rsidRPr="00CA6D16" w:rsidRDefault="00916713" w:rsidP="005A19CF">
            <w:pPr>
              <w:pStyle w:val="ListParagraph"/>
              <w:numPr>
                <w:ilvl w:val="0"/>
                <w:numId w:val="61"/>
              </w:numPr>
              <w:rPr>
                <w:rFonts w:cs="Arial"/>
              </w:rPr>
            </w:pPr>
            <w:r w:rsidRPr="00D40D9C">
              <w:rPr>
                <w:rFonts w:cs="Arial"/>
              </w:rPr>
              <w:t xml:space="preserve">Hyperlinks and references updated to current versions. </w:t>
            </w:r>
          </w:p>
          <w:p w14:paraId="3DF11CB4" w14:textId="44A29FD0" w:rsidR="00916713" w:rsidRPr="00CA6D16" w:rsidRDefault="00CA6D16" w:rsidP="005A19CF">
            <w:pPr>
              <w:pStyle w:val="ListParagraph"/>
              <w:numPr>
                <w:ilvl w:val="0"/>
                <w:numId w:val="61"/>
              </w:numPr>
              <w:rPr>
                <w:rFonts w:cs="Arial"/>
              </w:rPr>
            </w:pPr>
            <w:r>
              <w:rPr>
                <w:rFonts w:cs="Arial"/>
              </w:rPr>
              <w:t xml:space="preserve">Advice added as per </w:t>
            </w:r>
            <w:r w:rsidR="00916713" w:rsidRPr="00CA6D16">
              <w:rPr>
                <w:rFonts w:cs="Arial"/>
              </w:rPr>
              <w:t xml:space="preserve">MHRA Drug Safety Update on psychiatric </w:t>
            </w:r>
            <w:r w:rsidRPr="00CA6D16">
              <w:rPr>
                <w:rFonts w:cs="Arial"/>
              </w:rPr>
              <w:t xml:space="preserve">and cardiovascular </w:t>
            </w:r>
            <w:r w:rsidR="00916713" w:rsidRPr="00CA6D16">
              <w:rPr>
                <w:rFonts w:cs="Arial"/>
              </w:rPr>
              <w:t xml:space="preserve">adverse events </w:t>
            </w:r>
          </w:p>
          <w:p w14:paraId="5B753078" w14:textId="77777777" w:rsidR="00916713" w:rsidRPr="00CA6D16" w:rsidRDefault="00916713" w:rsidP="005A19CF">
            <w:pPr>
              <w:pStyle w:val="ListParagraph"/>
              <w:numPr>
                <w:ilvl w:val="0"/>
                <w:numId w:val="61"/>
              </w:numPr>
              <w:rPr>
                <w:rFonts w:cs="Arial"/>
              </w:rPr>
            </w:pPr>
            <w:r w:rsidRPr="00CA6D16">
              <w:rPr>
                <w:rFonts w:cs="Arial"/>
              </w:rPr>
              <w:t>Links added to RMOC document on hydroxychloroquine and chloroquine retinopathy monitoring</w:t>
            </w:r>
          </w:p>
          <w:p w14:paraId="36F87864" w14:textId="54F4CB5D" w:rsidR="00916713" w:rsidRPr="00CA6D16" w:rsidRDefault="00916713" w:rsidP="005A19CF">
            <w:pPr>
              <w:pStyle w:val="ListParagraph"/>
              <w:numPr>
                <w:ilvl w:val="0"/>
                <w:numId w:val="61"/>
              </w:numPr>
              <w:rPr>
                <w:rFonts w:cs="Arial"/>
              </w:rPr>
            </w:pPr>
            <w:r w:rsidRPr="00CA6D16">
              <w:rPr>
                <w:rFonts w:cs="Arial"/>
              </w:rPr>
              <w:t>Advice on shingles vaccination updated to reflect new national schedule</w:t>
            </w:r>
          </w:p>
        </w:tc>
      </w:tr>
      <w:tr w:rsidR="00812579" w14:paraId="120F2CF5" w14:textId="77777777" w:rsidTr="41A577ED">
        <w:tc>
          <w:tcPr>
            <w:tcW w:w="1413" w:type="dxa"/>
          </w:tcPr>
          <w:p w14:paraId="36E8A0C3" w14:textId="705C6165" w:rsidR="00812579" w:rsidRDefault="00070EF7" w:rsidP="00812579">
            <w:pPr>
              <w:rPr>
                <w:rFonts w:cs="Arial"/>
              </w:rPr>
            </w:pPr>
            <w:r>
              <w:rPr>
                <w:rFonts w:cs="Arial"/>
              </w:rPr>
              <w:t>RDTC v1.1</w:t>
            </w:r>
          </w:p>
        </w:tc>
        <w:tc>
          <w:tcPr>
            <w:tcW w:w="1843" w:type="dxa"/>
          </w:tcPr>
          <w:p w14:paraId="156C2558" w14:textId="465628BC" w:rsidR="00812579" w:rsidRDefault="00096FBD" w:rsidP="00812579">
            <w:pPr>
              <w:rPr>
                <w:rFonts w:cs="Arial"/>
              </w:rPr>
            </w:pPr>
            <w:r>
              <w:rPr>
                <w:rFonts w:cs="Arial"/>
              </w:rPr>
              <w:t>26</w:t>
            </w:r>
            <w:r w:rsidRPr="00497922">
              <w:rPr>
                <w:rFonts w:cs="Arial"/>
                <w:vertAlign w:val="superscript"/>
              </w:rPr>
              <w:t>th</w:t>
            </w:r>
            <w:r>
              <w:rPr>
                <w:rFonts w:cs="Arial"/>
              </w:rPr>
              <w:t xml:space="preserve"> November 2024</w:t>
            </w:r>
          </w:p>
        </w:tc>
        <w:tc>
          <w:tcPr>
            <w:tcW w:w="7200" w:type="dxa"/>
          </w:tcPr>
          <w:p w14:paraId="70E165E6" w14:textId="0C45CEB8" w:rsidR="00812579" w:rsidRPr="00096FBD" w:rsidRDefault="00096FBD" w:rsidP="00497922">
            <w:pPr>
              <w:pStyle w:val="ListParagraph"/>
              <w:numPr>
                <w:ilvl w:val="0"/>
                <w:numId w:val="62"/>
              </w:numPr>
              <w:rPr>
                <w:rFonts w:cs="Arial"/>
              </w:rPr>
            </w:pPr>
            <w:r w:rsidRPr="00096FBD">
              <w:rPr>
                <w:rStyle w:val="normaltextrun"/>
                <w:rFonts w:cs="Arial"/>
                <w:color w:val="000000"/>
                <w:bdr w:val="none" w:sz="0" w:space="0" w:color="auto" w:frame="1"/>
              </w:rPr>
              <w:t>Advice on shingles vaccine clarified to reflect potential eligibility of patients aged 50 years or older taking immunosuppressive therapy</w:t>
            </w:r>
          </w:p>
        </w:tc>
      </w:tr>
      <w:tr w:rsidR="00DE519B" w14:paraId="63AA0242" w14:textId="77777777" w:rsidTr="41A577ED">
        <w:tc>
          <w:tcPr>
            <w:tcW w:w="1413" w:type="dxa"/>
          </w:tcPr>
          <w:p w14:paraId="353E91F3" w14:textId="39E4B7B1" w:rsidR="00DE519B" w:rsidRDefault="00DE519B" w:rsidP="00812579">
            <w:pPr>
              <w:rPr>
                <w:rFonts w:cs="Arial"/>
              </w:rPr>
            </w:pPr>
            <w:r>
              <w:rPr>
                <w:rFonts w:cs="Arial"/>
              </w:rPr>
              <w:t xml:space="preserve">RDTC </w:t>
            </w:r>
            <w:r w:rsidR="00CA734D">
              <w:rPr>
                <w:rFonts w:cs="Arial"/>
              </w:rPr>
              <w:t>v</w:t>
            </w:r>
            <w:r>
              <w:rPr>
                <w:rFonts w:cs="Arial"/>
              </w:rPr>
              <w:t>1.</w:t>
            </w:r>
            <w:r w:rsidR="000A09E6">
              <w:rPr>
                <w:rFonts w:cs="Arial"/>
              </w:rPr>
              <w:t>1</w:t>
            </w:r>
          </w:p>
        </w:tc>
        <w:tc>
          <w:tcPr>
            <w:tcW w:w="1843" w:type="dxa"/>
          </w:tcPr>
          <w:p w14:paraId="3C71F34A" w14:textId="31FBFF31" w:rsidR="00DE519B" w:rsidRDefault="00DE519B" w:rsidP="00812579">
            <w:pPr>
              <w:rPr>
                <w:rFonts w:cs="Arial"/>
              </w:rPr>
            </w:pPr>
            <w:r>
              <w:rPr>
                <w:rFonts w:cs="Arial"/>
              </w:rPr>
              <w:t>24</w:t>
            </w:r>
            <w:r w:rsidRPr="000A09E6">
              <w:rPr>
                <w:rFonts w:cs="Arial"/>
                <w:vertAlign w:val="superscript"/>
              </w:rPr>
              <w:t>th</w:t>
            </w:r>
            <w:r>
              <w:rPr>
                <w:rFonts w:cs="Arial"/>
              </w:rPr>
              <w:t xml:space="preserve"> February 202</w:t>
            </w:r>
            <w:r w:rsidR="00A66A1A">
              <w:rPr>
                <w:rFonts w:cs="Arial"/>
              </w:rPr>
              <w:t>5</w:t>
            </w:r>
          </w:p>
        </w:tc>
        <w:tc>
          <w:tcPr>
            <w:tcW w:w="7200" w:type="dxa"/>
          </w:tcPr>
          <w:p w14:paraId="7A8F39D1" w14:textId="33544879" w:rsidR="00DE519B" w:rsidRPr="00096FBD" w:rsidRDefault="00DE519B" w:rsidP="00497922">
            <w:pPr>
              <w:pStyle w:val="ListParagraph"/>
              <w:numPr>
                <w:ilvl w:val="0"/>
                <w:numId w:val="62"/>
              </w:numPr>
              <w:rPr>
                <w:rStyle w:val="normaltextrun"/>
                <w:rFonts w:cs="Arial"/>
                <w:color w:val="000000"/>
                <w:bdr w:val="none" w:sz="0" w:space="0" w:color="auto" w:frame="1"/>
              </w:rPr>
            </w:pPr>
            <w:r>
              <w:rPr>
                <w:rStyle w:val="normaltextrun"/>
                <w:rFonts w:cs="Arial"/>
                <w:color w:val="000000"/>
                <w:bdr w:val="none" w:sz="0" w:space="0" w:color="auto" w:frame="1"/>
              </w:rPr>
              <w:t>Removed section relating to vaccinations following comments from consultation as this drug alone does not make patients eligible for any of the vaccinations listed.</w:t>
            </w:r>
          </w:p>
        </w:tc>
      </w:tr>
      <w:tr w:rsidR="001B1CA7" w14:paraId="11F2C5F3" w14:textId="77777777" w:rsidTr="41A577ED">
        <w:tc>
          <w:tcPr>
            <w:tcW w:w="1413" w:type="dxa"/>
          </w:tcPr>
          <w:p w14:paraId="36F332D4" w14:textId="25E93D7F" w:rsidR="001B1CA7" w:rsidRDefault="001B1CA7" w:rsidP="00812579">
            <w:pPr>
              <w:rPr>
                <w:rFonts w:cs="Arial"/>
              </w:rPr>
            </w:pPr>
            <w:r>
              <w:rPr>
                <w:rFonts w:cs="Arial"/>
              </w:rPr>
              <w:t>HNY v1.0</w:t>
            </w:r>
          </w:p>
        </w:tc>
        <w:tc>
          <w:tcPr>
            <w:tcW w:w="1843" w:type="dxa"/>
          </w:tcPr>
          <w:p w14:paraId="2AF1C4A9" w14:textId="2599A07A" w:rsidR="001B1CA7" w:rsidRDefault="00106068" w:rsidP="00812579">
            <w:pPr>
              <w:rPr>
                <w:rFonts w:cs="Arial"/>
              </w:rPr>
            </w:pPr>
            <w:r>
              <w:rPr>
                <w:rFonts w:cs="Arial"/>
              </w:rPr>
              <w:t>tbc</w:t>
            </w:r>
          </w:p>
        </w:tc>
        <w:tc>
          <w:tcPr>
            <w:tcW w:w="7200" w:type="dxa"/>
          </w:tcPr>
          <w:p w14:paraId="28428D8C" w14:textId="77777777" w:rsidR="001B1CA7" w:rsidRDefault="001A628C" w:rsidP="00497922">
            <w:pPr>
              <w:pStyle w:val="ListParagraph"/>
              <w:numPr>
                <w:ilvl w:val="0"/>
                <w:numId w:val="62"/>
              </w:numPr>
              <w:rPr>
                <w:rStyle w:val="normaltextrun"/>
                <w:rFonts w:cs="Arial"/>
                <w:color w:val="000000"/>
                <w:bdr w:val="none" w:sz="0" w:space="0" w:color="auto" w:frame="1"/>
              </w:rPr>
            </w:pPr>
            <w:r>
              <w:rPr>
                <w:rStyle w:val="normaltextrun"/>
                <w:rFonts w:cs="Arial"/>
                <w:color w:val="000000"/>
                <w:bdr w:val="none" w:sz="0" w:space="0" w:color="auto" w:frame="1"/>
              </w:rPr>
              <w:t>HNY logos added</w:t>
            </w:r>
          </w:p>
          <w:p w14:paraId="2BBAF0FD" w14:textId="77777777" w:rsidR="00F659FE" w:rsidRPr="00754FD9" w:rsidRDefault="00E35994" w:rsidP="00F659FE">
            <w:pPr>
              <w:pStyle w:val="ListParagraph"/>
              <w:numPr>
                <w:ilvl w:val="0"/>
                <w:numId w:val="63"/>
              </w:numPr>
              <w:rPr>
                <w:rFonts w:cs="Arial"/>
              </w:rPr>
            </w:pPr>
            <w:r>
              <w:rPr>
                <w:rStyle w:val="normaltextrun"/>
                <w:rFonts w:cs="Arial"/>
                <w:color w:val="000000"/>
                <w:bdr w:val="none" w:sz="0" w:space="0" w:color="auto" w:frame="1"/>
              </w:rPr>
              <w:t xml:space="preserve">Section 4: Transfer of monitoring and prescribing updated and following wording added: </w:t>
            </w:r>
            <w:r w:rsidR="00F659FE"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456C535C" w14:textId="0EE666F9" w:rsidR="00754FD9" w:rsidRPr="00183898" w:rsidRDefault="00754FD9" w:rsidP="00F659FE">
            <w:pPr>
              <w:pStyle w:val="ListParagraph"/>
              <w:numPr>
                <w:ilvl w:val="0"/>
                <w:numId w:val="63"/>
              </w:numPr>
              <w:rPr>
                <w:rFonts w:cs="Arial"/>
              </w:rPr>
            </w:pPr>
            <w:r w:rsidRPr="41A577ED">
              <w:rPr>
                <w:rStyle w:val="normaltextrun"/>
                <w:rFonts w:cs="Arial"/>
                <w:color w:val="000000" w:themeColor="text1"/>
              </w:rPr>
              <w:t>S</w:t>
            </w:r>
            <w:r w:rsidRPr="41A577ED">
              <w:rPr>
                <w:rStyle w:val="normaltextrun"/>
                <w:color w:val="000000" w:themeColor="text1"/>
              </w:rPr>
              <w:t>ection 5:</w:t>
            </w:r>
            <w:r w:rsidRPr="41A577ED">
              <w:rPr>
                <w:rFonts w:cs="Arial"/>
              </w:rPr>
              <w:t xml:space="preserve"> added - </w:t>
            </w:r>
            <w:r>
              <w:t>At initiation of shared care, communication to primary care should include current and ongoing dose, any relevant test results, and date the next monitoring is required.</w:t>
            </w:r>
          </w:p>
          <w:p w14:paraId="0D664915" w14:textId="0B4952A4" w:rsidR="049569F9" w:rsidRPr="006140F7" w:rsidRDefault="049569F9" w:rsidP="41A577ED">
            <w:pPr>
              <w:pStyle w:val="ListParagraph"/>
              <w:numPr>
                <w:ilvl w:val="0"/>
                <w:numId w:val="63"/>
              </w:numPr>
              <w:rPr>
                <w:rFonts w:eastAsia="Aptos" w:cs="Arial"/>
              </w:rPr>
            </w:pPr>
            <w:r w:rsidRPr="41A577ED">
              <w:rPr>
                <w:rFonts w:cs="Arial"/>
              </w:rPr>
              <w:t xml:space="preserve">Section 6 monitoring box: </w:t>
            </w:r>
            <w:r w:rsidRPr="006140F7">
              <w:rPr>
                <w:rFonts w:eastAsia="Aptos" w:cs="Arial"/>
              </w:rPr>
              <w:t xml:space="preserve">Communicate with the specialist team when the patient is approaching 5 years of treatment (or 1 year in patients with additional risk factors) and ensure that the patient is referred into the ophthalmology team (or other commissioned service as appropriate) for annual retinopathy monitoring. See </w:t>
            </w:r>
            <w:proofErr w:type="spellStart"/>
            <w:r w:rsidRPr="006140F7">
              <w:rPr>
                <w:rFonts w:eastAsia="Aptos" w:cs="Arial"/>
              </w:rPr>
              <w:t>RCOphth</w:t>
            </w:r>
            <w:proofErr w:type="spellEnd"/>
            <w:r w:rsidRPr="006140F7">
              <w:rPr>
                <w:rFonts w:eastAsia="Aptos" w:cs="Arial"/>
              </w:rPr>
              <w:t xml:space="preserve"> guidelines and RMOC Hydroxychloroquine and chloroquine retinopathy monitoring. Risk factors may change over time; primary care should discuss with specialist if new risk factors that are ‘high risk’ are identified before the five-year mark to enable referral to ophthalmology service as soon as is necessitated. Primary care should review eligibility for hydroxychloroquine retinal screening on at least an annual basis to ensure that all patients have undergone retinal screening in accordance with their level of risk (after 5 years or after 1 year of treatment).</w:t>
            </w:r>
          </w:p>
          <w:p w14:paraId="73962D7A" w14:textId="77777777" w:rsidR="00E35994" w:rsidRPr="006140F7" w:rsidRDefault="00B934F6" w:rsidP="00497922">
            <w:pPr>
              <w:pStyle w:val="ListParagraph"/>
              <w:numPr>
                <w:ilvl w:val="0"/>
                <w:numId w:val="62"/>
              </w:numPr>
              <w:rPr>
                <w:rFonts w:cs="Arial"/>
                <w:color w:val="000000"/>
                <w:bdr w:val="none" w:sz="0" w:space="0" w:color="auto" w:frame="1"/>
              </w:rPr>
            </w:pPr>
            <w:r>
              <w:rPr>
                <w:rStyle w:val="normaltextrun"/>
                <w:rFonts w:cs="Arial"/>
                <w:color w:val="000000"/>
                <w:bdr w:val="none" w:sz="0" w:space="0" w:color="auto" w:frame="1"/>
              </w:rPr>
              <w:lastRenderedPageBreak/>
              <w:t>S</w:t>
            </w:r>
            <w:r>
              <w:rPr>
                <w:rStyle w:val="normaltextrun"/>
                <w:color w:val="000000"/>
                <w:bdr w:val="none" w:sz="0" w:space="0" w:color="auto" w:frame="1"/>
              </w:rPr>
              <w:t xml:space="preserve">ection 13: </w:t>
            </w:r>
            <w:r w:rsidR="0022377F" w:rsidRPr="00CD6693">
              <w:rPr>
                <w:rFonts w:cs="Arial"/>
              </w:rPr>
              <w:t>Contact information updated to "</w:t>
            </w:r>
            <w:r w:rsidR="0022377F" w:rsidRPr="002273EC">
              <w:rPr>
                <w:rFonts w:cs="Arial"/>
                <w:i/>
                <w:iCs/>
              </w:rPr>
              <w:t xml:space="preserve"> </w:t>
            </w:r>
            <w:r w:rsidR="0022377F" w:rsidRPr="002273EC">
              <w:rPr>
                <w:rFonts w:cs="Arial"/>
              </w:rPr>
              <w:t>Details</w:t>
            </w:r>
            <w:r w:rsidR="0022377F" w:rsidRPr="002273EC">
              <w:rPr>
                <w:rFonts w:cs="Arial"/>
                <w:i/>
                <w:iCs/>
              </w:rPr>
              <w:t xml:space="preserve"> </w:t>
            </w:r>
            <w:r w:rsidR="0022377F" w:rsidRPr="00370D0C">
              <w:rPr>
                <w:rFonts w:cs="Arial"/>
              </w:rPr>
              <w:t>for contacting specialist must be included on clinic letter</w:t>
            </w:r>
            <w:r w:rsidR="0022377F">
              <w:rPr>
                <w:rFonts w:cs="Arial"/>
              </w:rPr>
              <w:t xml:space="preserve"> including </w:t>
            </w:r>
            <w:r w:rsidR="00BD1CEE">
              <w:rPr>
                <w:rFonts w:cs="Arial"/>
              </w:rPr>
              <w:t xml:space="preserve">specialist arrangements for retinal screening". </w:t>
            </w:r>
          </w:p>
          <w:p w14:paraId="1812527A" w14:textId="038E2AF7" w:rsidR="00F31736" w:rsidRDefault="00F31736" w:rsidP="00497922">
            <w:pPr>
              <w:pStyle w:val="ListParagraph"/>
              <w:numPr>
                <w:ilvl w:val="0"/>
                <w:numId w:val="62"/>
              </w:numPr>
              <w:rPr>
                <w:rStyle w:val="normaltextrun"/>
                <w:rFonts w:cs="Arial"/>
                <w:color w:val="000000"/>
                <w:bdr w:val="none" w:sz="0" w:space="0" w:color="auto" w:frame="1"/>
              </w:rPr>
            </w:pPr>
            <w:r>
              <w:rPr>
                <w:rStyle w:val="normaltextrun"/>
                <w:rFonts w:cs="Arial"/>
                <w:color w:val="000000"/>
                <w:bdr w:val="none" w:sz="0" w:space="0" w:color="auto" w:frame="1"/>
              </w:rPr>
              <w:t>S</w:t>
            </w:r>
            <w:r>
              <w:rPr>
                <w:rStyle w:val="normaltextrun"/>
                <w:color w:val="000000"/>
                <w:bdr w:val="none" w:sz="0" w:space="0" w:color="auto" w:frame="1"/>
              </w:rPr>
              <w:t xml:space="preserve">ection 16: </w:t>
            </w:r>
            <w:r w:rsidR="007A288B">
              <w:rPr>
                <w:rFonts w:cs="Arial"/>
              </w:rPr>
              <w:t>Hyperlink to Shared Care for Medicines Guidance updated</w:t>
            </w:r>
          </w:p>
        </w:tc>
      </w:tr>
    </w:tbl>
    <w:p w14:paraId="3EC6F559" w14:textId="77777777" w:rsidR="00812579" w:rsidRDefault="00812579">
      <w:pPr>
        <w:rPr>
          <w:rFonts w:cs="Arial"/>
        </w:rPr>
      </w:pPr>
    </w:p>
    <w:p w14:paraId="461A042C" w14:textId="77777777" w:rsidR="005432DD" w:rsidRPr="007815A0" w:rsidRDefault="005432DD" w:rsidP="005432DD">
      <w:pPr>
        <w:rPr>
          <w:rFonts w:cs="Arial"/>
          <w:b/>
          <w:bCs/>
        </w:rPr>
      </w:pPr>
      <w:r w:rsidRPr="007815A0">
        <w:rPr>
          <w:rFonts w:cs="Arial"/>
          <w:b/>
          <w:bCs/>
        </w:rPr>
        <w:t>Local review and adoption</w:t>
      </w:r>
    </w:p>
    <w:tbl>
      <w:tblPr>
        <w:tblStyle w:val="TableGrid"/>
        <w:tblW w:w="0" w:type="auto"/>
        <w:tblLook w:val="04A0" w:firstRow="1" w:lastRow="0" w:firstColumn="1" w:lastColumn="0" w:noHBand="0" w:noVBand="1"/>
      </w:tblPr>
      <w:tblGrid>
        <w:gridCol w:w="4248"/>
        <w:gridCol w:w="4365"/>
      </w:tblGrid>
      <w:tr w:rsidR="005432DD" w:rsidRPr="00812579" w14:paraId="6220F19C" w14:textId="77777777" w:rsidTr="00CA70E8">
        <w:tc>
          <w:tcPr>
            <w:tcW w:w="4248" w:type="dxa"/>
          </w:tcPr>
          <w:p w14:paraId="6F1EF854" w14:textId="77777777" w:rsidR="005432DD" w:rsidRPr="00812579" w:rsidRDefault="005432DD" w:rsidP="00CA70E8">
            <w:pPr>
              <w:rPr>
                <w:rFonts w:cs="Arial"/>
                <w:b/>
                <w:bCs/>
              </w:rPr>
            </w:pPr>
            <w:r>
              <w:rPr>
                <w:rFonts w:cs="Arial"/>
                <w:b/>
                <w:bCs/>
              </w:rPr>
              <w:t>Local approval</w:t>
            </w:r>
          </w:p>
        </w:tc>
        <w:tc>
          <w:tcPr>
            <w:tcW w:w="4365" w:type="dxa"/>
          </w:tcPr>
          <w:p w14:paraId="1229A162" w14:textId="77777777" w:rsidR="005432DD" w:rsidRPr="00812579" w:rsidRDefault="005432DD" w:rsidP="00CA70E8">
            <w:pPr>
              <w:rPr>
                <w:rFonts w:cs="Arial"/>
                <w:b/>
                <w:bCs/>
              </w:rPr>
            </w:pPr>
            <w:r>
              <w:rPr>
                <w:rFonts w:cs="Arial"/>
                <w:b/>
                <w:bCs/>
              </w:rPr>
              <w:t>Date</w:t>
            </w:r>
          </w:p>
        </w:tc>
      </w:tr>
      <w:tr w:rsidR="005A7119" w14:paraId="141E8B71" w14:textId="77777777" w:rsidTr="00CA70E8">
        <w:tc>
          <w:tcPr>
            <w:tcW w:w="4248" w:type="dxa"/>
          </w:tcPr>
          <w:p w14:paraId="24E1D2AD" w14:textId="782ABC1D" w:rsidR="005A7119" w:rsidRDefault="005A7119" w:rsidP="005A7119">
            <w:pPr>
              <w:rPr>
                <w:rFonts w:cs="Arial"/>
              </w:rPr>
            </w:pPr>
            <w:r>
              <w:rPr>
                <w:rFonts w:cs="Arial"/>
              </w:rPr>
              <w:t>Local content added</w:t>
            </w:r>
          </w:p>
        </w:tc>
        <w:tc>
          <w:tcPr>
            <w:tcW w:w="4365" w:type="dxa"/>
          </w:tcPr>
          <w:p w14:paraId="065C0AFF" w14:textId="43958F97" w:rsidR="005A7119" w:rsidRDefault="004D0DB7" w:rsidP="005A7119">
            <w:pPr>
              <w:rPr>
                <w:rFonts w:cs="Arial"/>
              </w:rPr>
            </w:pPr>
            <w:r>
              <w:rPr>
                <w:rFonts w:cs="Arial"/>
              </w:rPr>
              <w:t>August 2024</w:t>
            </w:r>
          </w:p>
        </w:tc>
      </w:tr>
      <w:tr w:rsidR="005A7119" w14:paraId="5274CE57" w14:textId="77777777" w:rsidTr="00CA70E8">
        <w:tc>
          <w:tcPr>
            <w:tcW w:w="4248" w:type="dxa"/>
          </w:tcPr>
          <w:p w14:paraId="72D8275E" w14:textId="3143DA59" w:rsidR="005A7119" w:rsidRDefault="005A7119" w:rsidP="005A7119">
            <w:pPr>
              <w:rPr>
                <w:rFonts w:cs="Arial"/>
              </w:rPr>
            </w:pPr>
            <w:r>
              <w:rPr>
                <w:rFonts w:cs="Arial"/>
              </w:rPr>
              <w:t xml:space="preserve">Approved for use by </w:t>
            </w:r>
            <w:r w:rsidR="009F463A">
              <w:rPr>
                <w:rFonts w:cs="Arial"/>
              </w:rPr>
              <w:t xml:space="preserve">Humber and North Yorkshire </w:t>
            </w:r>
            <w:r>
              <w:rPr>
                <w:rFonts w:cs="Arial"/>
              </w:rPr>
              <w:t xml:space="preserve">ICB </w:t>
            </w:r>
          </w:p>
        </w:tc>
        <w:tc>
          <w:tcPr>
            <w:tcW w:w="4365" w:type="dxa"/>
          </w:tcPr>
          <w:p w14:paraId="696B3FA0" w14:textId="00103809" w:rsidR="005A7119" w:rsidRDefault="00027C5C" w:rsidP="005A7119">
            <w:pPr>
              <w:rPr>
                <w:rFonts w:cs="Arial"/>
              </w:rPr>
            </w:pPr>
            <w:r>
              <w:rPr>
                <w:rFonts w:cs="Arial"/>
              </w:rPr>
              <w:t>March 2025</w:t>
            </w:r>
          </w:p>
        </w:tc>
      </w:tr>
    </w:tbl>
    <w:p w14:paraId="4E87CD01" w14:textId="77777777" w:rsidR="00812579" w:rsidRDefault="00812579">
      <w:pPr>
        <w:rPr>
          <w:rFonts w:cs="Arial"/>
        </w:rPr>
      </w:pPr>
    </w:p>
    <w:p w14:paraId="2EA3AED0" w14:textId="7DFCF166" w:rsidR="005A7119" w:rsidRPr="004D0DB7" w:rsidRDefault="005A7119" w:rsidP="65FCFA20">
      <w:pPr>
        <w:rPr>
          <w:rFonts w:cs="Arial"/>
          <w:sz w:val="16"/>
          <w:szCs w:val="16"/>
        </w:rPr>
      </w:pPr>
      <w:r w:rsidRPr="65FCFA20">
        <w:rPr>
          <w:rFonts w:cs="Arial"/>
          <w:sz w:val="16"/>
          <w:szCs w:val="16"/>
        </w:rPr>
        <w:t xml:space="preserve">Clinical content has been reviewed and updated by the RDTC on the date indicated above. Every effort is made to keep the content up to date. These templates are provided to the </w:t>
      </w:r>
      <w:proofErr w:type="gramStart"/>
      <w:r w:rsidRPr="65FCFA20">
        <w:rPr>
          <w:rFonts w:cs="Arial"/>
          <w:sz w:val="16"/>
          <w:szCs w:val="16"/>
        </w:rPr>
        <w:t>North West</w:t>
      </w:r>
      <w:proofErr w:type="gramEnd"/>
      <w:r w:rsidRPr="65FCFA20">
        <w:rPr>
          <w:rFonts w:cs="Arial"/>
          <w:sz w:val="16"/>
          <w:szCs w:val="16"/>
        </w:rPr>
        <w:t xml:space="preserve"> and </w:t>
      </w:r>
      <w:proofErr w:type="gramStart"/>
      <w:r w:rsidRPr="65FCFA20">
        <w:rPr>
          <w:rFonts w:cs="Arial"/>
          <w:sz w:val="16"/>
          <w:szCs w:val="16"/>
        </w:rPr>
        <w:t>North East</w:t>
      </w:r>
      <w:proofErr w:type="gramEnd"/>
      <w:r w:rsidRPr="65FCFA20">
        <w:rPr>
          <w:rFonts w:cs="Arial"/>
          <w:sz w:val="16"/>
          <w:szCs w:val="16"/>
        </w:rPr>
        <w:t xml:space="preserve"> and Yorkshire ICBs for localisation and approval through standard ICB processes. The most recent version is available on the RDTC website at </w:t>
      </w:r>
      <w:hyperlink r:id="rId11">
        <w:r w:rsidR="00604054" w:rsidRPr="65FCFA20">
          <w:rPr>
            <w:rStyle w:val="Hyperlink"/>
            <w:rFonts w:cs="Arial"/>
            <w:sz w:val="16"/>
            <w:szCs w:val="16"/>
          </w:rPr>
          <w:t>https://rdtc.nhs.uk/prescribing-support-document/shared-care-protocol-hydroxychloroquine-for-adults</w:t>
        </w:r>
      </w:hyperlink>
      <w:r w:rsidR="005A19CF" w:rsidRPr="65FCFA20">
        <w:rPr>
          <w:rFonts w:cs="Arial"/>
          <w:sz w:val="16"/>
          <w:szCs w:val="16"/>
        </w:rPr>
        <w:t xml:space="preserve">. </w:t>
      </w:r>
    </w:p>
    <w:p w14:paraId="58762991" w14:textId="77777777" w:rsidR="005A7119" w:rsidRDefault="005A7119" w:rsidP="005A7119">
      <w:pPr>
        <w:rPr>
          <w:rFonts w:cs="Arial"/>
          <w:sz w:val="24"/>
          <w:szCs w:val="24"/>
        </w:rPr>
      </w:pPr>
    </w:p>
    <w:p w14:paraId="3C7A5CC4" w14:textId="57FF4980" w:rsidR="005A633C" w:rsidRDefault="005A633C">
      <w:pPr>
        <w:rPr>
          <w:rFonts w:cs="Arial"/>
          <w:sz w:val="24"/>
          <w:szCs w:val="24"/>
        </w:rPr>
      </w:pPr>
      <w:r w:rsidRPr="005A633C">
        <w:rPr>
          <w:rFonts w:cs="Arial"/>
          <w:sz w:val="24"/>
          <w:szCs w:val="24"/>
        </w:rPr>
        <w:t xml:space="preserve">This document is intended for use by </w:t>
      </w:r>
      <w:r>
        <w:rPr>
          <w:rFonts w:cs="Arial"/>
          <w:sz w:val="24"/>
          <w:szCs w:val="24"/>
        </w:rPr>
        <w:t>NHS</w:t>
      </w:r>
      <w:r w:rsidRPr="005A633C">
        <w:rPr>
          <w:rFonts w:cs="Arial"/>
          <w:sz w:val="24"/>
          <w:szCs w:val="24"/>
        </w:rPr>
        <w:t xml:space="preserve"> healthcare professionals and cannot be used for commercial or marketing purposes</w:t>
      </w:r>
      <w:r>
        <w:rPr>
          <w:rFonts w:cs="Arial"/>
          <w:sz w:val="24"/>
          <w:szCs w:val="24"/>
        </w:rPr>
        <w:t>.</w:t>
      </w:r>
    </w:p>
    <w:p w14:paraId="56B90C64" w14:textId="59699438" w:rsidR="006179D7" w:rsidRDefault="006179D7">
      <w:pPr>
        <w:spacing w:before="0" w:after="160"/>
        <w:rPr>
          <w:rFonts w:cs="Arial"/>
          <w:sz w:val="24"/>
          <w:szCs w:val="24"/>
        </w:rPr>
      </w:pPr>
      <w:r>
        <w:rPr>
          <w:rFonts w:cs="Arial"/>
          <w:sz w:val="24"/>
          <w:szCs w:val="24"/>
        </w:rPr>
        <w:br w:type="page"/>
      </w:r>
    </w:p>
    <w:p w14:paraId="2EBD1324" w14:textId="007BFF97" w:rsidR="00F321FC" w:rsidRPr="00812579" w:rsidRDefault="00F321FC">
      <w:pPr>
        <w:rPr>
          <w:rFonts w:cs="Arial"/>
          <w:b/>
          <w:bCs/>
          <w:sz w:val="24"/>
          <w:szCs w:val="24"/>
        </w:rPr>
      </w:pPr>
      <w:r w:rsidRPr="00812579">
        <w:rPr>
          <w:rFonts w:cs="Arial"/>
          <w:b/>
          <w:bCs/>
          <w:sz w:val="24"/>
          <w:szCs w:val="24"/>
        </w:rPr>
        <w:lastRenderedPageBreak/>
        <w:t>Shared Care Protocol</w:t>
      </w:r>
    </w:p>
    <w:p w14:paraId="0E304D85" w14:textId="046544AF" w:rsidR="00F321FC" w:rsidRPr="00ED7968" w:rsidRDefault="00F12AB0" w:rsidP="005228A2">
      <w:pPr>
        <w:pStyle w:val="Heading2"/>
        <w:numPr>
          <w:ilvl w:val="0"/>
          <w:numId w:val="0"/>
        </w:numPr>
        <w:ind w:left="357" w:hanging="357"/>
        <w:rPr>
          <w:sz w:val="24"/>
          <w:szCs w:val="24"/>
        </w:rPr>
      </w:pPr>
      <w:r>
        <w:rPr>
          <w:sz w:val="24"/>
          <w:szCs w:val="24"/>
        </w:rPr>
        <w:t>Hydroxychloroquine</w:t>
      </w:r>
      <w:r w:rsidR="00F321FC" w:rsidRPr="00ED7968">
        <w:rPr>
          <w:sz w:val="24"/>
          <w:szCs w:val="24"/>
        </w:rPr>
        <w:t xml:space="preserve"> for patients within adult services</w:t>
      </w:r>
    </w:p>
    <w:tbl>
      <w:tblPr>
        <w:tblStyle w:val="TableGridLight1"/>
        <w:tblW w:w="0" w:type="auto"/>
        <w:tblInd w:w="-5" w:type="dxa"/>
        <w:tblCellMar>
          <w:top w:w="57" w:type="dxa"/>
          <w:bottom w:w="57" w:type="dxa"/>
        </w:tblCellMar>
        <w:tblLook w:val="0480" w:firstRow="0" w:lastRow="0" w:firstColumn="1" w:lastColumn="0" w:noHBand="0" w:noVBand="1"/>
      </w:tblPr>
      <w:tblGrid>
        <w:gridCol w:w="2199"/>
        <w:gridCol w:w="8262"/>
      </w:tblGrid>
      <w:tr w:rsidR="00F12AB0" w:rsidRPr="00F321FC" w14:paraId="3FF50130" w14:textId="77777777" w:rsidTr="65FCFA20">
        <w:tc>
          <w:tcPr>
            <w:tcW w:w="2199" w:type="dxa"/>
            <w:tcBorders>
              <w:top w:val="single" w:sz="4" w:space="0" w:color="BFBFBF" w:themeColor="background1" w:themeShade="BF"/>
            </w:tcBorders>
          </w:tcPr>
          <w:p w14:paraId="60850D61" w14:textId="74515AEE" w:rsidR="00F12AB0" w:rsidRPr="00F321FC" w:rsidRDefault="00F12AB0" w:rsidP="00F12AB0">
            <w:pPr>
              <w:pStyle w:val="Heading2"/>
              <w:rPr>
                <w:rFonts w:cs="Arial"/>
              </w:rPr>
            </w:pPr>
            <w:bookmarkStart w:id="0" w:name="one_background"/>
            <w:bookmarkStart w:id="1" w:name="_Toc149231785"/>
            <w:r w:rsidRPr="00F321FC">
              <w:rPr>
                <w:rFonts w:cs="Arial"/>
              </w:rPr>
              <w:t>Background</w:t>
            </w:r>
            <w:bookmarkEnd w:id="0"/>
            <w:bookmarkEnd w:id="1"/>
          </w:p>
        </w:tc>
        <w:tc>
          <w:tcPr>
            <w:tcW w:w="8262" w:type="dxa"/>
            <w:tcBorders>
              <w:top w:val="single" w:sz="4" w:space="0" w:color="BFBFBF" w:themeColor="background1" w:themeShade="BF"/>
            </w:tcBorders>
          </w:tcPr>
          <w:p w14:paraId="1599C492" w14:textId="77777777" w:rsidR="00F12AB0" w:rsidRPr="003A6F20" w:rsidRDefault="00F12AB0" w:rsidP="65FCFA20">
            <w:pPr>
              <w:rPr>
                <w:rFonts w:cs="Arial"/>
              </w:rPr>
            </w:pPr>
            <w:r w:rsidRPr="65FCFA20">
              <w:rPr>
                <w:rFonts w:cs="Arial"/>
              </w:rPr>
              <w:t xml:space="preserve">Hydroxychloroquine is an antimalarial and a disease modifying anti-rheumatic drug (DMARD) with several pharmacological actions which may be involved in its therapeutic effect. </w:t>
            </w:r>
          </w:p>
          <w:p w14:paraId="6B5F3EB1" w14:textId="4716BF99" w:rsidR="00F12AB0" w:rsidRPr="00B87200" w:rsidRDefault="00F12AB0" w:rsidP="00F12AB0">
            <w:pPr>
              <w:rPr>
                <w:rFonts w:cs="Arial"/>
              </w:rPr>
            </w:pPr>
            <w:r w:rsidRPr="003A6F20">
              <w:rPr>
                <w:rFonts w:cs="Arial"/>
              </w:rPr>
              <w:t>Hydroxychloroquine is not licensed for all indications included in this shared care protocol. Its use for the indications below is however supported by various sources and bodies including the BNF, NICE, British Society for Rheumatology (BSR) and British Health Professionals in Rheumatology (BHPR), British Association of Dermatologists (BAD) and British Thoracic Society (BTS).</w:t>
            </w:r>
          </w:p>
        </w:tc>
      </w:tr>
      <w:tr w:rsidR="00F12AB0" w:rsidRPr="00F321FC" w14:paraId="700AF380" w14:textId="77777777" w:rsidTr="65FCFA20">
        <w:tc>
          <w:tcPr>
            <w:tcW w:w="2199" w:type="dxa"/>
          </w:tcPr>
          <w:p w14:paraId="353B7610" w14:textId="421AD839" w:rsidR="00F12AB0" w:rsidRPr="00F321FC" w:rsidRDefault="00F12AB0" w:rsidP="00F12AB0">
            <w:pPr>
              <w:pStyle w:val="Heading2"/>
              <w:rPr>
                <w:rFonts w:cs="Arial"/>
              </w:rPr>
            </w:pPr>
            <w:bookmarkStart w:id="2" w:name="two_indications"/>
            <w:bookmarkStart w:id="3" w:name="_Toc149231786"/>
            <w:r w:rsidRPr="00F321FC">
              <w:rPr>
                <w:rFonts w:cs="Arial"/>
              </w:rPr>
              <w:t xml:space="preserve">Licensed </w:t>
            </w:r>
            <w:r>
              <w:rPr>
                <w:rFonts w:cs="Arial"/>
              </w:rPr>
              <w:t xml:space="preserve">and agreed off-label </w:t>
            </w:r>
            <w:r w:rsidRPr="00F321FC">
              <w:rPr>
                <w:rFonts w:cs="Arial"/>
              </w:rPr>
              <w:t>indications</w:t>
            </w:r>
            <w:bookmarkEnd w:id="2"/>
            <w:bookmarkEnd w:id="3"/>
          </w:p>
        </w:tc>
        <w:tc>
          <w:tcPr>
            <w:tcW w:w="8262" w:type="dxa"/>
          </w:tcPr>
          <w:p w14:paraId="64823786" w14:textId="77777777" w:rsidR="00F12AB0" w:rsidRPr="003A6F20" w:rsidRDefault="00F12AB0" w:rsidP="00F12AB0">
            <w:pPr>
              <w:rPr>
                <w:rFonts w:cs="Arial"/>
              </w:rPr>
            </w:pPr>
            <w:r w:rsidRPr="003A6F20">
              <w:rPr>
                <w:rFonts w:cs="Arial"/>
              </w:rPr>
              <w:t>Hydroxychloroquine is licensed for treatment of:</w:t>
            </w:r>
          </w:p>
          <w:p w14:paraId="7298FE0C" w14:textId="77777777" w:rsidR="00F12AB0" w:rsidRPr="003A6F20" w:rsidRDefault="00F12AB0" w:rsidP="00F12AB0">
            <w:pPr>
              <w:pStyle w:val="ListParagraph"/>
              <w:numPr>
                <w:ilvl w:val="0"/>
                <w:numId w:val="44"/>
              </w:numPr>
              <w:rPr>
                <w:rFonts w:cs="Arial"/>
              </w:rPr>
            </w:pPr>
            <w:r w:rsidRPr="003A6F20">
              <w:rPr>
                <w:rFonts w:cs="Arial"/>
              </w:rPr>
              <w:t xml:space="preserve">Active rheumatoid arthritis </w:t>
            </w:r>
          </w:p>
          <w:p w14:paraId="7257018D" w14:textId="77777777" w:rsidR="00F12AB0" w:rsidRPr="003A6F20" w:rsidRDefault="00F12AB0" w:rsidP="00F12AB0">
            <w:pPr>
              <w:pStyle w:val="ListParagraph"/>
              <w:numPr>
                <w:ilvl w:val="0"/>
                <w:numId w:val="44"/>
              </w:numPr>
              <w:rPr>
                <w:rFonts w:cs="Arial"/>
              </w:rPr>
            </w:pPr>
            <w:r w:rsidRPr="003A6F20">
              <w:rPr>
                <w:rFonts w:cs="Arial"/>
              </w:rPr>
              <w:t xml:space="preserve">Systemic and discoid lupus erythematosus </w:t>
            </w:r>
          </w:p>
          <w:p w14:paraId="0EE36D58" w14:textId="77777777" w:rsidR="00F12AB0" w:rsidRPr="003A6F20" w:rsidRDefault="00F12AB0" w:rsidP="00F12AB0">
            <w:pPr>
              <w:pStyle w:val="ListParagraph"/>
              <w:numPr>
                <w:ilvl w:val="0"/>
                <w:numId w:val="44"/>
              </w:numPr>
              <w:rPr>
                <w:rFonts w:cs="Arial"/>
              </w:rPr>
            </w:pPr>
            <w:r w:rsidRPr="003A6F20">
              <w:rPr>
                <w:rFonts w:cs="Arial"/>
              </w:rPr>
              <w:t xml:space="preserve">Dermatological conditions caused or aggravated by sunlight </w:t>
            </w:r>
          </w:p>
          <w:p w14:paraId="45E68AD5" w14:textId="77777777" w:rsidR="00F12AB0" w:rsidRPr="003A6F20" w:rsidRDefault="00F12AB0" w:rsidP="00F12AB0">
            <w:pPr>
              <w:rPr>
                <w:rFonts w:cs="Arial"/>
              </w:rPr>
            </w:pPr>
          </w:p>
          <w:p w14:paraId="3868DA42" w14:textId="77777777" w:rsidR="00F12AB0" w:rsidRPr="003A6F20" w:rsidRDefault="00F12AB0" w:rsidP="65FCFA20">
            <w:pPr>
              <w:rPr>
                <w:rFonts w:cs="Arial"/>
              </w:rPr>
            </w:pPr>
            <w:r w:rsidRPr="65FCFA20">
              <w:rPr>
                <w:rFonts w:cs="Arial"/>
              </w:rPr>
              <w:t>This shared care protocol also includes treatment of chronic inflammatory conditions where off-label use of hydroxychloroquine is appropriate, including but not limited to the following specialities and conditions:</w:t>
            </w:r>
          </w:p>
          <w:p w14:paraId="2989D764" w14:textId="77777777" w:rsidR="00F12AB0" w:rsidRPr="003A6F20" w:rsidRDefault="00F12AB0" w:rsidP="00F12AB0">
            <w:pPr>
              <w:pStyle w:val="ListParagraph"/>
              <w:numPr>
                <w:ilvl w:val="0"/>
                <w:numId w:val="43"/>
              </w:numPr>
              <w:rPr>
                <w:rFonts w:cs="Arial"/>
              </w:rPr>
            </w:pPr>
            <w:r w:rsidRPr="003A6F20">
              <w:rPr>
                <w:rFonts w:cs="Arial"/>
              </w:rPr>
              <w:t>Rheumatology (e.g. inflammatory arthritis, connective tissue disease, Sjögren’s syndrome, myositis)</w:t>
            </w:r>
          </w:p>
          <w:p w14:paraId="2818E0C2" w14:textId="77777777" w:rsidR="00F12AB0" w:rsidRPr="003A6F20" w:rsidRDefault="00F12AB0" w:rsidP="00F12AB0">
            <w:pPr>
              <w:pStyle w:val="ListParagraph"/>
              <w:numPr>
                <w:ilvl w:val="0"/>
                <w:numId w:val="43"/>
              </w:numPr>
              <w:rPr>
                <w:rFonts w:cs="Arial"/>
              </w:rPr>
            </w:pPr>
            <w:r w:rsidRPr="003A6F20">
              <w:rPr>
                <w:rFonts w:cs="Arial"/>
              </w:rPr>
              <w:t>Dermatology (e.g. urticaria, other inflammatory skin diseases)</w:t>
            </w:r>
          </w:p>
          <w:p w14:paraId="5D734C9D" w14:textId="77777777" w:rsidR="00F12AB0" w:rsidRPr="003A6F20" w:rsidRDefault="00F12AB0" w:rsidP="00F12AB0">
            <w:pPr>
              <w:pStyle w:val="ListParagraph"/>
              <w:numPr>
                <w:ilvl w:val="0"/>
                <w:numId w:val="43"/>
              </w:numPr>
              <w:rPr>
                <w:rFonts w:cs="Arial"/>
              </w:rPr>
            </w:pPr>
            <w:r w:rsidRPr="003A6F20">
              <w:rPr>
                <w:rFonts w:cs="Arial"/>
              </w:rPr>
              <w:t>Respiratory disease (e.g. interstitial lung disease, sarcoidosis).</w:t>
            </w:r>
          </w:p>
          <w:p w14:paraId="2B4F1095" w14:textId="77777777" w:rsidR="00F12AB0" w:rsidRPr="003A6F20" w:rsidRDefault="00F12AB0" w:rsidP="00F12AB0">
            <w:pPr>
              <w:pStyle w:val="ListParagraph"/>
              <w:numPr>
                <w:ilvl w:val="0"/>
                <w:numId w:val="43"/>
              </w:numPr>
              <w:rPr>
                <w:rFonts w:cs="Arial"/>
              </w:rPr>
            </w:pPr>
            <w:r w:rsidRPr="003A6F20">
              <w:rPr>
                <w:rFonts w:cs="Arial"/>
              </w:rPr>
              <w:t xml:space="preserve">Renal medicine </w:t>
            </w:r>
          </w:p>
          <w:p w14:paraId="133BED0A" w14:textId="77777777" w:rsidR="00F12AB0" w:rsidRPr="003A6F20" w:rsidRDefault="00F12AB0" w:rsidP="65FCFA20">
            <w:pPr>
              <w:rPr>
                <w:rFonts w:cs="Arial"/>
              </w:rPr>
            </w:pPr>
            <w:r w:rsidRPr="65FCFA20">
              <w:rPr>
                <w:rFonts w:cs="Arial"/>
              </w:rPr>
              <w:t xml:space="preserve">These additional indications are </w:t>
            </w:r>
            <w:proofErr w:type="gramStart"/>
            <w:r w:rsidRPr="65FCFA20">
              <w:rPr>
                <w:rFonts w:cs="Arial"/>
              </w:rPr>
              <w:t>off-label</w:t>
            </w:r>
            <w:proofErr w:type="gramEnd"/>
            <w:r w:rsidRPr="65FCFA20">
              <w:rPr>
                <w:rFonts w:cs="Arial"/>
              </w:rPr>
              <w:t xml:space="preserve">. </w:t>
            </w:r>
            <w:r w:rsidRPr="65FCFA20">
              <w:rPr>
                <w:rFonts w:cs="Arial"/>
                <w:b/>
                <w:bCs/>
              </w:rPr>
              <w:t xml:space="preserve">The initiating specialist must specify the indication for each patient when initiating shared care and clearly state when use is </w:t>
            </w:r>
            <w:proofErr w:type="gramStart"/>
            <w:r w:rsidRPr="65FCFA20">
              <w:rPr>
                <w:rFonts w:cs="Arial"/>
                <w:b/>
                <w:bCs/>
              </w:rPr>
              <w:t>off-label</w:t>
            </w:r>
            <w:proofErr w:type="gramEnd"/>
            <w:r w:rsidRPr="65FCFA20">
              <w:rPr>
                <w:rFonts w:cs="Arial"/>
                <w:b/>
                <w:bCs/>
              </w:rPr>
              <w:t>.</w:t>
            </w:r>
          </w:p>
          <w:p w14:paraId="7D0141FD" w14:textId="77777777" w:rsidR="00F12AB0" w:rsidRPr="003A6F20" w:rsidRDefault="00F12AB0" w:rsidP="00F12AB0">
            <w:pPr>
              <w:rPr>
                <w:rFonts w:cs="Arial"/>
              </w:rPr>
            </w:pPr>
          </w:p>
          <w:p w14:paraId="452D25AB" w14:textId="344D914E" w:rsidR="00F12AB0" w:rsidRPr="007A56FB" w:rsidRDefault="00F12AB0" w:rsidP="00F12AB0">
            <w:pPr>
              <w:rPr>
                <w:rFonts w:cs="Arial"/>
              </w:rPr>
            </w:pPr>
            <w:r w:rsidRPr="003A6F20">
              <w:rPr>
                <w:rFonts w:cs="Arial"/>
              </w:rPr>
              <w:t>This shared care protocol applies to adults aged 18 and over.</w:t>
            </w:r>
          </w:p>
        </w:tc>
      </w:tr>
      <w:tr w:rsidR="004D0DB7" w:rsidRPr="00F321FC" w14:paraId="36B1B999" w14:textId="77777777" w:rsidTr="65FCFA20">
        <w:tc>
          <w:tcPr>
            <w:tcW w:w="2199" w:type="dxa"/>
          </w:tcPr>
          <w:p w14:paraId="6F2C624B" w14:textId="515A3B01" w:rsidR="004D0DB7" w:rsidRPr="00F321FC" w:rsidRDefault="004D0DB7" w:rsidP="004D0DB7">
            <w:pPr>
              <w:pStyle w:val="Heading2"/>
              <w:rPr>
                <w:rFonts w:cs="Arial"/>
              </w:rPr>
            </w:pPr>
            <w:bookmarkStart w:id="4" w:name="three_local_indications"/>
            <w:bookmarkStart w:id="5" w:name="_Toc149231787"/>
            <w:r w:rsidRPr="00F321FC">
              <w:rPr>
                <w:rFonts w:cs="Arial"/>
              </w:rPr>
              <w:t xml:space="preserve">Locally agreed </w:t>
            </w:r>
            <w:r>
              <w:rPr>
                <w:rFonts w:cs="Arial"/>
              </w:rPr>
              <w:t>indications</w:t>
            </w:r>
            <w:bookmarkEnd w:id="4"/>
            <w:bookmarkEnd w:id="5"/>
          </w:p>
        </w:tc>
        <w:tc>
          <w:tcPr>
            <w:tcW w:w="8262" w:type="dxa"/>
          </w:tcPr>
          <w:p w14:paraId="14C3CD90" w14:textId="66F798D3" w:rsidR="004D0DB7" w:rsidRPr="004D0DB7" w:rsidRDefault="00E645B5" w:rsidP="004D0DB7">
            <w:pPr>
              <w:rPr>
                <w:rFonts w:cs="Arial"/>
                <w:i/>
                <w:iCs/>
                <w:highlight w:val="yellow"/>
              </w:rPr>
            </w:pPr>
            <w:r w:rsidRPr="00017F6F">
              <w:t>As per indications included in section 2. Licensed and agreed off-label indications.</w:t>
            </w:r>
          </w:p>
        </w:tc>
      </w:tr>
      <w:tr w:rsidR="004D0DB7" w:rsidRPr="00F321FC" w14:paraId="6823BC14" w14:textId="77777777" w:rsidTr="65FCFA20">
        <w:tc>
          <w:tcPr>
            <w:tcW w:w="2199" w:type="dxa"/>
          </w:tcPr>
          <w:p w14:paraId="5B29E378" w14:textId="09C1A858" w:rsidR="004D0DB7" w:rsidRPr="00F321FC" w:rsidRDefault="004D0DB7" w:rsidP="004D0DB7">
            <w:pPr>
              <w:pStyle w:val="Heading2"/>
              <w:rPr>
                <w:rFonts w:cs="Arial"/>
              </w:rPr>
            </w:pPr>
            <w:bookmarkStart w:id="6" w:name="four_dosing"/>
            <w:bookmarkStart w:id="7" w:name="_Toc149231788"/>
            <w:r w:rsidRPr="00F321FC">
              <w:rPr>
                <w:rFonts w:cs="Arial"/>
              </w:rPr>
              <w:t>Initiation and ongoing dose regime</w:t>
            </w:r>
            <w:bookmarkEnd w:id="6"/>
            <w:bookmarkEnd w:id="7"/>
          </w:p>
        </w:tc>
        <w:tc>
          <w:tcPr>
            <w:tcW w:w="8262" w:type="dxa"/>
          </w:tcPr>
          <w:p w14:paraId="650A7D92" w14:textId="77777777" w:rsidR="004E6A88" w:rsidRPr="00183898" w:rsidRDefault="004D0DB7" w:rsidP="004E6A88">
            <w:pPr>
              <w:pStyle w:val="ListParagraph"/>
              <w:numPr>
                <w:ilvl w:val="0"/>
                <w:numId w:val="63"/>
              </w:numPr>
              <w:rPr>
                <w:rFonts w:cs="Arial"/>
              </w:rPr>
            </w:pPr>
            <w:r w:rsidRPr="003A6F20">
              <w:rPr>
                <w:rFonts w:cs="Arial"/>
              </w:rPr>
              <w:t xml:space="preserve">Transfer of monitoring and prescribing to primary care is normally after at least </w:t>
            </w:r>
            <w:r w:rsidRPr="00017F6F">
              <w:rPr>
                <w:rFonts w:cs="Arial"/>
              </w:rPr>
              <w:t>4</w:t>
            </w:r>
            <w:r>
              <w:rPr>
                <w:rFonts w:cs="Arial"/>
              </w:rPr>
              <w:t xml:space="preserve"> </w:t>
            </w:r>
            <w:r w:rsidRPr="00017F6F">
              <w:rPr>
                <w:rFonts w:cs="Arial"/>
              </w:rPr>
              <w:t>weeks following initiation on the basis that the patient’s dose has been optimised and has satisfactory investigation results.</w:t>
            </w:r>
            <w:r w:rsidR="00BF3215">
              <w:rPr>
                <w:rFonts w:cs="Arial"/>
              </w:rPr>
              <w:t xml:space="preserve"> </w:t>
            </w:r>
            <w:r w:rsidR="004E6A88"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1CCF94DF" w14:textId="77777777" w:rsidR="004D0DB7" w:rsidRPr="003A6F20" w:rsidRDefault="004D0DB7" w:rsidP="004D0DB7">
            <w:pPr>
              <w:rPr>
                <w:rFonts w:cs="Arial"/>
              </w:rPr>
            </w:pPr>
          </w:p>
          <w:p w14:paraId="663850F0" w14:textId="77777777" w:rsidR="004D0DB7" w:rsidRPr="003A6F20" w:rsidRDefault="004D0DB7" w:rsidP="65FCFA20">
            <w:pPr>
              <w:rPr>
                <w:rFonts w:cs="Arial"/>
              </w:rPr>
            </w:pPr>
            <w:r w:rsidRPr="65FCFA20">
              <w:rPr>
                <w:rFonts w:cs="Arial"/>
              </w:rPr>
              <w:t>The duration of treatment &amp; frequency of review will be determined by the specialist, based on clinical response and tolerability.</w:t>
            </w:r>
          </w:p>
          <w:p w14:paraId="198605D2" w14:textId="77777777" w:rsidR="004D0DB7" w:rsidRPr="003A6F20" w:rsidRDefault="004D0DB7" w:rsidP="004D0DB7">
            <w:pPr>
              <w:rPr>
                <w:rFonts w:cs="Arial"/>
              </w:rPr>
            </w:pPr>
            <w:r w:rsidRPr="003A6F20">
              <w:rPr>
                <w:rFonts w:cs="Arial"/>
              </w:rPr>
              <w:t>All dose or formulation adjustments will be the responsibility of the initiating specialist unless directions have been discussed and agreed with the primary care clinician.</w:t>
            </w:r>
          </w:p>
          <w:p w14:paraId="4599FBB7" w14:textId="77777777" w:rsidR="004D0DB7" w:rsidRPr="003A6F20" w:rsidRDefault="004D0DB7" w:rsidP="004D0DB7">
            <w:pPr>
              <w:rPr>
                <w:rFonts w:cs="Arial"/>
              </w:rPr>
            </w:pPr>
            <w:r w:rsidRPr="003A6F20">
              <w:rPr>
                <w:rFonts w:cs="Arial"/>
              </w:rPr>
              <w:t>Termination of treatment will be the responsibility of the specialist.</w:t>
            </w:r>
          </w:p>
          <w:p w14:paraId="3F5A7EB0" w14:textId="77777777" w:rsidR="004D0DB7" w:rsidRPr="003A6F20" w:rsidRDefault="004D0DB7" w:rsidP="004D0DB7">
            <w:pPr>
              <w:rPr>
                <w:rFonts w:cs="Arial"/>
              </w:rPr>
            </w:pPr>
          </w:p>
          <w:p w14:paraId="0DBAEC4C" w14:textId="77777777" w:rsidR="004D0DB7" w:rsidRPr="003A6F20" w:rsidRDefault="004D0DB7" w:rsidP="004D0DB7">
            <w:pPr>
              <w:pStyle w:val="Heading3"/>
            </w:pPr>
            <w:r w:rsidRPr="003A6F20">
              <w:lastRenderedPageBreak/>
              <w:t xml:space="preserve">Initial </w:t>
            </w:r>
            <w:r w:rsidRPr="00AB6CC6">
              <w:t>dosing</w:t>
            </w:r>
            <w:r w:rsidRPr="003A6F20">
              <w:t xml:space="preserve">: </w:t>
            </w:r>
          </w:p>
          <w:p w14:paraId="5707E897" w14:textId="77777777" w:rsidR="004D0DB7" w:rsidRPr="003A6F20" w:rsidRDefault="004D0DB7" w:rsidP="004D0DB7">
            <w:pPr>
              <w:rPr>
                <w:rFonts w:eastAsia="Times New Roman" w:cs="Arial"/>
                <w:iCs/>
                <w:color w:val="000000"/>
              </w:rPr>
            </w:pPr>
            <w:r w:rsidRPr="003A6F20">
              <w:rPr>
                <w:rFonts w:eastAsia="Times New Roman" w:cs="Arial"/>
                <w:iCs/>
                <w:color w:val="000000"/>
              </w:rPr>
              <w:t>200mg to 400 mg daily. Dose should not exceed 6.5 mg/kg/day (based on actual body weight).</w:t>
            </w:r>
          </w:p>
          <w:p w14:paraId="6572BF8C" w14:textId="78AA6802" w:rsidR="004D0DB7" w:rsidRPr="003A6F20" w:rsidRDefault="004D0DB7" w:rsidP="65FCFA20">
            <w:pPr>
              <w:rPr>
                <w:rFonts w:eastAsia="Times New Roman" w:cs="Arial"/>
                <w:b/>
                <w:bCs/>
              </w:rPr>
            </w:pPr>
            <w:r w:rsidRPr="00017F6F">
              <w:rPr>
                <w:rFonts w:eastAsia="Times New Roman" w:cs="Arial"/>
                <w:b/>
                <w:bCs/>
                <w:color w:val="000000" w:themeColor="text1"/>
              </w:rPr>
              <w:t>Prescribing during the initial period</w:t>
            </w:r>
            <w:r w:rsidRPr="00017F6F">
              <w:rPr>
                <w:rFonts w:eastAsia="Times New Roman" w:cs="Arial"/>
                <w:color w:val="000000" w:themeColor="text1"/>
              </w:rPr>
              <w:t xml:space="preserve"> </w:t>
            </w:r>
            <w:r w:rsidRPr="00017F6F">
              <w:rPr>
                <w:rFonts w:eastAsia="Times New Roman" w:cs="Arial"/>
                <w:b/>
                <w:bCs/>
              </w:rPr>
              <w:t>must be by the initiating specialist – usually this is 4 weeks.</w:t>
            </w:r>
          </w:p>
          <w:p w14:paraId="7E2B3DC4" w14:textId="77777777" w:rsidR="004D0DB7" w:rsidRDefault="004D0DB7" w:rsidP="004D0DB7">
            <w:pPr>
              <w:rPr>
                <w:rFonts w:eastAsiaTheme="majorEastAsia" w:cs="Arial"/>
                <w:b/>
                <w:szCs w:val="26"/>
              </w:rPr>
            </w:pPr>
          </w:p>
          <w:p w14:paraId="5BED7539" w14:textId="0441857A" w:rsidR="004D0DB7" w:rsidRPr="00177825" w:rsidRDefault="004D0DB7" w:rsidP="65FCFA20">
            <w:pPr>
              <w:rPr>
                <w:rFonts w:cs="Arial"/>
              </w:rPr>
            </w:pPr>
            <w:r w:rsidRPr="65FCFA20">
              <w:rPr>
                <w:rFonts w:cs="Arial"/>
              </w:rPr>
              <w:t xml:space="preserve">Actual body weight is recommended </w:t>
            </w:r>
            <w:r w:rsidRPr="00017F6F">
              <w:rPr>
                <w:rFonts w:cs="Arial"/>
              </w:rPr>
              <w:t>to be used</w:t>
            </w:r>
            <w:r w:rsidRPr="65FCFA20">
              <w:rPr>
                <w:rFonts w:cs="Arial"/>
              </w:rPr>
              <w:t xml:space="preserve"> here to avoid excessive dosage in underweight patients. To avoid excessive dosage in obese patients, the dose of hydroxychloroquine should be calculated </w:t>
            </w:r>
            <w:proofErr w:type="gramStart"/>
            <w:r w:rsidRPr="65FCFA20">
              <w:rPr>
                <w:rFonts w:cs="Arial"/>
              </w:rPr>
              <w:t>on the basis of</w:t>
            </w:r>
            <w:proofErr w:type="gramEnd"/>
            <w:r w:rsidRPr="65FCFA20">
              <w:rPr>
                <w:rFonts w:cs="Arial"/>
              </w:rPr>
              <w:t xml:space="preserve"> ideal </w:t>
            </w:r>
            <w:proofErr w:type="gramStart"/>
            <w:r w:rsidRPr="65FCFA20">
              <w:rPr>
                <w:rFonts w:cs="Arial"/>
              </w:rPr>
              <w:t>body-weight</w:t>
            </w:r>
            <w:proofErr w:type="gramEnd"/>
            <w:r w:rsidR="00C667D5" w:rsidRPr="65FCFA20">
              <w:rPr>
                <w:rFonts w:cs="Arial"/>
              </w:rPr>
              <w:t xml:space="preserve"> for both initial and maintenance dosing.</w:t>
            </w:r>
          </w:p>
          <w:p w14:paraId="683A6A64" w14:textId="77777777" w:rsidR="004D0DB7" w:rsidRPr="00177825" w:rsidRDefault="004D0DB7" w:rsidP="004D0DB7">
            <w:pPr>
              <w:rPr>
                <w:rFonts w:cs="Arial"/>
              </w:rPr>
            </w:pPr>
          </w:p>
          <w:p w14:paraId="24105B9E" w14:textId="77777777" w:rsidR="004D0DB7" w:rsidRPr="003A6F20" w:rsidRDefault="004D0DB7" w:rsidP="004D0DB7">
            <w:pPr>
              <w:pStyle w:val="Heading3"/>
              <w:rPr>
                <w:bCs/>
              </w:rPr>
            </w:pPr>
            <w:r w:rsidRPr="003A6F20">
              <w:t>Maintenance dose (following initial stabilisation):</w:t>
            </w:r>
          </w:p>
          <w:p w14:paraId="22977559" w14:textId="77777777" w:rsidR="004D0DB7" w:rsidRPr="003A6F20" w:rsidRDefault="004D0DB7" w:rsidP="004D0DB7">
            <w:pPr>
              <w:rPr>
                <w:rFonts w:cs="Arial"/>
              </w:rPr>
            </w:pPr>
            <w:r w:rsidRPr="003A6F20">
              <w:rPr>
                <w:rFonts w:cs="Arial"/>
              </w:rPr>
              <w:t xml:space="preserve">200mg to 400 mg daily. The risk of significant toxicity increases with doses above 5 mg/kg/day (based on actual body weight). </w:t>
            </w:r>
          </w:p>
          <w:p w14:paraId="277D8C9C" w14:textId="77777777" w:rsidR="004D0DB7" w:rsidRPr="003A6F20" w:rsidRDefault="004D0DB7" w:rsidP="65FCFA20">
            <w:pPr>
              <w:rPr>
                <w:rFonts w:cs="Arial"/>
                <w:b/>
                <w:bCs/>
              </w:rPr>
            </w:pPr>
            <w:r w:rsidRPr="65FCFA20">
              <w:rPr>
                <w:rFonts w:cs="Arial"/>
                <w:b/>
                <w:bCs/>
              </w:rPr>
              <w:t>The initial maintenance dose must be prescribed by the initiating specialist.</w:t>
            </w:r>
          </w:p>
          <w:p w14:paraId="1687F5C5" w14:textId="77777777" w:rsidR="004D0DB7" w:rsidRPr="003A6F20" w:rsidRDefault="004D0DB7" w:rsidP="004D0DB7">
            <w:pPr>
              <w:rPr>
                <w:rFonts w:cs="Arial"/>
              </w:rPr>
            </w:pPr>
          </w:p>
          <w:p w14:paraId="78EC49C6" w14:textId="77777777" w:rsidR="004D0DB7" w:rsidRPr="003A6F20" w:rsidRDefault="004D0DB7" w:rsidP="004D0DB7">
            <w:pPr>
              <w:rPr>
                <w:rFonts w:eastAsiaTheme="majorEastAsia" w:cs="Arial"/>
                <w:b/>
              </w:rPr>
            </w:pPr>
            <w:r w:rsidRPr="00AB6CC6">
              <w:rPr>
                <w:rStyle w:val="Heading3Char"/>
              </w:rPr>
              <w:t>Conditions requiring dose adjustment</w:t>
            </w:r>
            <w:r w:rsidRPr="003A6F20">
              <w:rPr>
                <w:rFonts w:eastAsiaTheme="majorEastAsia" w:cs="Arial"/>
                <w:b/>
              </w:rPr>
              <w:t>:</w:t>
            </w:r>
          </w:p>
          <w:p w14:paraId="1BD72E83" w14:textId="77777777" w:rsidR="004D0DB7" w:rsidRPr="003A6F20" w:rsidRDefault="004D0DB7" w:rsidP="65FCFA20">
            <w:pPr>
              <w:rPr>
                <w:rFonts w:cs="Arial"/>
              </w:rPr>
            </w:pPr>
            <w:r w:rsidRPr="65FCFA20">
              <w:rPr>
                <w:rFonts w:cs="Arial"/>
              </w:rPr>
              <w:t>In patients taking 400mg daily, the dose can be reduced to 200mg when no further improvement is evident. The maintenance dose may be increased to 400mg daily if the response lessens.</w:t>
            </w:r>
          </w:p>
          <w:p w14:paraId="710857F8" w14:textId="29201B8D" w:rsidR="004D0DB7" w:rsidRPr="00FB404F" w:rsidRDefault="004D0DB7" w:rsidP="004D0DB7">
            <w:pPr>
              <w:rPr>
                <w:rFonts w:cs="Arial"/>
              </w:rPr>
            </w:pPr>
            <w:r w:rsidRPr="003A6F20">
              <w:rPr>
                <w:rFonts w:cs="Arial"/>
              </w:rPr>
              <w:t>Dose adjustment and caution are recommended in renal or hepatic impairment.</w:t>
            </w:r>
          </w:p>
        </w:tc>
      </w:tr>
      <w:tr w:rsidR="004D0DB7" w:rsidRPr="00F321FC" w14:paraId="68FCED24" w14:textId="77777777" w:rsidTr="65FCFA20">
        <w:tc>
          <w:tcPr>
            <w:tcW w:w="2199" w:type="dxa"/>
          </w:tcPr>
          <w:p w14:paraId="3DF33630" w14:textId="4E2865B1" w:rsidR="004D0DB7" w:rsidRPr="00F321FC" w:rsidRDefault="004D0DB7" w:rsidP="004D0DB7">
            <w:pPr>
              <w:pStyle w:val="Heading2"/>
              <w:rPr>
                <w:rFonts w:cs="Arial"/>
              </w:rPr>
            </w:pPr>
            <w:bookmarkStart w:id="8" w:name="five_initial_monitoring"/>
            <w:bookmarkStart w:id="9" w:name="_Toc149231789"/>
            <w:r w:rsidRPr="00F321FC">
              <w:rPr>
                <w:rFonts w:cs="Arial"/>
              </w:rPr>
              <w:lastRenderedPageBreak/>
              <w:t xml:space="preserve">Baseline investigations, initial monitoring, and </w:t>
            </w:r>
            <w:r>
              <w:rPr>
                <w:rFonts w:cs="Arial"/>
              </w:rPr>
              <w:t xml:space="preserve">ongoing monitoring </w:t>
            </w:r>
            <w:r w:rsidRPr="00F321FC">
              <w:rPr>
                <w:rFonts w:cs="Arial"/>
              </w:rPr>
              <w:t>to be undertaken by specialist</w:t>
            </w:r>
            <w:bookmarkEnd w:id="8"/>
            <w:bookmarkEnd w:id="9"/>
          </w:p>
        </w:tc>
        <w:tc>
          <w:tcPr>
            <w:tcW w:w="8262" w:type="dxa"/>
          </w:tcPr>
          <w:p w14:paraId="235ACA2B" w14:textId="117A5761" w:rsidR="004D0DB7" w:rsidRPr="005A19CF" w:rsidRDefault="004D0DB7" w:rsidP="65FCFA20">
            <w:pPr>
              <w:pStyle w:val="Heading3"/>
              <w:rPr>
                <w:b w:val="0"/>
                <w:u w:val="none"/>
                <w:lang w:eastAsia="en-GB"/>
              </w:rPr>
            </w:pPr>
            <w:r w:rsidRPr="65FCFA20">
              <w:rPr>
                <w:b w:val="0"/>
                <w:u w:val="none"/>
                <w:lang w:eastAsia="en-GB"/>
              </w:rPr>
              <w:t xml:space="preserve">Monitoring at baseline and during initiation is the responsibility of the specialist; only once the patient is optimised on the chosen medication </w:t>
            </w:r>
            <w:r w:rsidR="008B45CB" w:rsidRPr="00017F6F">
              <w:rPr>
                <w:b w:val="0"/>
                <w:u w:val="none"/>
                <w:lang w:eastAsia="en-GB"/>
              </w:rPr>
              <w:t>and dose</w:t>
            </w:r>
            <w:r w:rsidR="008B45CB" w:rsidRPr="65FCFA20">
              <w:rPr>
                <w:b w:val="0"/>
                <w:u w:val="none"/>
                <w:lang w:eastAsia="en-GB"/>
              </w:rPr>
              <w:t xml:space="preserve"> </w:t>
            </w:r>
            <w:r w:rsidRPr="65FCFA20">
              <w:rPr>
                <w:b w:val="0"/>
                <w:u w:val="none"/>
                <w:lang w:eastAsia="en-GB"/>
              </w:rPr>
              <w:t>with no anticipated further changes expected in the immediate future will prescribing and monitoring be transferred to primary care.</w:t>
            </w:r>
          </w:p>
          <w:p w14:paraId="6D0AA78A" w14:textId="77777777" w:rsidR="004D0DB7" w:rsidRPr="00FB404F" w:rsidRDefault="004D0DB7" w:rsidP="004D0DB7">
            <w:pPr>
              <w:rPr>
                <w:lang w:eastAsia="en-GB"/>
              </w:rPr>
            </w:pPr>
          </w:p>
          <w:p w14:paraId="4CCA43C1" w14:textId="77777777" w:rsidR="004D0DB7" w:rsidRPr="0041687B" w:rsidRDefault="004D0DB7" w:rsidP="004D0DB7">
            <w:pPr>
              <w:pStyle w:val="Heading3"/>
            </w:pPr>
            <w:r w:rsidRPr="0041687B">
              <w:t>Baseline investigations:</w:t>
            </w:r>
          </w:p>
          <w:p w14:paraId="06962F3D" w14:textId="77777777" w:rsidR="004D0DB7" w:rsidRPr="00AB6CC6" w:rsidRDefault="004D0DB7" w:rsidP="004D0DB7">
            <w:pPr>
              <w:pStyle w:val="ListParagraph"/>
              <w:numPr>
                <w:ilvl w:val="0"/>
                <w:numId w:val="45"/>
              </w:numPr>
              <w:spacing w:after="0"/>
            </w:pPr>
            <w:r w:rsidRPr="65FCFA20">
              <w:t>Urea and electrolytes (U&amp;Es) &amp; creatinine clearance (</w:t>
            </w:r>
            <w:proofErr w:type="spellStart"/>
            <w:r w:rsidRPr="65FCFA20">
              <w:t>CrCl</w:t>
            </w:r>
            <w:proofErr w:type="spellEnd"/>
            <w:r w:rsidRPr="65FCFA20">
              <w:t>)</w:t>
            </w:r>
          </w:p>
          <w:p w14:paraId="4A9EEEC2" w14:textId="77777777" w:rsidR="004D0DB7" w:rsidRPr="00AB6CC6" w:rsidRDefault="004D0DB7" w:rsidP="004D0DB7">
            <w:pPr>
              <w:pStyle w:val="ListParagraph"/>
              <w:numPr>
                <w:ilvl w:val="0"/>
                <w:numId w:val="45"/>
              </w:numPr>
              <w:spacing w:after="0"/>
            </w:pPr>
            <w:r w:rsidRPr="00AB6CC6">
              <w:t>Alanine aminotransferase (ALT) and/or aspartate aminotransferase (AST), &amp; albumin</w:t>
            </w:r>
          </w:p>
          <w:p w14:paraId="4E3A59C6" w14:textId="77777777" w:rsidR="004D0DB7" w:rsidRPr="00AB6CC6" w:rsidRDefault="004D0DB7" w:rsidP="004D0DB7">
            <w:pPr>
              <w:pStyle w:val="ListParagraph"/>
              <w:numPr>
                <w:ilvl w:val="0"/>
                <w:numId w:val="45"/>
              </w:numPr>
              <w:spacing w:after="0"/>
            </w:pPr>
            <w:r w:rsidRPr="00AB6CC6">
              <w:t>Full blood count (FBC)</w:t>
            </w:r>
          </w:p>
          <w:p w14:paraId="2F92DDD8" w14:textId="77777777" w:rsidR="004D0DB7" w:rsidRPr="00AB6CC6" w:rsidRDefault="004D0DB7" w:rsidP="004D0DB7">
            <w:pPr>
              <w:pStyle w:val="ListParagraph"/>
              <w:numPr>
                <w:ilvl w:val="0"/>
                <w:numId w:val="45"/>
              </w:numPr>
              <w:spacing w:after="0"/>
            </w:pPr>
            <w:r w:rsidRPr="00AB6CC6">
              <w:t>Weight</w:t>
            </w:r>
          </w:p>
          <w:p w14:paraId="305563F0" w14:textId="77777777" w:rsidR="004D0DB7" w:rsidRPr="00AB6CC6" w:rsidRDefault="004D0DB7" w:rsidP="004D0DB7">
            <w:pPr>
              <w:pStyle w:val="ListParagraph"/>
              <w:numPr>
                <w:ilvl w:val="0"/>
                <w:numId w:val="45"/>
              </w:numPr>
              <w:spacing w:after="0"/>
            </w:pPr>
            <w:r w:rsidRPr="65FCFA20">
              <w:t>Height and blood pressure (if indicated)</w:t>
            </w:r>
          </w:p>
          <w:p w14:paraId="56E7B811" w14:textId="77777777" w:rsidR="004D0DB7" w:rsidRPr="00AB6CC6" w:rsidRDefault="004D0DB7" w:rsidP="004D0DB7">
            <w:pPr>
              <w:pStyle w:val="ListParagraph"/>
              <w:numPr>
                <w:ilvl w:val="0"/>
                <w:numId w:val="45"/>
              </w:numPr>
              <w:spacing w:after="0"/>
            </w:pPr>
            <w:r w:rsidRPr="00AB6CC6">
              <w:t xml:space="preserve">Assess for co-morbidities which may influence DMARD choice, including risk factors for retinopathy (e.g. concomitant tamoxifen use, eGFR &lt;60 mL/min) </w:t>
            </w:r>
          </w:p>
          <w:p w14:paraId="128D41C4" w14:textId="77777777" w:rsidR="004D0DB7" w:rsidRPr="00AB6CC6" w:rsidRDefault="004D0DB7" w:rsidP="004D0DB7">
            <w:pPr>
              <w:pStyle w:val="ListParagraph"/>
              <w:numPr>
                <w:ilvl w:val="0"/>
                <w:numId w:val="45"/>
              </w:numPr>
              <w:spacing w:after="0"/>
            </w:pPr>
            <w:r w:rsidRPr="65FCFA20">
              <w:t xml:space="preserve">Electrocardiogram (ECG), if concerns exist regarding the QT-interval, see </w:t>
            </w:r>
            <w:hyperlink w:anchor="eight_cautions_cx">
              <w:r w:rsidRPr="65FCFA20">
                <w:rPr>
                  <w:rStyle w:val="Hyperlink"/>
                </w:rPr>
                <w:t>section 8</w:t>
              </w:r>
            </w:hyperlink>
            <w:r w:rsidRPr="65FCFA20">
              <w:t xml:space="preserve"> and </w:t>
            </w:r>
            <w:hyperlink w:anchor="nine_interactions">
              <w:r w:rsidRPr="65FCFA20">
                <w:rPr>
                  <w:rStyle w:val="Hyperlink"/>
                </w:rPr>
                <w:t>section 9</w:t>
              </w:r>
            </w:hyperlink>
            <w:r w:rsidRPr="65FCFA20">
              <w:t xml:space="preserve">. </w:t>
            </w:r>
          </w:p>
          <w:p w14:paraId="5020AAA8" w14:textId="77777777" w:rsidR="004D0DB7" w:rsidRPr="0041687B" w:rsidRDefault="004D0DB7" w:rsidP="004D0DB7">
            <w:pPr>
              <w:pStyle w:val="Heading3"/>
            </w:pPr>
          </w:p>
          <w:p w14:paraId="103FE08D" w14:textId="77777777" w:rsidR="004D0DB7" w:rsidRPr="0041687B" w:rsidRDefault="004D0DB7" w:rsidP="004D0DB7">
            <w:pPr>
              <w:pStyle w:val="Heading3"/>
            </w:pPr>
            <w:r w:rsidRPr="0041687B">
              <w:t>Ongoing monitoring:</w:t>
            </w:r>
          </w:p>
          <w:p w14:paraId="7D963BD0" w14:textId="77777777" w:rsidR="004D0DB7" w:rsidRPr="0041687B" w:rsidRDefault="004D0DB7" w:rsidP="65FCFA20">
            <w:pPr>
              <w:pStyle w:val="ListParagraph"/>
              <w:numPr>
                <w:ilvl w:val="0"/>
                <w:numId w:val="46"/>
              </w:numPr>
              <w:rPr>
                <w:b/>
                <w:bCs/>
              </w:rPr>
            </w:pPr>
            <w:r w:rsidRPr="65FCFA20">
              <w:t xml:space="preserve">No routine ongoing laboratory monitoring is required for hydroxychloroquine. Monitoring may be required if the patient is prescribed an additional DMARD. </w:t>
            </w:r>
          </w:p>
          <w:p w14:paraId="07819C6B" w14:textId="1B7D9DB0" w:rsidR="004D0DB7" w:rsidRPr="0041687B" w:rsidRDefault="006D1D33" w:rsidP="65FCFA20">
            <w:pPr>
              <w:pStyle w:val="ListParagraph"/>
              <w:numPr>
                <w:ilvl w:val="0"/>
                <w:numId w:val="46"/>
              </w:numPr>
              <w:rPr>
                <w:b/>
                <w:bCs/>
              </w:rPr>
            </w:pPr>
            <w:r w:rsidRPr="00504F30">
              <w:t xml:space="preserve">At initiation of shared care, communication to primary care should include current and ongoing dose, any relevant test results, and date the next monitoring is required. </w:t>
            </w:r>
            <w:r w:rsidR="004D0DB7" w:rsidRPr="65FCFA20">
              <w:t xml:space="preserve">The specialist will retain the responsibility for monitoring the patient’s ongoing response to </w:t>
            </w:r>
            <w:r w:rsidR="00017F6F" w:rsidRPr="65FCFA20">
              <w:t>treatment and</w:t>
            </w:r>
            <w:r w:rsidR="004D0DB7" w:rsidRPr="65FCFA20">
              <w:t xml:space="preserve"> advise if a dose change or treatment cessation is appropriate. This should be undertaken annually. </w:t>
            </w:r>
          </w:p>
          <w:p w14:paraId="125A601C" w14:textId="77777777" w:rsidR="004D0DB7" w:rsidRPr="00AB6CC6" w:rsidRDefault="004D0DB7" w:rsidP="65FCFA20">
            <w:pPr>
              <w:pStyle w:val="ListParagraph"/>
              <w:numPr>
                <w:ilvl w:val="0"/>
                <w:numId w:val="46"/>
              </w:numPr>
              <w:rPr>
                <w:rFonts w:cs="Arial"/>
              </w:rPr>
            </w:pPr>
            <w:r w:rsidRPr="65FCFA20">
              <w:lastRenderedPageBreak/>
              <w:t xml:space="preserve">After each review, advise primary care whether treatment should be continued, confirm the ongoing dose, and whether the ongoing monitoring outlined in </w:t>
            </w:r>
            <w:hyperlink w:anchor="six_monitoring">
              <w:r w:rsidRPr="65FCFA20">
                <w:rPr>
                  <w:rStyle w:val="Hyperlink"/>
                </w:rPr>
                <w:t>section 6</w:t>
              </w:r>
            </w:hyperlink>
            <w:r w:rsidRPr="65FCFA20">
              <w:t xml:space="preserve"> remains appropriate.</w:t>
            </w:r>
          </w:p>
          <w:p w14:paraId="3672B0FF" w14:textId="262128BA" w:rsidR="004D0DB7" w:rsidRPr="00FE0949" w:rsidRDefault="004D0DB7" w:rsidP="004D0DB7">
            <w:pPr>
              <w:pStyle w:val="ListParagraph"/>
              <w:numPr>
                <w:ilvl w:val="0"/>
                <w:numId w:val="46"/>
              </w:numPr>
              <w:rPr>
                <w:rFonts w:cs="Arial"/>
              </w:rPr>
            </w:pPr>
            <w:r w:rsidRPr="5A0BA9A5">
              <w:rPr>
                <w:rFonts w:cs="Arial"/>
              </w:rPr>
              <w:t>After the patient has been on hydroxychloroquine for five years, refer to</w:t>
            </w:r>
            <w:r w:rsidR="412CFD78" w:rsidRPr="5A0BA9A5">
              <w:rPr>
                <w:rFonts w:cs="Arial"/>
              </w:rPr>
              <w:t xml:space="preserve"> commissioned retinal screening service.</w:t>
            </w:r>
            <w:r w:rsidRPr="5A0BA9A5">
              <w:rPr>
                <w:rFonts w:cs="Arial"/>
              </w:rPr>
              <w:t xml:space="preserve"> </w:t>
            </w:r>
            <w:r w:rsidRPr="0052040B">
              <w:rPr>
                <w:rFonts w:cs="Arial"/>
              </w:rPr>
              <w:t>(</w:t>
            </w:r>
            <w:r w:rsidR="008B45CB" w:rsidRPr="0052040B">
              <w:rPr>
                <w:rFonts w:cs="Arial"/>
              </w:rPr>
              <w:t>see Appendix 1</w:t>
            </w:r>
            <w:r w:rsidRPr="0052040B">
              <w:rPr>
                <w:rFonts w:cs="Arial"/>
              </w:rPr>
              <w:t>)</w:t>
            </w:r>
            <w:r w:rsidRPr="5A0BA9A5">
              <w:rPr>
                <w:rFonts w:cs="Arial"/>
              </w:rPr>
              <w:t xml:space="preserve"> for annual monitoring for retinopathy. Patients who are at higher risk of retinal toxicity will need to be referred earlier. See </w:t>
            </w:r>
            <w:hyperlink w:anchor="six_monitoring">
              <w:r w:rsidRPr="5A0BA9A5">
                <w:rPr>
                  <w:rStyle w:val="Hyperlink"/>
                  <w:rFonts w:cs="Arial"/>
                </w:rPr>
                <w:t>section 6</w:t>
              </w:r>
            </w:hyperlink>
            <w:r w:rsidRPr="5A0BA9A5">
              <w:rPr>
                <w:rFonts w:cs="Arial"/>
              </w:rPr>
              <w:t xml:space="preserve"> below for risk factors. </w:t>
            </w:r>
          </w:p>
        </w:tc>
      </w:tr>
    </w:tbl>
    <w:p w14:paraId="7BD95E7B" w14:textId="77777777" w:rsidR="0051526F" w:rsidRDefault="0051526F"/>
    <w:p w14:paraId="39805D5C" w14:textId="77777777" w:rsidR="0051526F" w:rsidRDefault="0051526F" w:rsidP="0051526F">
      <w:pPr>
        <w:pStyle w:val="Heading2"/>
        <w:rPr>
          <w:rFonts w:cs="Arial"/>
        </w:rPr>
      </w:pPr>
      <w:bookmarkStart w:id="10" w:name="_Toc149231790"/>
      <w:bookmarkStart w:id="11" w:name="six_monitoring"/>
      <w:r w:rsidRPr="00F321FC">
        <w:rPr>
          <w:rFonts w:cs="Arial"/>
        </w:rPr>
        <w:t>Ongoing monitoring requirements to be undertaken by primary care</w:t>
      </w:r>
      <w:bookmarkEnd w:id="10"/>
    </w:p>
    <w:bookmarkEnd w:id="11"/>
    <w:p w14:paraId="390251ED" w14:textId="1BF22BCF" w:rsidR="0051526F" w:rsidRDefault="0051526F">
      <w:r w:rsidRPr="65FCFA20">
        <w:rPr>
          <w:rFonts w:cs="Arial"/>
        </w:rPr>
        <w:t>If monitoring results are forwarded to the specialist team, please include clear clinical information on the reason for sending, to inform action to be taken by secondary care.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3DB248E9" w14:textId="77777777" w:rsidTr="65FCFA20">
        <w:trPr>
          <w:tblHeader/>
        </w:trPr>
        <w:tc>
          <w:tcPr>
            <w:tcW w:w="5245" w:type="dxa"/>
            <w:shd w:val="clear" w:color="auto" w:fill="F2F2F2" w:themeFill="background1" w:themeFillShade="F2"/>
          </w:tcPr>
          <w:p w14:paraId="1DAB6EDA" w14:textId="153D4D99" w:rsidR="0051526F" w:rsidRPr="00BF174A" w:rsidRDefault="0051526F" w:rsidP="00BF174A">
            <w:pPr>
              <w:rPr>
                <w:b/>
                <w:bCs/>
                <w:u w:val="single"/>
              </w:rPr>
            </w:pPr>
            <w:r w:rsidRPr="00BF174A">
              <w:rPr>
                <w:b/>
                <w:bCs/>
                <w:u w:val="single"/>
              </w:rPr>
              <w:t>Monitoring</w:t>
            </w:r>
          </w:p>
        </w:tc>
        <w:tc>
          <w:tcPr>
            <w:tcW w:w="5245" w:type="dxa"/>
            <w:shd w:val="clear" w:color="auto" w:fill="F2F2F2" w:themeFill="background1" w:themeFillShade="F2"/>
          </w:tcPr>
          <w:p w14:paraId="779C2E8A" w14:textId="1265EEED" w:rsidR="0051526F" w:rsidRPr="00BF174A" w:rsidRDefault="0051526F" w:rsidP="00BF174A">
            <w:pPr>
              <w:rPr>
                <w:b/>
                <w:bCs/>
                <w:u w:val="single"/>
              </w:rPr>
            </w:pPr>
            <w:r w:rsidRPr="00BF174A">
              <w:rPr>
                <w:b/>
                <w:bCs/>
                <w:u w:val="single"/>
              </w:rPr>
              <w:t>Frequency</w:t>
            </w:r>
          </w:p>
        </w:tc>
      </w:tr>
      <w:tr w:rsidR="00FE0949" w:rsidRPr="00F321FC" w14:paraId="33418424" w14:textId="77777777" w:rsidTr="65FCFA20">
        <w:tc>
          <w:tcPr>
            <w:tcW w:w="5245" w:type="dxa"/>
          </w:tcPr>
          <w:p w14:paraId="02739FF6" w14:textId="20E0EE16" w:rsidR="00276381" w:rsidRPr="00276381" w:rsidRDefault="4D845D23" w:rsidP="65FCFA20">
            <w:pPr>
              <w:autoSpaceDE w:val="0"/>
              <w:autoSpaceDN w:val="0"/>
              <w:adjustRightInd w:val="0"/>
              <w:spacing w:before="0" w:after="0"/>
              <w:rPr>
                <w:rFonts w:ascii="Aptos" w:eastAsia="Aptos" w:hAnsi="Aptos" w:cs="Aptos"/>
                <w:b/>
                <w:bCs/>
              </w:rPr>
            </w:pPr>
            <w:r w:rsidRPr="0017376B">
              <w:rPr>
                <w:rFonts w:eastAsia="Aptos" w:cs="Arial"/>
              </w:rPr>
              <w:t>Communicate with the specialist team when the patient is approaching 5 years of treatment (or 1 year in patients with additional risk factors)</w:t>
            </w:r>
            <w:r w:rsidR="00276381" w:rsidRPr="0017376B">
              <w:rPr>
                <w:rFonts w:eastAsia="Aptos" w:cs="Arial"/>
              </w:rPr>
              <w:t>.</w:t>
            </w:r>
            <w:r w:rsidR="00276381" w:rsidRPr="65FCFA20">
              <w:rPr>
                <w:rFonts w:ascii="Aptos" w:eastAsia="Aptos" w:hAnsi="Aptos" w:cs="Aptos"/>
              </w:rPr>
              <w:t xml:space="preserve"> </w:t>
            </w:r>
            <w:r w:rsidR="00386BFD" w:rsidRPr="65FCFA20">
              <w:rPr>
                <w:rFonts w:eastAsia="Times New Roman" w:cs="Arial"/>
                <w:color w:val="000000" w:themeColor="text1"/>
                <w:lang w:eastAsia="en-GB"/>
              </w:rPr>
              <w:t>These patients require referral from the specialist to ophthalmology (or other commissioned service as appropriate) for annual retinopathy monitoring.</w:t>
            </w:r>
          </w:p>
          <w:p w14:paraId="21736AB4" w14:textId="77777777" w:rsidR="00F06601" w:rsidRDefault="4D845D23" w:rsidP="65FCFA20">
            <w:pPr>
              <w:rPr>
                <w:rFonts w:eastAsia="Aptos" w:cs="Arial"/>
              </w:rPr>
            </w:pPr>
            <w:r w:rsidRPr="00B06191">
              <w:rPr>
                <w:rFonts w:eastAsia="Aptos" w:cs="Arial"/>
              </w:rPr>
              <w:t xml:space="preserve">Risk factors may change over time; primary care should discuss with </w:t>
            </w:r>
            <w:r w:rsidR="00B06191">
              <w:rPr>
                <w:rFonts w:eastAsia="Aptos" w:cs="Arial"/>
              </w:rPr>
              <w:t xml:space="preserve">the </w:t>
            </w:r>
            <w:r w:rsidRPr="00B06191">
              <w:rPr>
                <w:rFonts w:eastAsia="Aptos" w:cs="Arial"/>
              </w:rPr>
              <w:t xml:space="preserve">specialist if new risk factors that are ‘high risk’ are identified before the five-year mark to enable referral to ophthalmology service as soon as is necessitated. </w:t>
            </w:r>
          </w:p>
          <w:p w14:paraId="67387F45" w14:textId="072B4143" w:rsidR="00FE0949" w:rsidRPr="00D32858" w:rsidRDefault="4D845D23" w:rsidP="65FCFA20">
            <w:pPr>
              <w:rPr>
                <w:rFonts w:eastAsia="Times New Roman" w:cs="Arial"/>
                <w:color w:val="000000"/>
                <w:lang w:eastAsia="en-GB"/>
              </w:rPr>
            </w:pPr>
            <w:r w:rsidRPr="00B06191">
              <w:rPr>
                <w:rFonts w:eastAsia="Aptos" w:cs="Arial"/>
              </w:rPr>
              <w:t>Primary care should review eligibility for hydroxychloroquine retinal screening on at least an annual basis to ensure that</w:t>
            </w:r>
            <w:r w:rsidR="02ECDE1A" w:rsidRPr="00B06191">
              <w:rPr>
                <w:rFonts w:eastAsia="Aptos" w:cs="Arial"/>
              </w:rPr>
              <w:t xml:space="preserve"> all</w:t>
            </w:r>
            <w:r w:rsidRPr="00B06191">
              <w:rPr>
                <w:rFonts w:eastAsia="Aptos" w:cs="Arial"/>
              </w:rPr>
              <w:t xml:space="preserve"> patients </w:t>
            </w:r>
            <w:r w:rsidR="2E673016" w:rsidRPr="00B06191">
              <w:rPr>
                <w:rFonts w:eastAsia="Aptos" w:cs="Arial"/>
              </w:rPr>
              <w:t>have undergone retinal screening</w:t>
            </w:r>
            <w:r w:rsidRPr="00B06191">
              <w:rPr>
                <w:rFonts w:eastAsia="Aptos" w:cs="Arial"/>
              </w:rPr>
              <w:t xml:space="preserve"> in accordance with their level of risk (after 5 years or after 1 year of treatment).</w:t>
            </w:r>
            <w:r w:rsidRPr="65FCFA20">
              <w:rPr>
                <w:rFonts w:ascii="Aptos" w:eastAsia="Aptos" w:hAnsi="Aptos" w:cs="Aptos"/>
              </w:rPr>
              <w:t xml:space="preserve"> </w:t>
            </w:r>
            <w:r w:rsidR="631B6AA4" w:rsidRPr="65FCFA20">
              <w:rPr>
                <w:rFonts w:eastAsia="Times New Roman" w:cs="Arial"/>
                <w:color w:val="000000" w:themeColor="text1"/>
                <w:lang w:eastAsia="en-GB"/>
              </w:rPr>
              <w:t xml:space="preserve">See </w:t>
            </w:r>
            <w:hyperlink r:id="rId12">
              <w:proofErr w:type="spellStart"/>
              <w:r w:rsidR="631B6AA4" w:rsidRPr="65FCFA20">
                <w:rPr>
                  <w:rStyle w:val="Hyperlink"/>
                  <w:rFonts w:eastAsia="Times New Roman" w:cs="Arial"/>
                  <w:lang w:eastAsia="en-GB"/>
                </w:rPr>
                <w:t>RCOphth</w:t>
              </w:r>
              <w:proofErr w:type="spellEnd"/>
              <w:r w:rsidR="631B6AA4" w:rsidRPr="65FCFA20">
                <w:rPr>
                  <w:rStyle w:val="Hyperlink"/>
                  <w:rFonts w:eastAsia="Times New Roman" w:cs="Arial"/>
                  <w:lang w:eastAsia="en-GB"/>
                </w:rPr>
                <w:t xml:space="preserve"> guidelines</w:t>
              </w:r>
            </w:hyperlink>
            <w:r w:rsidR="631B6AA4" w:rsidRPr="65FCFA20">
              <w:rPr>
                <w:rStyle w:val="Hyperlink"/>
                <w:rFonts w:eastAsia="Times New Roman" w:cs="Arial"/>
                <w:color w:val="000000" w:themeColor="text1"/>
                <w:u w:val="none"/>
                <w:lang w:eastAsia="en-GB"/>
              </w:rPr>
              <w:t xml:space="preserve"> and</w:t>
            </w:r>
            <w:r w:rsidR="631B6AA4" w:rsidRPr="65FCFA20">
              <w:rPr>
                <w:rFonts w:eastAsia="Times New Roman" w:cs="Arial"/>
                <w:color w:val="000000" w:themeColor="text1"/>
                <w:lang w:eastAsia="en-GB"/>
              </w:rPr>
              <w:t xml:space="preserve"> </w:t>
            </w:r>
            <w:hyperlink r:id="rId13">
              <w:r w:rsidR="631B6AA4" w:rsidRPr="65FCFA20">
                <w:rPr>
                  <w:rStyle w:val="Hyperlink"/>
                  <w:rFonts w:eastAsia="Times New Roman" w:cs="Arial"/>
                  <w:lang w:eastAsia="en-GB"/>
                </w:rPr>
                <w:t>RMOC Hydroxychloroquine and chloroquine retinopathy monitoring.</w:t>
              </w:r>
            </w:hyperlink>
            <w:r w:rsidR="631B6AA4" w:rsidRPr="65FCFA20">
              <w:rPr>
                <w:rFonts w:eastAsia="Times New Roman" w:cs="Arial"/>
                <w:color w:val="000000" w:themeColor="text1"/>
                <w:lang w:eastAsia="en-GB"/>
              </w:rPr>
              <w:t xml:space="preserve">. </w:t>
            </w:r>
          </w:p>
          <w:p w14:paraId="7D775F4B" w14:textId="77777777" w:rsidR="00FE0949" w:rsidRPr="00D32858" w:rsidRDefault="00FE0949" w:rsidP="00FE0949">
            <w:pPr>
              <w:autoSpaceDE w:val="0"/>
              <w:autoSpaceDN w:val="0"/>
              <w:adjustRightInd w:val="0"/>
              <w:rPr>
                <w:rFonts w:eastAsia="Times New Roman" w:cs="Arial"/>
                <w:color w:val="000000"/>
                <w:lang w:eastAsia="en-GB"/>
              </w:rPr>
            </w:pPr>
          </w:p>
          <w:p w14:paraId="38C3A527" w14:textId="3C803565" w:rsidR="00FE0949" w:rsidRPr="007A56FB" w:rsidRDefault="00FE0949" w:rsidP="00FE0949">
            <w:pPr>
              <w:spacing w:before="0" w:after="0"/>
              <w:contextualSpacing/>
              <w:rPr>
                <w:rFonts w:cs="Arial"/>
              </w:rPr>
            </w:pPr>
          </w:p>
        </w:tc>
        <w:tc>
          <w:tcPr>
            <w:tcW w:w="5245" w:type="dxa"/>
          </w:tcPr>
          <w:p w14:paraId="009C7DB3" w14:textId="77777777" w:rsidR="00FE0949" w:rsidRPr="00D32858" w:rsidRDefault="00FE0949" w:rsidP="005A19CF">
            <w:pPr>
              <w:pStyle w:val="ListParagraph"/>
              <w:numPr>
                <w:ilvl w:val="0"/>
                <w:numId w:val="47"/>
              </w:numPr>
              <w:autoSpaceDE w:val="0"/>
              <w:autoSpaceDN w:val="0"/>
              <w:adjustRightInd w:val="0"/>
              <w:rPr>
                <w:rFonts w:eastAsia="Times New Roman" w:cs="Arial"/>
                <w:color w:val="000000"/>
                <w:lang w:eastAsia="en-GB"/>
              </w:rPr>
            </w:pPr>
            <w:r w:rsidRPr="00D32858">
              <w:rPr>
                <w:rFonts w:eastAsia="Times New Roman" w:cs="Arial"/>
                <w:iCs/>
                <w:color w:val="000000"/>
                <w:lang w:eastAsia="en-GB"/>
              </w:rPr>
              <w:t xml:space="preserve">Annually after 5 years of treatment, </w:t>
            </w:r>
            <w:r w:rsidRPr="00D32858">
              <w:rPr>
                <w:rFonts w:eastAsia="Times New Roman" w:cs="Arial"/>
                <w:b/>
                <w:iCs/>
                <w:color w:val="000000"/>
                <w:lang w:eastAsia="en-GB"/>
              </w:rPr>
              <w:t xml:space="preserve">or </w:t>
            </w:r>
          </w:p>
          <w:p w14:paraId="0E8EDAFA" w14:textId="77777777" w:rsidR="00FE0949" w:rsidRPr="00D32858" w:rsidRDefault="00FE0949" w:rsidP="65FCFA20">
            <w:pPr>
              <w:pStyle w:val="ListParagraph"/>
              <w:numPr>
                <w:ilvl w:val="0"/>
                <w:numId w:val="47"/>
              </w:numPr>
              <w:autoSpaceDE w:val="0"/>
              <w:autoSpaceDN w:val="0"/>
              <w:adjustRightInd w:val="0"/>
              <w:rPr>
                <w:rFonts w:eastAsia="Times New Roman" w:cs="Arial"/>
                <w:color w:val="000000"/>
                <w:lang w:eastAsia="en-GB"/>
              </w:rPr>
            </w:pPr>
            <w:r w:rsidRPr="65FCFA20">
              <w:rPr>
                <w:rFonts w:eastAsia="Times New Roman" w:cs="Arial"/>
                <w:color w:val="000000" w:themeColor="text1"/>
                <w:lang w:eastAsia="en-GB"/>
              </w:rPr>
              <w:t xml:space="preserve">After 1 year if additional risk factors are present. Risk factors include: </w:t>
            </w:r>
          </w:p>
          <w:p w14:paraId="19735CF9" w14:textId="77777777" w:rsidR="00FE0949" w:rsidRPr="00D32858" w:rsidRDefault="00FE0949" w:rsidP="005A19CF">
            <w:pPr>
              <w:pStyle w:val="ListParagraph"/>
              <w:numPr>
                <w:ilvl w:val="0"/>
                <w:numId w:val="48"/>
              </w:numPr>
              <w:autoSpaceDE w:val="0"/>
              <w:autoSpaceDN w:val="0"/>
              <w:adjustRightInd w:val="0"/>
              <w:rPr>
                <w:rFonts w:eastAsia="Times New Roman" w:cs="Arial"/>
                <w:color w:val="000000"/>
                <w:lang w:eastAsia="en-GB"/>
              </w:rPr>
            </w:pPr>
            <w:r w:rsidRPr="00D32858">
              <w:rPr>
                <w:rFonts w:eastAsia="Times New Roman" w:cs="Arial"/>
                <w:color w:val="000000"/>
                <w:lang w:eastAsia="en-GB"/>
              </w:rPr>
              <w:t>concomitant tamoxifen use</w:t>
            </w:r>
          </w:p>
          <w:p w14:paraId="0398E2F5" w14:textId="77777777" w:rsidR="00FE0949" w:rsidRPr="00FE0949" w:rsidRDefault="00FE0949" w:rsidP="00FE0949">
            <w:pPr>
              <w:pStyle w:val="ListParagraph"/>
              <w:numPr>
                <w:ilvl w:val="0"/>
                <w:numId w:val="48"/>
              </w:numPr>
              <w:autoSpaceDE w:val="0"/>
              <w:autoSpaceDN w:val="0"/>
              <w:adjustRightInd w:val="0"/>
              <w:rPr>
                <w:rFonts w:cs="Arial"/>
              </w:rPr>
            </w:pPr>
            <w:r w:rsidRPr="00D32858">
              <w:rPr>
                <w:rFonts w:eastAsia="Times New Roman" w:cs="Arial"/>
                <w:color w:val="000000"/>
                <w:lang w:eastAsia="en-GB"/>
              </w:rPr>
              <w:t>impaired renal function (eGFR &lt;60mL/min/1.73m</w:t>
            </w:r>
            <w:r w:rsidRPr="00D32858">
              <w:rPr>
                <w:rFonts w:eastAsia="Times New Roman" w:cs="Arial"/>
                <w:color w:val="000000"/>
                <w:vertAlign w:val="superscript"/>
                <w:lang w:eastAsia="en-GB"/>
              </w:rPr>
              <w:t>2</w:t>
            </w:r>
            <w:r w:rsidRPr="00D32858">
              <w:rPr>
                <w:rFonts w:eastAsia="Times New Roman" w:cs="Arial"/>
                <w:color w:val="000000"/>
                <w:lang w:eastAsia="en-GB"/>
              </w:rPr>
              <w:t>)</w:t>
            </w:r>
          </w:p>
          <w:p w14:paraId="465D8898" w14:textId="77777777" w:rsidR="00FE0949" w:rsidRPr="008B45CB" w:rsidRDefault="00FE0949" w:rsidP="00FE0949">
            <w:pPr>
              <w:pStyle w:val="ListParagraph"/>
              <w:numPr>
                <w:ilvl w:val="0"/>
                <w:numId w:val="48"/>
              </w:numPr>
              <w:autoSpaceDE w:val="0"/>
              <w:autoSpaceDN w:val="0"/>
              <w:adjustRightInd w:val="0"/>
              <w:rPr>
                <w:rFonts w:cs="Arial"/>
              </w:rPr>
            </w:pPr>
            <w:r w:rsidRPr="00FE0949">
              <w:rPr>
                <w:rFonts w:eastAsia="Times New Roman" w:cs="Arial"/>
                <w:color w:val="000000"/>
                <w:lang w:eastAsia="en-GB"/>
              </w:rPr>
              <w:t>hydroxychloroquine dose (&gt;5mg/kg/day)</w:t>
            </w:r>
          </w:p>
          <w:p w14:paraId="742E5F16" w14:textId="77777777" w:rsidR="008B45CB" w:rsidRDefault="008B45CB" w:rsidP="008B45CB">
            <w:pPr>
              <w:autoSpaceDE w:val="0"/>
              <w:autoSpaceDN w:val="0"/>
              <w:adjustRightInd w:val="0"/>
              <w:rPr>
                <w:rFonts w:cs="Arial"/>
              </w:rPr>
            </w:pPr>
          </w:p>
          <w:p w14:paraId="460119A4" w14:textId="3202BA37" w:rsidR="008B45CB" w:rsidRPr="008B45CB" w:rsidRDefault="008B45CB" w:rsidP="65FCFA20">
            <w:pPr>
              <w:autoSpaceDE w:val="0"/>
              <w:autoSpaceDN w:val="0"/>
              <w:adjustRightInd w:val="0"/>
              <w:rPr>
                <w:rFonts w:cs="Arial"/>
              </w:rPr>
            </w:pPr>
            <w:proofErr w:type="spellStart"/>
            <w:r w:rsidRPr="00F06601">
              <w:rPr>
                <w:rFonts w:cs="Arial"/>
              </w:rPr>
              <w:t>SystemOne</w:t>
            </w:r>
            <w:proofErr w:type="spellEnd"/>
            <w:r w:rsidRPr="00F06601">
              <w:rPr>
                <w:rFonts w:cs="Arial"/>
              </w:rPr>
              <w:t xml:space="preserve"> searches are available to support practices in identifying patients requiring retinal monitoring and those at higher risk</w:t>
            </w:r>
          </w:p>
        </w:tc>
      </w:tr>
    </w:tbl>
    <w:p w14:paraId="12D96D10" w14:textId="77777777" w:rsidR="00DE519B" w:rsidRDefault="00DE519B"/>
    <w:p w14:paraId="56152E6B" w14:textId="77777777" w:rsidR="0051526F" w:rsidRPr="00F321FC" w:rsidRDefault="0051526F" w:rsidP="0051526F">
      <w:pPr>
        <w:pStyle w:val="Heading2"/>
        <w:rPr>
          <w:rFonts w:cs="Arial"/>
        </w:rPr>
      </w:pPr>
      <w:bookmarkStart w:id="12" w:name="_Toc149231791"/>
      <w:r w:rsidRPr="00F321FC">
        <w:rPr>
          <w:rFonts w:cs="Arial"/>
        </w:rPr>
        <w:t>Pharmaceutical aspects</w:t>
      </w:r>
      <w:bookmarkEnd w:id="12"/>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FE0949" w:rsidRPr="00F321FC" w14:paraId="793C17AD" w14:textId="77777777" w:rsidTr="65FCFA20">
        <w:trPr>
          <w:cantSplit/>
        </w:trPr>
        <w:tc>
          <w:tcPr>
            <w:tcW w:w="2410" w:type="dxa"/>
          </w:tcPr>
          <w:p w14:paraId="435FCFFB" w14:textId="2404CE1C" w:rsidR="00FE0949" w:rsidRPr="00F321FC" w:rsidRDefault="00FE0949" w:rsidP="00FE0949">
            <w:pPr>
              <w:rPr>
                <w:rFonts w:cs="Arial"/>
              </w:rPr>
            </w:pPr>
            <w:r w:rsidRPr="00F321FC">
              <w:rPr>
                <w:rFonts w:cs="Arial"/>
              </w:rPr>
              <w:t>Route of administration:</w:t>
            </w:r>
          </w:p>
        </w:tc>
        <w:tc>
          <w:tcPr>
            <w:tcW w:w="8080" w:type="dxa"/>
          </w:tcPr>
          <w:p w14:paraId="58A97D63" w14:textId="7157E72E" w:rsidR="00FE0949" w:rsidRPr="00F321FC" w:rsidRDefault="00FE0949" w:rsidP="00FE0949">
            <w:pPr>
              <w:rPr>
                <w:rFonts w:cs="Arial"/>
              </w:rPr>
            </w:pPr>
            <w:r w:rsidRPr="00A24357">
              <w:t>Oral</w:t>
            </w:r>
          </w:p>
        </w:tc>
      </w:tr>
      <w:tr w:rsidR="00FE0949" w:rsidRPr="00F321FC" w14:paraId="0E5DDFDD" w14:textId="77777777" w:rsidTr="65FCFA20">
        <w:trPr>
          <w:cantSplit/>
        </w:trPr>
        <w:tc>
          <w:tcPr>
            <w:tcW w:w="2410" w:type="dxa"/>
          </w:tcPr>
          <w:p w14:paraId="3B641692" w14:textId="6763D472" w:rsidR="00FE0949" w:rsidRPr="00F321FC" w:rsidRDefault="00FE0949" w:rsidP="00FE0949">
            <w:pPr>
              <w:rPr>
                <w:rFonts w:cs="Arial"/>
              </w:rPr>
            </w:pPr>
            <w:r w:rsidRPr="00F321FC">
              <w:rPr>
                <w:rFonts w:cs="Arial"/>
              </w:rPr>
              <w:t>Formulation:</w:t>
            </w:r>
          </w:p>
        </w:tc>
        <w:tc>
          <w:tcPr>
            <w:tcW w:w="8080" w:type="dxa"/>
          </w:tcPr>
          <w:p w14:paraId="544CC13A" w14:textId="77777777" w:rsidR="00FE0949" w:rsidRDefault="00FE0949" w:rsidP="00FE0949">
            <w:r w:rsidRPr="65FCFA20">
              <w:t xml:space="preserve">Hydroxychloroquine </w:t>
            </w:r>
            <w:proofErr w:type="spellStart"/>
            <w:r w:rsidRPr="65FCFA20">
              <w:t>sulfate</w:t>
            </w:r>
            <w:proofErr w:type="spellEnd"/>
            <w:r w:rsidRPr="65FCFA20">
              <w:t xml:space="preserve"> 200 mg tablets.</w:t>
            </w:r>
          </w:p>
          <w:p w14:paraId="09C2B9C8" w14:textId="1F9DAF1B" w:rsidR="00FE0949" w:rsidRPr="00F321FC" w:rsidRDefault="00FE0949" w:rsidP="00FE0949">
            <w:pPr>
              <w:rPr>
                <w:rFonts w:cs="Arial"/>
              </w:rPr>
            </w:pPr>
            <w:r w:rsidRPr="00A24357">
              <w:t>300mg tablets are available but do not offer a clinical advantage and are not preferred. As an alternative, alternate day dosing with 200 mg and 400 mg may be used.</w:t>
            </w:r>
          </w:p>
        </w:tc>
      </w:tr>
      <w:tr w:rsidR="00FE0949" w:rsidRPr="00F321FC" w14:paraId="4D08654E" w14:textId="77777777" w:rsidTr="65FCFA20">
        <w:trPr>
          <w:cantSplit/>
        </w:trPr>
        <w:tc>
          <w:tcPr>
            <w:tcW w:w="2410" w:type="dxa"/>
          </w:tcPr>
          <w:p w14:paraId="5807ABCD" w14:textId="7BDA162B" w:rsidR="00FE0949" w:rsidRPr="00F321FC" w:rsidRDefault="00FE0949" w:rsidP="00FE0949">
            <w:pPr>
              <w:rPr>
                <w:rFonts w:cs="Arial"/>
              </w:rPr>
            </w:pPr>
            <w:r w:rsidRPr="00F321FC">
              <w:rPr>
                <w:rFonts w:cs="Arial"/>
              </w:rPr>
              <w:t>Administration details:</w:t>
            </w:r>
          </w:p>
        </w:tc>
        <w:tc>
          <w:tcPr>
            <w:tcW w:w="8080" w:type="dxa"/>
          </w:tcPr>
          <w:p w14:paraId="7F535AE6" w14:textId="77777777" w:rsidR="00FE0949" w:rsidRDefault="00FE0949" w:rsidP="00FE0949">
            <w:r w:rsidRPr="00A24357">
              <w:t>Each dose should be taken with food.</w:t>
            </w:r>
          </w:p>
          <w:p w14:paraId="3956ABC5" w14:textId="3BD31D52" w:rsidR="00FE0949" w:rsidRPr="00F321FC" w:rsidRDefault="00FE0949" w:rsidP="00FE0949">
            <w:pPr>
              <w:rPr>
                <w:rFonts w:cs="Arial"/>
              </w:rPr>
            </w:pPr>
            <w:r w:rsidRPr="00D32858">
              <w:rPr>
                <w:rFonts w:cs="Arial"/>
              </w:rPr>
              <w:t>If necessary, tablets may be crushed and dispersed in water (unlicensed).</w:t>
            </w:r>
          </w:p>
        </w:tc>
      </w:tr>
      <w:tr w:rsidR="00FE0949" w:rsidRPr="00F321FC" w14:paraId="1BF5C41D" w14:textId="77777777" w:rsidTr="65FCFA20">
        <w:trPr>
          <w:cantSplit/>
        </w:trPr>
        <w:tc>
          <w:tcPr>
            <w:tcW w:w="2410" w:type="dxa"/>
          </w:tcPr>
          <w:p w14:paraId="00D209C3" w14:textId="4AA020DB" w:rsidR="00FE0949" w:rsidRPr="00F321FC" w:rsidRDefault="00FE0949" w:rsidP="65FCFA20">
            <w:pPr>
              <w:rPr>
                <w:rFonts w:cs="Arial"/>
              </w:rPr>
            </w:pPr>
            <w:r w:rsidRPr="65FCFA20">
              <w:rPr>
                <w:rFonts w:cs="Arial"/>
              </w:rPr>
              <w:t xml:space="preserve">Other important information: </w:t>
            </w:r>
          </w:p>
        </w:tc>
        <w:tc>
          <w:tcPr>
            <w:tcW w:w="8080" w:type="dxa"/>
          </w:tcPr>
          <w:p w14:paraId="14CD1D9D" w14:textId="2D189EB1" w:rsidR="00FE0949" w:rsidRPr="001A51F3" w:rsidRDefault="00FE0949" w:rsidP="00FE0949">
            <w:pPr>
              <w:autoSpaceDE w:val="0"/>
              <w:autoSpaceDN w:val="0"/>
              <w:adjustRightInd w:val="0"/>
              <w:rPr>
                <w:rFonts w:eastAsia="Times New Roman" w:cstheme="minorHAnsi"/>
                <w:szCs w:val="24"/>
                <w:lang w:eastAsia="en-GB"/>
              </w:rPr>
            </w:pPr>
            <w:r w:rsidRPr="00D32858">
              <w:rPr>
                <w:rFonts w:cs="Arial"/>
              </w:rPr>
              <w:t>Antacids may reduce absorption of hydroxychloroquine. Oral antacids should be avoided for 4 hours before and after the dose.</w:t>
            </w:r>
          </w:p>
        </w:tc>
      </w:tr>
    </w:tbl>
    <w:p w14:paraId="6DB2B26C" w14:textId="77777777" w:rsidR="0051526F" w:rsidRDefault="0051526F"/>
    <w:p w14:paraId="2699777B"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407"/>
        <w:gridCol w:w="8054"/>
      </w:tblGrid>
      <w:tr w:rsidR="00FE0949" w:rsidRPr="00F321FC" w14:paraId="4A999C67" w14:textId="77777777" w:rsidTr="65FCFA20">
        <w:tc>
          <w:tcPr>
            <w:tcW w:w="2407" w:type="dxa"/>
          </w:tcPr>
          <w:p w14:paraId="6BB97933" w14:textId="5394937C" w:rsidR="00FE0949" w:rsidRPr="00F321FC" w:rsidRDefault="00FE0949" w:rsidP="00FE0949">
            <w:pPr>
              <w:pStyle w:val="Heading2"/>
              <w:rPr>
                <w:rFonts w:cs="Arial"/>
              </w:rPr>
            </w:pPr>
            <w:bookmarkStart w:id="13" w:name="eight_cautions_cx"/>
            <w:bookmarkStart w:id="14" w:name="_Toc149231792"/>
            <w:r w:rsidRPr="00F321FC">
              <w:rPr>
                <w:rFonts w:cs="Arial"/>
              </w:rPr>
              <w:t>C</w:t>
            </w:r>
            <w:r>
              <w:rPr>
                <w:rFonts w:cs="Arial"/>
              </w:rPr>
              <w:t>autions and c</w:t>
            </w:r>
            <w:r w:rsidRPr="00F321FC">
              <w:rPr>
                <w:rFonts w:cs="Arial"/>
              </w:rPr>
              <w:t>ontraindications</w:t>
            </w:r>
            <w:bookmarkEnd w:id="13"/>
            <w:bookmarkEnd w:id="14"/>
          </w:p>
        </w:tc>
        <w:tc>
          <w:tcPr>
            <w:tcW w:w="8054" w:type="dxa"/>
          </w:tcPr>
          <w:p w14:paraId="0269AA3B" w14:textId="77777777" w:rsidR="00FE0949" w:rsidRDefault="00FE0949" w:rsidP="65FCFA20">
            <w:pPr>
              <w:rPr>
                <w:rFonts w:cs="Arial"/>
              </w:rPr>
            </w:pPr>
            <w:r w:rsidRPr="65FCFA20">
              <w:rPr>
                <w:rFonts w:cs="Arial"/>
              </w:rPr>
              <w:t>This information does not replace the Summary of Product Characteristics (SPC</w:t>
            </w:r>
            <w:proofErr w:type="gramStart"/>
            <w:r w:rsidRPr="65FCFA20">
              <w:rPr>
                <w:rFonts w:cs="Arial"/>
              </w:rPr>
              <w:t>), and</w:t>
            </w:r>
            <w:proofErr w:type="gramEnd"/>
            <w:r w:rsidRPr="65FCFA20">
              <w:rPr>
                <w:rFonts w:cs="Arial"/>
              </w:rPr>
              <w:t xml:space="preserve"> should be read in conjunction with it. Please see BNF &amp; SPC for comprehensive information.</w:t>
            </w:r>
          </w:p>
          <w:p w14:paraId="2AB4408C" w14:textId="77777777" w:rsidR="00FE0949" w:rsidRDefault="00FE0949" w:rsidP="00FE0949">
            <w:pPr>
              <w:rPr>
                <w:rFonts w:cs="Arial"/>
              </w:rPr>
            </w:pPr>
          </w:p>
          <w:p w14:paraId="601D0DA8" w14:textId="77777777" w:rsidR="00FE0949" w:rsidRPr="00D32858" w:rsidRDefault="00FE0949" w:rsidP="00FE0949">
            <w:pPr>
              <w:pStyle w:val="Heading4"/>
            </w:pPr>
            <w:r w:rsidRPr="00D32858">
              <w:t>Contraindications:</w:t>
            </w:r>
          </w:p>
          <w:p w14:paraId="55A1CBDC" w14:textId="77777777" w:rsidR="00FE0949" w:rsidRPr="00D32858" w:rsidRDefault="00FE0949" w:rsidP="00FE0949">
            <w:pPr>
              <w:numPr>
                <w:ilvl w:val="0"/>
                <w:numId w:val="50"/>
              </w:numPr>
              <w:rPr>
                <w:rFonts w:cs="Arial"/>
                <w:iCs/>
              </w:rPr>
            </w:pPr>
            <w:r w:rsidRPr="00D32858">
              <w:rPr>
                <w:rFonts w:cs="Arial"/>
                <w:iCs/>
              </w:rPr>
              <w:t>Hypersensitivity to hydroxychloroquine or 4-aminoquinoline compounds</w:t>
            </w:r>
          </w:p>
          <w:p w14:paraId="3B168AFE" w14:textId="77777777" w:rsidR="00FE0949" w:rsidRDefault="00FE0949" w:rsidP="00FE0949">
            <w:pPr>
              <w:numPr>
                <w:ilvl w:val="0"/>
                <w:numId w:val="50"/>
              </w:numPr>
              <w:rPr>
                <w:rFonts w:cs="Arial"/>
                <w:iCs/>
              </w:rPr>
            </w:pPr>
            <w:r w:rsidRPr="00D32858">
              <w:rPr>
                <w:rFonts w:cs="Arial"/>
                <w:iCs/>
              </w:rPr>
              <w:t xml:space="preserve">Pre-existing maculopathy </w:t>
            </w:r>
          </w:p>
          <w:p w14:paraId="6ADF0478" w14:textId="77777777" w:rsidR="00FE0949" w:rsidRPr="00D32858" w:rsidRDefault="00FE0949" w:rsidP="00FE0949">
            <w:pPr>
              <w:rPr>
                <w:rFonts w:cs="Arial"/>
                <w:iCs/>
              </w:rPr>
            </w:pPr>
          </w:p>
          <w:p w14:paraId="08BB5367" w14:textId="77777777" w:rsidR="00FE0949" w:rsidRPr="00D32858" w:rsidRDefault="00FE0949" w:rsidP="00FE0949">
            <w:pPr>
              <w:pStyle w:val="Heading4"/>
            </w:pPr>
            <w:r w:rsidRPr="00D32858">
              <w:t>Cautions:</w:t>
            </w:r>
          </w:p>
          <w:p w14:paraId="157B47CC" w14:textId="77777777" w:rsidR="00FE0949" w:rsidRPr="00D32858" w:rsidRDefault="00FE0949" w:rsidP="00FE0949">
            <w:pPr>
              <w:numPr>
                <w:ilvl w:val="0"/>
                <w:numId w:val="50"/>
              </w:numPr>
              <w:rPr>
                <w:rFonts w:cs="Arial"/>
              </w:rPr>
            </w:pPr>
            <w:r w:rsidRPr="00D32858">
              <w:rPr>
                <w:rFonts w:cs="Arial"/>
              </w:rPr>
              <w:t>Concurrent use of medicines which may cause adverse ocular or skin reactions</w:t>
            </w:r>
          </w:p>
          <w:p w14:paraId="357E2B7C" w14:textId="77777777" w:rsidR="00FE0949" w:rsidRPr="00D32858" w:rsidRDefault="00FE0949" w:rsidP="65FCFA20">
            <w:pPr>
              <w:numPr>
                <w:ilvl w:val="0"/>
                <w:numId w:val="50"/>
              </w:numPr>
              <w:rPr>
                <w:rFonts w:cs="Arial"/>
              </w:rPr>
            </w:pPr>
            <w:r w:rsidRPr="65FCFA20">
              <w:rPr>
                <w:rFonts w:cs="Arial"/>
              </w:rPr>
              <w:t>Diabetes mellitus, and those taking anti-diabetic drugs (including SGLT-2 inhibitors) for any indication (hydroxychloroquine treatment may lower blood glucose)</w:t>
            </w:r>
          </w:p>
          <w:p w14:paraId="44570DBC" w14:textId="77777777" w:rsidR="00FE0949" w:rsidRPr="00D32858" w:rsidRDefault="00FE0949" w:rsidP="00FE0949">
            <w:pPr>
              <w:numPr>
                <w:ilvl w:val="0"/>
                <w:numId w:val="50"/>
              </w:numPr>
              <w:rPr>
                <w:rFonts w:cs="Arial"/>
              </w:rPr>
            </w:pPr>
            <w:r w:rsidRPr="00D32858">
              <w:rPr>
                <w:rFonts w:cs="Arial"/>
              </w:rPr>
              <w:t>Glucose-6-phosphate dehydrogenase deficiency</w:t>
            </w:r>
          </w:p>
          <w:p w14:paraId="5AB6CF65" w14:textId="77777777" w:rsidR="00FE0949" w:rsidRPr="00D32858" w:rsidRDefault="00FE0949" w:rsidP="00FE0949">
            <w:pPr>
              <w:numPr>
                <w:ilvl w:val="0"/>
                <w:numId w:val="50"/>
              </w:numPr>
              <w:rPr>
                <w:rFonts w:cs="Arial"/>
              </w:rPr>
            </w:pPr>
            <w:r w:rsidRPr="00D32858">
              <w:rPr>
                <w:rFonts w:cs="Arial"/>
              </w:rPr>
              <w:t>Increased risk of retinopathy with high doses (&gt;5 mg/kg/day), long-term treatment (&gt;5 years), eGFR &lt;60 mL/min/1.73m</w:t>
            </w:r>
            <w:r w:rsidRPr="00D32858">
              <w:rPr>
                <w:rFonts w:cs="Arial"/>
                <w:vertAlign w:val="superscript"/>
              </w:rPr>
              <w:t>2</w:t>
            </w:r>
            <w:r w:rsidRPr="00D32858">
              <w:rPr>
                <w:rFonts w:cs="Arial"/>
              </w:rPr>
              <w:t xml:space="preserve"> or concurrent tamoxifen use. </w:t>
            </w:r>
          </w:p>
          <w:p w14:paraId="323F3753" w14:textId="77777777" w:rsidR="00FE0949" w:rsidRPr="00D32858" w:rsidRDefault="00FE0949" w:rsidP="65FCFA20">
            <w:pPr>
              <w:numPr>
                <w:ilvl w:val="0"/>
                <w:numId w:val="50"/>
              </w:numPr>
              <w:rPr>
                <w:rFonts w:cs="Arial"/>
              </w:rPr>
            </w:pPr>
            <w:r w:rsidRPr="65FCFA20">
              <w:rPr>
                <w:rFonts w:cs="Arial"/>
              </w:rPr>
              <w:t>Myasthenia gravis or psoriasis (may exacerbate)</w:t>
            </w:r>
          </w:p>
          <w:p w14:paraId="3E3A38A1" w14:textId="77777777" w:rsidR="00FE0949" w:rsidRPr="00D32858" w:rsidRDefault="00FE0949" w:rsidP="65FCFA20">
            <w:pPr>
              <w:numPr>
                <w:ilvl w:val="0"/>
                <w:numId w:val="50"/>
              </w:numPr>
              <w:rPr>
                <w:rFonts w:cs="Arial"/>
              </w:rPr>
            </w:pPr>
            <w:r w:rsidRPr="65FCFA20">
              <w:rPr>
                <w:rFonts w:cs="Arial"/>
              </w:rPr>
              <w:t xml:space="preserve">Porphyria cutanea </w:t>
            </w:r>
            <w:proofErr w:type="spellStart"/>
            <w:r w:rsidRPr="65FCFA20">
              <w:rPr>
                <w:rFonts w:cs="Arial"/>
              </w:rPr>
              <w:t>tarda</w:t>
            </w:r>
            <w:proofErr w:type="spellEnd"/>
            <w:r w:rsidRPr="65FCFA20">
              <w:rPr>
                <w:rFonts w:cs="Arial"/>
              </w:rPr>
              <w:t xml:space="preserve">, and other acute </w:t>
            </w:r>
            <w:proofErr w:type="spellStart"/>
            <w:r w:rsidRPr="65FCFA20">
              <w:rPr>
                <w:rFonts w:cs="Arial"/>
              </w:rPr>
              <w:t>porphyrias</w:t>
            </w:r>
            <w:proofErr w:type="spellEnd"/>
          </w:p>
          <w:p w14:paraId="5A9B4B48" w14:textId="77777777" w:rsidR="00FE0949" w:rsidRPr="00D32858" w:rsidRDefault="00FE0949" w:rsidP="00FE0949">
            <w:pPr>
              <w:numPr>
                <w:ilvl w:val="0"/>
                <w:numId w:val="50"/>
              </w:numPr>
              <w:rPr>
                <w:rFonts w:cs="Arial"/>
              </w:rPr>
            </w:pPr>
            <w:r w:rsidRPr="00D32858">
              <w:rPr>
                <w:rFonts w:cs="Arial"/>
              </w:rPr>
              <w:t>Renal or hepatic disease and concurrent use of drugs known to affect these organs</w:t>
            </w:r>
          </w:p>
          <w:p w14:paraId="12A3FE59" w14:textId="77777777" w:rsidR="00FE0949" w:rsidRPr="00D32858" w:rsidRDefault="00FE0949" w:rsidP="00FE0949">
            <w:pPr>
              <w:numPr>
                <w:ilvl w:val="0"/>
                <w:numId w:val="50"/>
              </w:numPr>
              <w:rPr>
                <w:rFonts w:cs="Arial"/>
              </w:rPr>
            </w:pPr>
            <w:r w:rsidRPr="00D32858">
              <w:rPr>
                <w:rFonts w:cs="Arial"/>
              </w:rPr>
              <w:t>Sensitivity to quinine</w:t>
            </w:r>
          </w:p>
          <w:p w14:paraId="3861531B" w14:textId="77777777" w:rsidR="00FE0949" w:rsidRPr="00D32858" w:rsidRDefault="00FE0949" w:rsidP="00FE0949">
            <w:pPr>
              <w:numPr>
                <w:ilvl w:val="0"/>
                <w:numId w:val="50"/>
              </w:numPr>
              <w:rPr>
                <w:rFonts w:cs="Arial"/>
              </w:rPr>
            </w:pPr>
            <w:r w:rsidRPr="00D32858">
              <w:rPr>
                <w:rFonts w:cs="Arial"/>
              </w:rPr>
              <w:t>Severe gastrointestinal, neurological (especially for those with a history of epilepsy – may lower the seizure threshold), or blood disorders</w:t>
            </w:r>
          </w:p>
          <w:p w14:paraId="44E09CF3" w14:textId="77777777" w:rsidR="00FE0949" w:rsidRDefault="00FE0949" w:rsidP="00FE0949">
            <w:pPr>
              <w:numPr>
                <w:ilvl w:val="0"/>
                <w:numId w:val="50"/>
              </w:numPr>
              <w:rPr>
                <w:rFonts w:cs="Arial"/>
              </w:rPr>
            </w:pPr>
            <w:r w:rsidRPr="00D32858">
              <w:rPr>
                <w:rFonts w:cs="Arial"/>
              </w:rPr>
              <w:t>Significant cardiac arrhythmias due to the risk of QT interval prolongation</w:t>
            </w:r>
          </w:p>
          <w:p w14:paraId="456B90AA" w14:textId="77777777" w:rsidR="00FE0949" w:rsidRPr="007A56FB" w:rsidRDefault="00FE0949" w:rsidP="00FE0949">
            <w:pPr>
              <w:numPr>
                <w:ilvl w:val="0"/>
                <w:numId w:val="50"/>
              </w:numPr>
              <w:rPr>
                <w:rFonts w:cs="Arial"/>
              </w:rPr>
            </w:pPr>
            <w:r w:rsidRPr="00DC7229">
              <w:rPr>
                <w:rFonts w:cs="Arial"/>
              </w:rPr>
              <w:t>Suicidal behaviour and psychiatric disorders have been reported in some patients treated with hydroxychloroquine</w:t>
            </w:r>
            <w:r>
              <w:rPr>
                <w:rFonts w:cs="Arial"/>
              </w:rPr>
              <w:t>, typically in the first month of treatment and including patients with no prior psychiatric history.</w:t>
            </w:r>
          </w:p>
        </w:tc>
      </w:tr>
      <w:tr w:rsidR="001E6FEF" w:rsidRPr="00F321FC" w14:paraId="11E3D793" w14:textId="77777777" w:rsidTr="65FCFA20">
        <w:tc>
          <w:tcPr>
            <w:tcW w:w="2407" w:type="dxa"/>
          </w:tcPr>
          <w:p w14:paraId="1E8C8FBF" w14:textId="3ED10190" w:rsidR="001E6FEF" w:rsidRPr="00F321FC" w:rsidRDefault="001E6FEF" w:rsidP="001E6FEF">
            <w:pPr>
              <w:pStyle w:val="Heading2"/>
              <w:rPr>
                <w:rFonts w:cs="Arial"/>
              </w:rPr>
            </w:pPr>
            <w:bookmarkStart w:id="15" w:name="nine_interactions"/>
            <w:bookmarkStart w:id="16" w:name="_Toc149231793"/>
            <w:r w:rsidRPr="00F321FC">
              <w:rPr>
                <w:rFonts w:cs="Arial"/>
              </w:rPr>
              <w:t>Significant drug interactions</w:t>
            </w:r>
            <w:bookmarkEnd w:id="15"/>
            <w:bookmarkEnd w:id="16"/>
          </w:p>
        </w:tc>
        <w:tc>
          <w:tcPr>
            <w:tcW w:w="8054" w:type="dxa"/>
          </w:tcPr>
          <w:p w14:paraId="6580FF60" w14:textId="24ECB91D" w:rsidR="001E6FEF" w:rsidRDefault="001E6FEF" w:rsidP="001E6FEF">
            <w:pPr>
              <w:rPr>
                <w:rFonts w:cs="Arial"/>
              </w:rPr>
            </w:pPr>
            <w:r w:rsidRPr="00FB404F">
              <w:rPr>
                <w:rFonts w:cs="Arial"/>
              </w:rPr>
              <w:t xml:space="preserve">The following list is not exhaustive. Please see </w:t>
            </w:r>
            <w:hyperlink r:id="rId14" w:history="1">
              <w:r w:rsidRPr="00C34FB2">
                <w:rPr>
                  <w:rStyle w:val="Hyperlink"/>
                  <w:rFonts w:cs="Arial"/>
                </w:rPr>
                <w:t>BNF</w:t>
              </w:r>
            </w:hyperlink>
            <w:r w:rsidRPr="00FB404F">
              <w:rPr>
                <w:rFonts w:cs="Arial"/>
              </w:rPr>
              <w:t xml:space="preserve"> </w:t>
            </w:r>
            <w:r>
              <w:rPr>
                <w:rFonts w:cs="Arial"/>
              </w:rPr>
              <w:t>and</w:t>
            </w:r>
            <w:r w:rsidRPr="00FB404F">
              <w:rPr>
                <w:rFonts w:cs="Arial"/>
              </w:rPr>
              <w:t xml:space="preserve"> </w:t>
            </w:r>
            <w:hyperlink r:id="rId15" w:history="1">
              <w:r w:rsidRPr="00C34FB2">
                <w:rPr>
                  <w:rStyle w:val="Hyperlink"/>
                  <w:rFonts w:cs="Arial"/>
                </w:rPr>
                <w:t>SPC</w:t>
              </w:r>
            </w:hyperlink>
            <w:r w:rsidRPr="00FB404F">
              <w:rPr>
                <w:rFonts w:cs="Arial"/>
              </w:rPr>
              <w:t xml:space="preserve"> for comprehensive information and recommended management.</w:t>
            </w:r>
          </w:p>
          <w:p w14:paraId="20D1F1D9" w14:textId="77777777" w:rsidR="001E6FEF" w:rsidRDefault="001E6FEF" w:rsidP="001E6FEF">
            <w:pPr>
              <w:rPr>
                <w:rFonts w:cs="Arial"/>
              </w:rPr>
            </w:pPr>
          </w:p>
          <w:p w14:paraId="3137E1DB" w14:textId="77777777" w:rsidR="001E6FEF" w:rsidRPr="00D32858" w:rsidRDefault="001E6FEF" w:rsidP="001E6FEF">
            <w:pPr>
              <w:pStyle w:val="Heading4"/>
            </w:pPr>
            <w:r w:rsidRPr="00D32858">
              <w:t>The following drugs must not be prescribed without consultation with the specialist:</w:t>
            </w:r>
          </w:p>
          <w:p w14:paraId="47E06819" w14:textId="77777777" w:rsidR="001E6FEF" w:rsidRPr="00D32858" w:rsidRDefault="001E6FEF" w:rsidP="001E6FEF">
            <w:pPr>
              <w:pStyle w:val="ListParagraph"/>
              <w:numPr>
                <w:ilvl w:val="0"/>
                <w:numId w:val="52"/>
              </w:numPr>
              <w:rPr>
                <w:rFonts w:cs="Arial"/>
              </w:rPr>
            </w:pPr>
            <w:r w:rsidRPr="00D32858">
              <w:rPr>
                <w:rFonts w:cs="Arial"/>
              </w:rPr>
              <w:t xml:space="preserve">Drugs that can prolong the QT interval: for example, amiodarone, </w:t>
            </w:r>
            <w:r>
              <w:rPr>
                <w:rFonts w:cs="Arial"/>
              </w:rPr>
              <w:t xml:space="preserve">dronedarone, ranolazine, aripiprazole, chlorpromazine, haloperidol, erythromycin, </w:t>
            </w:r>
            <w:r w:rsidRPr="00D32858">
              <w:rPr>
                <w:rFonts w:cs="Arial"/>
              </w:rPr>
              <w:t>moxifloxacin, quinine, citalopram</w:t>
            </w:r>
            <w:r>
              <w:rPr>
                <w:rFonts w:cs="Arial"/>
              </w:rPr>
              <w:t>, escitalopram, ondansetron, tolterodine</w:t>
            </w:r>
            <w:r w:rsidRPr="00D32858">
              <w:rPr>
                <w:rFonts w:cs="Arial"/>
              </w:rPr>
              <w:t xml:space="preserve">. Avoid concomitant use; possible increased risk of QT prolongation/ventricular arrhythmias. </w:t>
            </w:r>
          </w:p>
          <w:p w14:paraId="1B1A2B66" w14:textId="77777777" w:rsidR="001E6FEF" w:rsidRPr="00D32858" w:rsidRDefault="001E6FEF" w:rsidP="65FCFA20">
            <w:pPr>
              <w:pStyle w:val="ListParagraph"/>
              <w:numPr>
                <w:ilvl w:val="0"/>
                <w:numId w:val="52"/>
              </w:numPr>
              <w:rPr>
                <w:rFonts w:cs="Arial"/>
              </w:rPr>
            </w:pPr>
            <w:r w:rsidRPr="65FCFA20">
              <w:rPr>
                <w:rFonts w:cs="Arial"/>
              </w:rPr>
              <w:t>Cimetidine: possible increase in plasma concentration of hydroxychloroquine.</w:t>
            </w:r>
          </w:p>
          <w:p w14:paraId="55FFB4C8" w14:textId="77777777" w:rsidR="001E6FEF" w:rsidRPr="00D32858" w:rsidRDefault="001E6FEF" w:rsidP="65FCFA20">
            <w:pPr>
              <w:pStyle w:val="ListParagraph"/>
              <w:numPr>
                <w:ilvl w:val="0"/>
                <w:numId w:val="52"/>
              </w:numPr>
              <w:rPr>
                <w:rFonts w:cs="Arial"/>
              </w:rPr>
            </w:pPr>
            <w:r w:rsidRPr="65FCFA20">
              <w:rPr>
                <w:rFonts w:cs="Arial"/>
              </w:rPr>
              <w:t>Ciclosporin: possible increase in plasma concentration of ciclosporin (combination used by some specialists).</w:t>
            </w:r>
          </w:p>
          <w:p w14:paraId="6E8277CE" w14:textId="77777777" w:rsidR="001E6FEF" w:rsidRPr="00D32858" w:rsidRDefault="001E6FEF" w:rsidP="001E6FEF">
            <w:pPr>
              <w:pStyle w:val="ListParagraph"/>
              <w:numPr>
                <w:ilvl w:val="0"/>
                <w:numId w:val="52"/>
              </w:numPr>
              <w:rPr>
                <w:rFonts w:cs="Arial"/>
              </w:rPr>
            </w:pPr>
            <w:r w:rsidRPr="00D32858">
              <w:rPr>
                <w:rFonts w:cs="Arial"/>
              </w:rPr>
              <w:t>Mefloquine and other drugs known to lower the convulsion threshold: possible increased risk of convulsions.</w:t>
            </w:r>
          </w:p>
          <w:p w14:paraId="1E3B1997" w14:textId="77777777" w:rsidR="001E6FEF" w:rsidRPr="00D32858" w:rsidRDefault="001E6FEF" w:rsidP="001E6FEF">
            <w:pPr>
              <w:pStyle w:val="ListParagraph"/>
              <w:numPr>
                <w:ilvl w:val="0"/>
                <w:numId w:val="52"/>
              </w:numPr>
              <w:rPr>
                <w:rFonts w:cs="Arial"/>
              </w:rPr>
            </w:pPr>
            <w:r w:rsidRPr="00D32858">
              <w:rPr>
                <w:rFonts w:cs="Arial"/>
              </w:rPr>
              <w:t xml:space="preserve">Penicillamine: possible increased risk of haematological toxicity. </w:t>
            </w:r>
          </w:p>
          <w:p w14:paraId="5C518427" w14:textId="77777777" w:rsidR="001E6FEF" w:rsidRPr="00D32858" w:rsidRDefault="001E6FEF" w:rsidP="65FCFA20">
            <w:pPr>
              <w:pStyle w:val="ListParagraph"/>
              <w:numPr>
                <w:ilvl w:val="0"/>
                <w:numId w:val="52"/>
              </w:numPr>
              <w:rPr>
                <w:rFonts w:cs="Arial"/>
              </w:rPr>
            </w:pPr>
            <w:r w:rsidRPr="65FCFA20">
              <w:rPr>
                <w:rFonts w:cs="Arial"/>
              </w:rPr>
              <w:lastRenderedPageBreak/>
              <w:t xml:space="preserve">Tamoxifen: increased risk of retinal toxicity, necessitates annual ophthalmic monitoring (see </w:t>
            </w:r>
            <w:hyperlink w:anchor="six_monitoring">
              <w:r w:rsidRPr="65FCFA20">
                <w:rPr>
                  <w:rStyle w:val="Hyperlink"/>
                  <w:rFonts w:cs="Arial"/>
                </w:rPr>
                <w:t>section 6</w:t>
              </w:r>
            </w:hyperlink>
            <w:r w:rsidRPr="65FCFA20">
              <w:rPr>
                <w:rFonts w:cs="Arial"/>
              </w:rPr>
              <w:t>).</w:t>
            </w:r>
          </w:p>
          <w:p w14:paraId="3E47C541" w14:textId="77777777" w:rsidR="001E6FEF" w:rsidRDefault="001E6FEF" w:rsidP="001E6FEF">
            <w:pPr>
              <w:rPr>
                <w:rFonts w:cs="Arial"/>
                <w:b/>
                <w:bCs/>
              </w:rPr>
            </w:pPr>
          </w:p>
          <w:p w14:paraId="62671678" w14:textId="77777777" w:rsidR="001E6FEF" w:rsidRPr="00D32858" w:rsidRDefault="001E6FEF" w:rsidP="001E6FEF">
            <w:pPr>
              <w:pStyle w:val="Heading4"/>
            </w:pPr>
            <w:r w:rsidRPr="00D32858">
              <w:t>The following drugs may be prescribed with caution:</w:t>
            </w:r>
          </w:p>
          <w:p w14:paraId="27D5DADA" w14:textId="77777777" w:rsidR="001E6FEF" w:rsidRDefault="001E6FEF" w:rsidP="001E6FEF">
            <w:pPr>
              <w:pStyle w:val="ListParagraph"/>
              <w:numPr>
                <w:ilvl w:val="0"/>
                <w:numId w:val="52"/>
              </w:numPr>
              <w:rPr>
                <w:rFonts w:cs="Arial"/>
              </w:rPr>
            </w:pPr>
            <w:r>
              <w:rPr>
                <w:rFonts w:cs="Arial"/>
              </w:rPr>
              <w:t xml:space="preserve">Macrolide antibiotics (e.g. azithromycin, erythromycin, clarithromycin): increased risk of cardiovascular events and cardiovascular mortality. Carefully consider the benefits and risks before prescribing this combination. See </w:t>
            </w:r>
            <w:hyperlink r:id="rId16" w:history="1">
              <w:r w:rsidRPr="00FA35C7">
                <w:rPr>
                  <w:rStyle w:val="Hyperlink"/>
                  <w:rFonts w:cs="Arial"/>
                </w:rPr>
                <w:t>MHRA advice</w:t>
              </w:r>
            </w:hyperlink>
            <w:r>
              <w:rPr>
                <w:rFonts w:cs="Arial"/>
              </w:rPr>
              <w:t xml:space="preserve">. </w:t>
            </w:r>
          </w:p>
          <w:p w14:paraId="5239AE31" w14:textId="77777777" w:rsidR="001E6FEF" w:rsidRPr="00D32858" w:rsidRDefault="001E6FEF" w:rsidP="001E6FEF">
            <w:pPr>
              <w:pStyle w:val="ListParagraph"/>
              <w:numPr>
                <w:ilvl w:val="0"/>
                <w:numId w:val="52"/>
              </w:numPr>
              <w:rPr>
                <w:rFonts w:cs="Arial"/>
              </w:rPr>
            </w:pPr>
            <w:r w:rsidRPr="00D32858">
              <w:rPr>
                <w:rFonts w:cs="Arial"/>
              </w:rPr>
              <w:t>Antidiabetic drugs and/or insulin: hypoglycaemic effect may be enhanced, may need dose adjustment of antidiabetic medication.</w:t>
            </w:r>
          </w:p>
          <w:p w14:paraId="09DC7535" w14:textId="77777777" w:rsidR="001E6FEF" w:rsidRDefault="001E6FEF" w:rsidP="65FCFA20">
            <w:pPr>
              <w:pStyle w:val="ListParagraph"/>
              <w:numPr>
                <w:ilvl w:val="0"/>
                <w:numId w:val="52"/>
              </w:numPr>
              <w:rPr>
                <w:rFonts w:cs="Arial"/>
              </w:rPr>
            </w:pPr>
            <w:r w:rsidRPr="65FCFA20">
              <w:rPr>
                <w:rFonts w:cs="Arial"/>
              </w:rPr>
              <w:t>Digoxin: possible increase in plasma concentration of digoxin.</w:t>
            </w:r>
          </w:p>
          <w:p w14:paraId="698918D7" w14:textId="77777777" w:rsidR="001E6FEF" w:rsidRPr="00D32858" w:rsidRDefault="001E6FEF" w:rsidP="001E6FEF">
            <w:pPr>
              <w:pStyle w:val="ListParagraph"/>
              <w:numPr>
                <w:ilvl w:val="0"/>
                <w:numId w:val="52"/>
              </w:numPr>
              <w:rPr>
                <w:rFonts w:cs="Arial"/>
              </w:rPr>
            </w:pPr>
            <w:r w:rsidRPr="00D32858">
              <w:rPr>
                <w:rFonts w:cs="Arial"/>
              </w:rPr>
              <w:t xml:space="preserve">Antacids and calcium carbonate-containing supplements: may reduce absorption of hydroxychloroquine; separate administration by at least four hours. Other calcium salts do not appear to interact. </w:t>
            </w:r>
          </w:p>
          <w:p w14:paraId="4B8ADED9" w14:textId="77777777" w:rsidR="001E6FEF" w:rsidRPr="00D32858" w:rsidRDefault="001E6FEF" w:rsidP="65FCFA20">
            <w:pPr>
              <w:pStyle w:val="ListParagraph"/>
              <w:numPr>
                <w:ilvl w:val="0"/>
                <w:numId w:val="52"/>
              </w:numPr>
              <w:rPr>
                <w:rFonts w:cs="Arial"/>
              </w:rPr>
            </w:pPr>
            <w:r w:rsidRPr="65FCFA20">
              <w:rPr>
                <w:rFonts w:cs="Arial"/>
              </w:rPr>
              <w:t xml:space="preserve">Antiepileptics: activity of antiepileptic drugs may be impaired with hydroxychloroquine. Additionally, hydroxychloroquine may lower the seizure threshold.  </w:t>
            </w:r>
          </w:p>
          <w:p w14:paraId="2646680C" w14:textId="77777777" w:rsidR="001E6FEF" w:rsidRPr="001E6FEF" w:rsidRDefault="001E6FEF" w:rsidP="001E6FEF">
            <w:pPr>
              <w:pStyle w:val="ListParagraph"/>
              <w:numPr>
                <w:ilvl w:val="0"/>
                <w:numId w:val="52"/>
              </w:numPr>
            </w:pPr>
            <w:r w:rsidRPr="00D32858">
              <w:rPr>
                <w:rFonts w:cs="Arial"/>
              </w:rPr>
              <w:t>Neostigmine and pyridostigmine: effects may be antagonised by hydroxychloroquine.</w:t>
            </w:r>
          </w:p>
          <w:p w14:paraId="11735DD8" w14:textId="08B5172A" w:rsidR="001E6FEF" w:rsidRPr="00FE3EEF" w:rsidRDefault="001E6FEF" w:rsidP="001E6FEF">
            <w:pPr>
              <w:pStyle w:val="ListParagraph"/>
              <w:numPr>
                <w:ilvl w:val="0"/>
                <w:numId w:val="52"/>
              </w:numPr>
            </w:pPr>
            <w:r w:rsidRPr="00D32858">
              <w:rPr>
                <w:rFonts w:cs="Arial"/>
              </w:rPr>
              <w:t>Intra-dermal rabies vaccine: possible reduced antibody response</w:t>
            </w:r>
          </w:p>
        </w:tc>
      </w:tr>
    </w:tbl>
    <w:p w14:paraId="688E2163" w14:textId="77777777" w:rsidR="00013B8F" w:rsidRDefault="00013B8F" w:rsidP="00013B8F">
      <w:bookmarkStart w:id="17" w:name="_Toc149231794"/>
    </w:p>
    <w:p w14:paraId="5F2EB721" w14:textId="373432D0" w:rsidR="0051526F" w:rsidRDefault="0051526F" w:rsidP="0051526F">
      <w:pPr>
        <w:pStyle w:val="Heading2"/>
        <w:rPr>
          <w:rFonts w:cs="Arial"/>
        </w:rPr>
      </w:pPr>
      <w:r w:rsidRPr="00F321FC">
        <w:rPr>
          <w:rFonts w:cs="Arial"/>
        </w:rPr>
        <w:t>Adverse effects and management</w:t>
      </w:r>
      <w:bookmarkEnd w:id="17"/>
    </w:p>
    <w:p w14:paraId="41070243" w14:textId="0BCB159E" w:rsidR="0051526F" w:rsidRDefault="0051526F" w:rsidP="0051526F">
      <w:pPr>
        <w:spacing w:after="120"/>
        <w:rPr>
          <w:rFonts w:cs="Arial"/>
          <w:b/>
          <w:bCs/>
        </w:rPr>
      </w:pPr>
      <w:r w:rsidRPr="00D32858">
        <w:rPr>
          <w:rFonts w:cs="Arial"/>
        </w:rPr>
        <w:t>As well as responding to absolute values in laboratory tests, a rapid change or a consistent trend in any value should prompt caution and extra vigilance</w:t>
      </w:r>
      <w:r>
        <w:rPr>
          <w:rFonts w:cs="Arial"/>
          <w:b/>
          <w:bCs/>
        </w:rPr>
        <w:t>.</w:t>
      </w:r>
      <w:r w:rsidR="005E28D0" w:rsidRPr="005E28D0">
        <w:rPr>
          <w:rStyle w:val="Hyperlink"/>
          <w:rFonts w:eastAsia="Calibri" w:cs="Arial"/>
          <w:bCs/>
          <w:noProof/>
          <w:color w:val="000000"/>
          <w:u w:val="none"/>
          <w:lang w:eastAsia="en-GB"/>
        </w:rPr>
        <w:t xml:space="preserve"> </w:t>
      </w:r>
      <w:r w:rsidR="005E28D0" w:rsidRPr="0041687B">
        <w:rPr>
          <w:rStyle w:val="Hyperlink"/>
          <w:rFonts w:eastAsia="Calibri" w:cs="Arial"/>
          <w:bCs/>
          <w:noProof/>
          <w:color w:val="000000"/>
          <w:u w:val="none"/>
          <w:lang w:eastAsia="en-GB"/>
        </w:rPr>
        <w:t xml:space="preserve">For information on incidence of ADRs see relevant </w:t>
      </w:r>
      <w:r w:rsidR="005E28D0" w:rsidRPr="007A56FB">
        <w:rPr>
          <w:rStyle w:val="Hyperlink"/>
          <w:rFonts w:eastAsia="Calibri" w:cs="Arial"/>
          <w:bCs/>
          <w:noProof/>
          <w:color w:val="000000"/>
          <w:u w:val="none"/>
          <w:lang w:eastAsia="en-GB"/>
        </w:rPr>
        <w:t>S</w:t>
      </w:r>
      <w:r w:rsidR="005E28D0" w:rsidRPr="007A56FB">
        <w:rPr>
          <w:rStyle w:val="Hyperlink"/>
          <w:rFonts w:eastAsia="Calibri"/>
          <w:bCs/>
          <w:noProof/>
          <w:color w:val="000000"/>
          <w:u w:val="none"/>
          <w:lang w:eastAsia="en-GB"/>
        </w:rPr>
        <w:t>PCs</w:t>
      </w:r>
      <w:r w:rsidR="005E28D0" w:rsidRPr="00D13A1C">
        <w:rPr>
          <w:rStyle w:val="Hyperlink"/>
          <w:rFonts w:eastAsia="Calibri"/>
          <w:bCs/>
          <w:noProof/>
          <w:color w:val="000000"/>
          <w:u w:val="none"/>
          <w:lang w:eastAsia="en-GB"/>
        </w:rPr>
        <w:t>.</w:t>
      </w:r>
    </w:p>
    <w:p w14:paraId="338E7A1F" w14:textId="53E2DB61" w:rsidR="0051526F" w:rsidRPr="0041687B" w:rsidRDefault="0051526F" w:rsidP="0051526F">
      <w:pPr>
        <w:spacing w:after="120"/>
        <w:rPr>
          <w:rStyle w:val="Hyperlink"/>
          <w:rFonts w:eastAsia="Calibri" w:cs="Arial"/>
          <w:noProof/>
          <w:lang w:eastAsia="en-GB"/>
        </w:rPr>
      </w:pPr>
      <w:r w:rsidRPr="0041687B">
        <w:rPr>
          <w:rFonts w:cs="Arial"/>
          <w:b/>
          <w:bCs/>
        </w:rPr>
        <w:t xml:space="preserve">Any serious adverse reactions should be reported to the MHRA via the Yellow Card scheme. Visit </w:t>
      </w:r>
      <w:hyperlink r:id="rId17" w:tooltip="http://www.mhra.gov.uk/yellowcard" w:history="1">
        <w:r w:rsidRPr="0041687B">
          <w:rPr>
            <w:rStyle w:val="Hyperlink"/>
            <w:rFonts w:eastAsia="Calibri" w:cs="Arial"/>
            <w:noProof/>
            <w:lang w:eastAsia="en-GB"/>
          </w:rPr>
          <w:t>www.mhra.gov.uk/yellowcard</w:t>
        </w:r>
      </w:hyperlink>
      <w:r w:rsidRPr="001B5F28">
        <w:rPr>
          <w:rStyle w:val="Hyperlink"/>
          <w:rFonts w:eastAsia="Calibri" w:cs="Arial"/>
          <w:noProof/>
          <w:color w:val="000000"/>
          <w:u w:val="none"/>
          <w:lang w:eastAsia="en-GB"/>
        </w:rPr>
        <w:t>.</w:t>
      </w:r>
    </w:p>
    <w:p w14:paraId="50ECDB93" w14:textId="5BB67DA1" w:rsidR="0051526F" w:rsidRDefault="005E28D0" w:rsidP="0051526F">
      <w:r w:rsidRPr="65FCFA20">
        <w:t xml:space="preserve">Advice based on shared care guidelines published by </w:t>
      </w:r>
      <w:proofErr w:type="gramStart"/>
      <w:r w:rsidRPr="65FCFA20">
        <w:t>NHS England, and</w:t>
      </w:r>
      <w:proofErr w:type="gramEnd"/>
      <w:r w:rsidRPr="65FCFA20">
        <w:t xml:space="preserve"> checked against current guidance.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7F454127" w14:textId="77777777" w:rsidTr="65FCFA20">
        <w:trPr>
          <w:cantSplit/>
          <w:tblHeader/>
        </w:trPr>
        <w:tc>
          <w:tcPr>
            <w:tcW w:w="5245" w:type="dxa"/>
            <w:shd w:val="clear" w:color="auto" w:fill="F2F2F2" w:themeFill="background1" w:themeFillShade="F2"/>
          </w:tcPr>
          <w:p w14:paraId="67AF18F0" w14:textId="01ED708F" w:rsidR="0051526F" w:rsidRPr="00BF174A" w:rsidRDefault="0051526F" w:rsidP="00BF174A">
            <w:pPr>
              <w:rPr>
                <w:b/>
                <w:bCs/>
                <w:u w:val="single"/>
              </w:rPr>
            </w:pPr>
            <w:r w:rsidRPr="00BF174A">
              <w:rPr>
                <w:b/>
                <w:bCs/>
                <w:u w:val="single"/>
              </w:rPr>
              <w:t>Adverse effect</w:t>
            </w:r>
          </w:p>
        </w:tc>
        <w:tc>
          <w:tcPr>
            <w:tcW w:w="5245" w:type="dxa"/>
            <w:shd w:val="clear" w:color="auto" w:fill="F2F2F2" w:themeFill="background1" w:themeFillShade="F2"/>
          </w:tcPr>
          <w:p w14:paraId="7FD73CD2" w14:textId="63413BED" w:rsidR="0051526F" w:rsidRPr="00BF174A" w:rsidRDefault="0051526F" w:rsidP="00BF174A">
            <w:pPr>
              <w:rPr>
                <w:b/>
                <w:bCs/>
                <w:u w:val="single"/>
              </w:rPr>
            </w:pPr>
            <w:r w:rsidRPr="00BF174A">
              <w:rPr>
                <w:b/>
                <w:bCs/>
                <w:u w:val="single"/>
              </w:rPr>
              <w:t>Management</w:t>
            </w:r>
          </w:p>
        </w:tc>
      </w:tr>
      <w:tr w:rsidR="00013B8F" w:rsidRPr="00F321FC" w14:paraId="01268D2D" w14:textId="77777777" w:rsidTr="65FCFA20">
        <w:trPr>
          <w:cantSplit/>
          <w:trHeight w:val="48"/>
        </w:trPr>
        <w:tc>
          <w:tcPr>
            <w:tcW w:w="5245" w:type="dxa"/>
          </w:tcPr>
          <w:p w14:paraId="6A99262A" w14:textId="4ACDC5C6" w:rsidR="00013B8F" w:rsidRPr="00F321FC" w:rsidRDefault="00013B8F" w:rsidP="00013B8F">
            <w:pPr>
              <w:rPr>
                <w:rFonts w:cs="Arial"/>
              </w:rPr>
            </w:pPr>
            <w:r w:rsidRPr="00D32858">
              <w:rPr>
                <w:rFonts w:eastAsia="Times New Roman" w:cs="Arial"/>
                <w:lang w:eastAsia="en-GB"/>
              </w:rPr>
              <w:t>Retinopathy monitoring: possible or definite retinal toxicity</w:t>
            </w:r>
          </w:p>
        </w:tc>
        <w:tc>
          <w:tcPr>
            <w:tcW w:w="5245" w:type="dxa"/>
          </w:tcPr>
          <w:p w14:paraId="22308F34" w14:textId="77777777" w:rsidR="00CA6D16" w:rsidRPr="00CA6D16" w:rsidRDefault="00013B8F" w:rsidP="65FCFA20">
            <w:pPr>
              <w:pStyle w:val="ListParagraph"/>
              <w:numPr>
                <w:ilvl w:val="0"/>
                <w:numId w:val="57"/>
              </w:numPr>
              <w:rPr>
                <w:rFonts w:cs="Arial"/>
              </w:rPr>
            </w:pPr>
            <w:r w:rsidRPr="65FCFA20">
              <w:rPr>
                <w:rFonts w:eastAsia="Times New Roman" w:cs="Arial"/>
                <w:b/>
                <w:bCs/>
                <w:lang w:eastAsia="en-GB"/>
              </w:rPr>
              <w:t xml:space="preserve">Possible retinopathy: </w:t>
            </w:r>
            <w:r w:rsidRPr="65FCFA20">
              <w:rPr>
                <w:rFonts w:eastAsia="Times New Roman" w:cs="Arial"/>
                <w:lang w:eastAsia="en-GB"/>
              </w:rPr>
              <w:t xml:space="preserve">Consider whether withholding is in the best interests of the patient (See </w:t>
            </w:r>
            <w:hyperlink r:id="rId18">
              <w:proofErr w:type="spellStart"/>
              <w:r w:rsidRPr="65FCFA20">
                <w:rPr>
                  <w:rStyle w:val="Hyperlink"/>
                  <w:rFonts w:eastAsia="Times New Roman" w:cs="Arial"/>
                  <w:lang w:eastAsia="en-GB"/>
                </w:rPr>
                <w:t>RCOphth</w:t>
              </w:r>
              <w:proofErr w:type="spellEnd"/>
              <w:r w:rsidRPr="65FCFA20">
                <w:rPr>
                  <w:rStyle w:val="Hyperlink"/>
                  <w:rFonts w:eastAsia="Times New Roman" w:cs="Arial"/>
                  <w:lang w:eastAsia="en-GB"/>
                </w:rPr>
                <w:t xml:space="preserve"> guidelines</w:t>
              </w:r>
            </w:hyperlink>
            <w:r w:rsidRPr="65FCFA20">
              <w:rPr>
                <w:rFonts w:eastAsia="Times New Roman" w:cs="Arial"/>
                <w:lang w:eastAsia="en-GB"/>
              </w:rPr>
              <w:t xml:space="preserve"> for recommendations on managing possible retinopathy), specialist to be informed and to determine follow-up plan.</w:t>
            </w:r>
          </w:p>
          <w:p w14:paraId="45A5B53C" w14:textId="540A1766" w:rsidR="00013B8F" w:rsidRPr="00CA6D16" w:rsidRDefault="00013B8F" w:rsidP="00013B8F">
            <w:pPr>
              <w:pStyle w:val="ListParagraph"/>
              <w:numPr>
                <w:ilvl w:val="0"/>
                <w:numId w:val="57"/>
              </w:numPr>
              <w:rPr>
                <w:rFonts w:cs="Arial"/>
              </w:rPr>
            </w:pPr>
            <w:r w:rsidRPr="00CA6D16">
              <w:rPr>
                <w:rFonts w:eastAsia="Times New Roman" w:cs="Arial"/>
                <w:b/>
                <w:bCs/>
                <w:lang w:eastAsia="en-GB"/>
              </w:rPr>
              <w:t>Definite retinopathy:</w:t>
            </w:r>
            <w:r w:rsidRPr="00CA6D16">
              <w:rPr>
                <w:rFonts w:eastAsia="Times New Roman" w:cs="Arial"/>
                <w:bCs/>
                <w:lang w:eastAsia="en-GB"/>
              </w:rPr>
              <w:t xml:space="preserve"> primary care to ensure </w:t>
            </w:r>
            <w:r w:rsidRPr="00CA6D16">
              <w:rPr>
                <w:rFonts w:eastAsia="Times New Roman" w:cs="Arial"/>
                <w:b/>
                <w:bCs/>
                <w:lang w:eastAsia="en-GB"/>
              </w:rPr>
              <w:t>withheld</w:t>
            </w:r>
            <w:r w:rsidRPr="00CA6D16">
              <w:rPr>
                <w:rFonts w:eastAsia="Times New Roman" w:cs="Arial"/>
                <w:bCs/>
                <w:lang w:eastAsia="en-GB"/>
              </w:rPr>
              <w:t xml:space="preserve"> pending urgent discussion between patient and specialist.</w:t>
            </w:r>
          </w:p>
        </w:tc>
      </w:tr>
      <w:tr w:rsidR="00013B8F" w:rsidRPr="00F321FC" w14:paraId="7CEAAB39" w14:textId="77777777" w:rsidTr="65FCFA20">
        <w:trPr>
          <w:cantSplit/>
          <w:trHeight w:val="48"/>
        </w:trPr>
        <w:tc>
          <w:tcPr>
            <w:tcW w:w="5245" w:type="dxa"/>
          </w:tcPr>
          <w:p w14:paraId="2386555E" w14:textId="0F9D178B" w:rsidR="00013B8F" w:rsidRPr="0051526F" w:rsidRDefault="00013B8F" w:rsidP="00013B8F">
            <w:pPr>
              <w:spacing w:line="360" w:lineRule="atLeast"/>
              <w:rPr>
                <w:rFonts w:eastAsia="Times New Roman" w:cstheme="minorHAnsi"/>
                <w:lang w:eastAsia="en-GB"/>
              </w:rPr>
            </w:pPr>
            <w:r w:rsidRPr="00D32858">
              <w:rPr>
                <w:rFonts w:eastAsia="Times New Roman" w:cs="Arial"/>
                <w:lang w:eastAsia="en-GB"/>
              </w:rPr>
              <w:t>Vision disturbances including blurred vision, changes in visual acuity or abnormal colour vision</w:t>
            </w:r>
          </w:p>
        </w:tc>
        <w:tc>
          <w:tcPr>
            <w:tcW w:w="5245" w:type="dxa"/>
          </w:tcPr>
          <w:p w14:paraId="645A7295" w14:textId="189CDD94" w:rsidR="00013B8F" w:rsidRPr="00F321FC" w:rsidRDefault="00013B8F" w:rsidP="00013B8F">
            <w:pPr>
              <w:rPr>
                <w:rFonts w:cs="Arial"/>
              </w:rPr>
            </w:pPr>
            <w:r w:rsidRPr="00D32858">
              <w:rPr>
                <w:rFonts w:eastAsia="Times New Roman" w:cs="Arial"/>
                <w:lang w:eastAsia="en-GB"/>
              </w:rPr>
              <w:t>Refer to optometrist/ ophthalmologist; discuss with specialist team</w:t>
            </w:r>
          </w:p>
        </w:tc>
      </w:tr>
      <w:tr w:rsidR="00013B8F" w:rsidRPr="00F321FC" w14:paraId="3E83576D" w14:textId="77777777" w:rsidTr="65FCFA20">
        <w:trPr>
          <w:cantSplit/>
          <w:trHeight w:val="48"/>
        </w:trPr>
        <w:tc>
          <w:tcPr>
            <w:tcW w:w="5245" w:type="dxa"/>
          </w:tcPr>
          <w:p w14:paraId="08C53FEC" w14:textId="54ED4570" w:rsidR="00013B8F" w:rsidRPr="00F321FC" w:rsidRDefault="00013B8F" w:rsidP="00013B8F">
            <w:pPr>
              <w:rPr>
                <w:rFonts w:cs="Arial"/>
              </w:rPr>
            </w:pPr>
            <w:r w:rsidRPr="00D32858">
              <w:rPr>
                <w:rFonts w:eastAsia="Times New Roman" w:cs="Arial"/>
                <w:lang w:eastAsia="en-GB"/>
              </w:rPr>
              <w:t>Symptoms or signs of cardiomyopathy e.g. breathlessness, swelling in the abdomen and ankles, palpitations, cardiac conduction disorders and ECG changes.</w:t>
            </w:r>
          </w:p>
        </w:tc>
        <w:tc>
          <w:tcPr>
            <w:tcW w:w="5245" w:type="dxa"/>
          </w:tcPr>
          <w:p w14:paraId="2D8DCF40" w14:textId="77777777" w:rsidR="00013B8F" w:rsidRPr="00D32858" w:rsidRDefault="00013B8F" w:rsidP="00013B8F">
            <w:pPr>
              <w:rPr>
                <w:rFonts w:eastAsia="Times New Roman" w:cs="Arial"/>
                <w:lang w:eastAsia="en-GB"/>
              </w:rPr>
            </w:pPr>
            <w:r w:rsidRPr="00D32858">
              <w:rPr>
                <w:rFonts w:eastAsia="Times New Roman" w:cs="Arial"/>
                <w:lang w:eastAsia="en-GB"/>
              </w:rPr>
              <w:t>Review for reversible causes.</w:t>
            </w:r>
          </w:p>
          <w:p w14:paraId="0AF04492" w14:textId="3454A3DE" w:rsidR="00013B8F" w:rsidRPr="00F321FC" w:rsidRDefault="00013B8F" w:rsidP="00013B8F">
            <w:pPr>
              <w:rPr>
                <w:rFonts w:cs="Arial"/>
              </w:rPr>
            </w:pPr>
            <w:r w:rsidRPr="00D32858">
              <w:rPr>
                <w:rFonts w:eastAsia="Times New Roman" w:cs="Arial"/>
                <w:lang w:eastAsia="en-GB"/>
              </w:rPr>
              <w:t>Discuss with specialist team urgently and consider withholding. If cardiomyopathy occurs due to hydroxychloroquine treatment, hydroxychloroquine must be withheld.</w:t>
            </w:r>
          </w:p>
        </w:tc>
      </w:tr>
      <w:tr w:rsidR="00013B8F" w:rsidRPr="00F321FC" w14:paraId="24831E88" w14:textId="77777777" w:rsidTr="65FCFA20">
        <w:trPr>
          <w:cantSplit/>
          <w:trHeight w:val="48"/>
        </w:trPr>
        <w:tc>
          <w:tcPr>
            <w:tcW w:w="5245" w:type="dxa"/>
          </w:tcPr>
          <w:p w14:paraId="1928A53C" w14:textId="2E1F386B" w:rsidR="00013B8F" w:rsidRPr="00F321FC" w:rsidRDefault="00013B8F" w:rsidP="00013B8F">
            <w:pPr>
              <w:rPr>
                <w:rFonts w:cs="Arial"/>
              </w:rPr>
            </w:pPr>
            <w:r w:rsidRPr="00D32858">
              <w:rPr>
                <w:rFonts w:eastAsia="Times New Roman" w:cs="Arial"/>
                <w:lang w:eastAsia="en-GB"/>
              </w:rPr>
              <w:lastRenderedPageBreak/>
              <w:t>Headache, gastrointestinal disturbances e.g. abdominal pain, nausea, diarrhoea, vomiting</w:t>
            </w:r>
          </w:p>
        </w:tc>
        <w:tc>
          <w:tcPr>
            <w:tcW w:w="5245" w:type="dxa"/>
          </w:tcPr>
          <w:p w14:paraId="3EAA40C2" w14:textId="7EC42042" w:rsidR="00013B8F" w:rsidRPr="00F321FC" w:rsidRDefault="00013B8F" w:rsidP="00013B8F">
            <w:pPr>
              <w:rPr>
                <w:rFonts w:cs="Arial"/>
              </w:rPr>
            </w:pPr>
            <w:r w:rsidRPr="00D32858">
              <w:rPr>
                <w:rFonts w:eastAsia="Times New Roman" w:cs="Arial"/>
                <w:lang w:eastAsia="en-GB"/>
              </w:rPr>
              <w:t>Review for reversible causes; discuss with specialist team if persistent or severe</w:t>
            </w:r>
          </w:p>
        </w:tc>
      </w:tr>
      <w:tr w:rsidR="00013B8F" w:rsidRPr="00F321FC" w14:paraId="7B45BBDF" w14:textId="77777777" w:rsidTr="65FCFA20">
        <w:trPr>
          <w:cantSplit/>
          <w:trHeight w:val="48"/>
        </w:trPr>
        <w:tc>
          <w:tcPr>
            <w:tcW w:w="5245" w:type="dxa"/>
          </w:tcPr>
          <w:p w14:paraId="742A5874" w14:textId="45167771" w:rsidR="00013B8F" w:rsidRPr="00F321FC" w:rsidRDefault="00013B8F" w:rsidP="65FCFA20">
            <w:pPr>
              <w:rPr>
                <w:rFonts w:cs="Arial"/>
              </w:rPr>
            </w:pPr>
            <w:r w:rsidRPr="65FCFA20">
              <w:rPr>
                <w:rFonts w:eastAsia="Times New Roman" w:cs="Arial"/>
                <w:lang w:eastAsia="en-GB"/>
              </w:rPr>
              <w:t xml:space="preserve">Skin and subcutaneous tissue disorders e.g. pruritic erythematous macular rash occurring soon after treatment commenced, blue-black pigmentation of the skin, bleaching of skin &amp; hair  </w:t>
            </w:r>
          </w:p>
        </w:tc>
        <w:tc>
          <w:tcPr>
            <w:tcW w:w="5245" w:type="dxa"/>
          </w:tcPr>
          <w:p w14:paraId="3B5D0997" w14:textId="09F10072" w:rsidR="00013B8F" w:rsidRPr="00F321FC" w:rsidRDefault="00013B8F" w:rsidP="00013B8F">
            <w:pPr>
              <w:rPr>
                <w:rFonts w:cs="Arial"/>
              </w:rPr>
            </w:pPr>
            <w:r w:rsidRPr="00D32858">
              <w:rPr>
                <w:rFonts w:eastAsia="Times New Roman" w:cs="Arial"/>
                <w:lang w:eastAsia="en-GB"/>
              </w:rPr>
              <w:t>Withhold and discuss with specialist team</w:t>
            </w:r>
          </w:p>
        </w:tc>
      </w:tr>
      <w:tr w:rsidR="00013B8F" w:rsidRPr="00F321FC" w14:paraId="6BD1EF9B" w14:textId="77777777" w:rsidTr="65FCFA20">
        <w:trPr>
          <w:cantSplit/>
          <w:trHeight w:val="48"/>
        </w:trPr>
        <w:tc>
          <w:tcPr>
            <w:tcW w:w="5245" w:type="dxa"/>
          </w:tcPr>
          <w:p w14:paraId="5E311FBE" w14:textId="7DAAD972" w:rsidR="00013B8F" w:rsidRPr="00F321FC" w:rsidRDefault="00013B8F" w:rsidP="00013B8F">
            <w:pPr>
              <w:rPr>
                <w:rFonts w:cs="Arial"/>
              </w:rPr>
            </w:pPr>
            <w:r w:rsidRPr="00D32858">
              <w:rPr>
                <w:rFonts w:eastAsia="Times New Roman" w:cs="Arial"/>
                <w:lang w:eastAsia="en-GB"/>
              </w:rPr>
              <w:t>Skeletal muscle myopathy or neuromyopathy</w:t>
            </w:r>
          </w:p>
        </w:tc>
        <w:tc>
          <w:tcPr>
            <w:tcW w:w="5245" w:type="dxa"/>
          </w:tcPr>
          <w:p w14:paraId="25E56149" w14:textId="1E64E7EC" w:rsidR="00013B8F" w:rsidRPr="00F321FC" w:rsidRDefault="00013B8F" w:rsidP="00013B8F">
            <w:pPr>
              <w:rPr>
                <w:rFonts w:cs="Arial"/>
              </w:rPr>
            </w:pPr>
            <w:r w:rsidRPr="00D32858">
              <w:rPr>
                <w:rFonts w:eastAsia="Times New Roman" w:cs="Arial"/>
                <w:lang w:eastAsia="en-GB"/>
              </w:rPr>
              <w:t>Review for reversible causes; withhold and discuss with specialist team</w:t>
            </w:r>
          </w:p>
        </w:tc>
      </w:tr>
      <w:tr w:rsidR="00013B8F" w:rsidRPr="00F321FC" w14:paraId="525ED011" w14:textId="77777777" w:rsidTr="65FCFA20">
        <w:trPr>
          <w:cantSplit/>
          <w:trHeight w:val="48"/>
        </w:trPr>
        <w:tc>
          <w:tcPr>
            <w:tcW w:w="5245" w:type="dxa"/>
          </w:tcPr>
          <w:p w14:paraId="056AACBC" w14:textId="202205CE" w:rsidR="00013B8F" w:rsidRPr="00F321FC" w:rsidRDefault="00013B8F" w:rsidP="00013B8F">
            <w:pPr>
              <w:rPr>
                <w:rFonts w:cs="Arial"/>
              </w:rPr>
            </w:pPr>
            <w:r w:rsidRPr="00D32858">
              <w:rPr>
                <w:rFonts w:eastAsia="Times New Roman" w:cs="Arial"/>
                <w:lang w:eastAsia="en-GB"/>
              </w:rPr>
              <w:t>Signs and symptoms of bone marrow suppression e.g. sore throat, oral ulceration, abnormal bleeding/bruising, signs of infection</w:t>
            </w:r>
          </w:p>
        </w:tc>
        <w:tc>
          <w:tcPr>
            <w:tcW w:w="5245" w:type="dxa"/>
          </w:tcPr>
          <w:p w14:paraId="544564BC" w14:textId="77777777" w:rsidR="00013B8F" w:rsidRPr="00D32858" w:rsidRDefault="00013B8F" w:rsidP="65FCFA20">
            <w:pPr>
              <w:rPr>
                <w:rFonts w:eastAsia="Times New Roman" w:cs="Arial"/>
                <w:lang w:eastAsia="en-GB"/>
              </w:rPr>
            </w:pPr>
            <w:r w:rsidRPr="65FCFA20">
              <w:rPr>
                <w:rFonts w:eastAsia="Times New Roman" w:cs="Arial"/>
                <w:lang w:eastAsia="en-GB"/>
              </w:rPr>
              <w:t>Review for reversible causes. Be aware that the underlying condition may contribute to bone marrow suppression. Although the risk is low, if bone marrow suppression is suspected, discontinue treatment and obtain an urgent FBC and other bloods as appropriate. Discuss with specialist team.</w:t>
            </w:r>
          </w:p>
          <w:p w14:paraId="499E20D8" w14:textId="4CF4DA18" w:rsidR="00013B8F" w:rsidRPr="00F321FC" w:rsidRDefault="00013B8F" w:rsidP="00013B8F">
            <w:pPr>
              <w:rPr>
                <w:rFonts w:cs="Arial"/>
              </w:rPr>
            </w:pPr>
          </w:p>
        </w:tc>
      </w:tr>
      <w:tr w:rsidR="00013B8F" w:rsidRPr="00F321FC" w14:paraId="1D57B6D7" w14:textId="77777777" w:rsidTr="65FCFA20">
        <w:trPr>
          <w:cantSplit/>
          <w:trHeight w:val="48"/>
        </w:trPr>
        <w:tc>
          <w:tcPr>
            <w:tcW w:w="5245" w:type="dxa"/>
          </w:tcPr>
          <w:p w14:paraId="05366348" w14:textId="77777777" w:rsidR="00013B8F" w:rsidRDefault="00013B8F" w:rsidP="00013B8F">
            <w:pPr>
              <w:rPr>
                <w:rFonts w:eastAsia="Times New Roman" w:cs="Arial"/>
                <w:lang w:eastAsia="en-GB"/>
              </w:rPr>
            </w:pPr>
            <w:r>
              <w:rPr>
                <w:rFonts w:eastAsia="Times New Roman" w:cs="Arial"/>
                <w:lang w:eastAsia="en-GB"/>
              </w:rPr>
              <w:t>New or worsening mental health problems</w:t>
            </w:r>
          </w:p>
          <w:p w14:paraId="0749D0BF" w14:textId="128B729D" w:rsidR="00013B8F" w:rsidRPr="00F321FC" w:rsidRDefault="00013B8F" w:rsidP="00013B8F">
            <w:pPr>
              <w:rPr>
                <w:rFonts w:cs="Arial"/>
              </w:rPr>
            </w:pPr>
            <w:r>
              <w:rPr>
                <w:rFonts w:eastAsia="Times New Roman" w:cs="Arial"/>
                <w:lang w:eastAsia="en-GB"/>
              </w:rPr>
              <w:t xml:space="preserve">Including </w:t>
            </w:r>
            <w:r w:rsidRPr="00DC7229">
              <w:rPr>
                <w:rFonts w:eastAsia="Times New Roman" w:cs="Arial"/>
                <w:lang w:eastAsia="en-GB"/>
              </w:rPr>
              <w:t>irrational thoughts, anxiety, hallucinations, and feeling confused or feeling depressed, including thoughts of self-harm or suicide</w:t>
            </w:r>
          </w:p>
        </w:tc>
        <w:tc>
          <w:tcPr>
            <w:tcW w:w="5245" w:type="dxa"/>
          </w:tcPr>
          <w:p w14:paraId="13AE35EE" w14:textId="0AB8A005" w:rsidR="00013B8F" w:rsidRPr="00F321FC" w:rsidRDefault="00013B8F" w:rsidP="00013B8F">
            <w:pPr>
              <w:rPr>
                <w:rFonts w:cs="Arial"/>
              </w:rPr>
            </w:pPr>
            <w:r>
              <w:rPr>
                <w:rFonts w:eastAsia="Times New Roman" w:cs="Arial"/>
                <w:lang w:eastAsia="en-GB"/>
              </w:rPr>
              <w:t xml:space="preserve">Manage as per local pathways. Discuss with specialist team. </w:t>
            </w:r>
          </w:p>
        </w:tc>
      </w:tr>
    </w:tbl>
    <w:p w14:paraId="09F0CA29"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268"/>
        <w:gridCol w:w="8193"/>
      </w:tblGrid>
      <w:tr w:rsidR="00013B8F" w:rsidRPr="00F321FC" w14:paraId="399D38CB" w14:textId="77777777" w:rsidTr="65FCFA20">
        <w:tc>
          <w:tcPr>
            <w:tcW w:w="2268" w:type="dxa"/>
          </w:tcPr>
          <w:p w14:paraId="139BFC3E" w14:textId="77777777" w:rsidR="00013B8F" w:rsidRDefault="00013B8F" w:rsidP="00013B8F">
            <w:pPr>
              <w:pStyle w:val="Heading2"/>
              <w:rPr>
                <w:rFonts w:cs="Arial"/>
              </w:rPr>
            </w:pPr>
            <w:bookmarkStart w:id="18" w:name="eleven_patient_advice"/>
            <w:bookmarkStart w:id="19" w:name="_Toc149231795"/>
            <w:r w:rsidRPr="00F321FC">
              <w:rPr>
                <w:rFonts w:cs="Arial"/>
              </w:rPr>
              <w:t>Advice to patients and carers</w:t>
            </w:r>
            <w:bookmarkEnd w:id="18"/>
            <w:bookmarkEnd w:id="19"/>
          </w:p>
          <w:p w14:paraId="4928E953" w14:textId="77777777" w:rsidR="00013B8F" w:rsidRDefault="00013B8F" w:rsidP="00013B8F"/>
          <w:p w14:paraId="7E51F76A" w14:textId="42531282" w:rsidR="00013B8F" w:rsidRPr="005D79FA" w:rsidRDefault="00013B8F" w:rsidP="00013B8F">
            <w:r w:rsidRPr="65FCFA20">
              <w:rPr>
                <w:rFonts w:cs="Arial"/>
              </w:rPr>
              <w:t xml:space="preserve">The specialist will counsel the patient </w:t>
            </w:r>
            <w:proofErr w:type="gramStart"/>
            <w:r w:rsidRPr="65FCFA20">
              <w:rPr>
                <w:rFonts w:cs="Arial"/>
              </w:rPr>
              <w:t>with regard to</w:t>
            </w:r>
            <w:proofErr w:type="gramEnd"/>
            <w:r w:rsidRPr="65FCFA20">
              <w:rPr>
                <w:rFonts w:cs="Arial"/>
              </w:rPr>
              <w:t xml:space="preserve"> the benefits and risks of treatment and will provide the patient with any relevant information and advice, including patient information leaflets on individual drugs.</w:t>
            </w:r>
          </w:p>
        </w:tc>
        <w:tc>
          <w:tcPr>
            <w:tcW w:w="8193" w:type="dxa"/>
          </w:tcPr>
          <w:p w14:paraId="0C4FEB6C" w14:textId="77777777" w:rsidR="00013B8F" w:rsidRPr="00AB6CC6" w:rsidRDefault="00013B8F" w:rsidP="00013B8F">
            <w:pPr>
              <w:pStyle w:val="Heading4"/>
            </w:pPr>
            <w:r w:rsidRPr="65FCFA20">
              <w:t xml:space="preserve">The patient should be advised to report any of the following signs or symptoms to their primary care prescriber without delay:          </w:t>
            </w:r>
          </w:p>
          <w:p w14:paraId="710744C8" w14:textId="77777777" w:rsidR="00013B8F" w:rsidRDefault="00013B8F" w:rsidP="00013B8F">
            <w:pPr>
              <w:numPr>
                <w:ilvl w:val="0"/>
                <w:numId w:val="58"/>
              </w:numPr>
              <w:rPr>
                <w:rFonts w:cs="Arial"/>
              </w:rPr>
            </w:pPr>
            <w:r w:rsidRPr="00C4062D">
              <w:rPr>
                <w:rFonts w:cs="Arial"/>
              </w:rPr>
              <w:t>Vision disturbances including blurred vision, changes in visual acuity or abnormal colour vision.</w:t>
            </w:r>
          </w:p>
          <w:p w14:paraId="3EE68F7D" w14:textId="77777777" w:rsidR="00013B8F" w:rsidRDefault="00013B8F" w:rsidP="00013B8F">
            <w:pPr>
              <w:numPr>
                <w:ilvl w:val="0"/>
                <w:numId w:val="58"/>
              </w:numPr>
              <w:rPr>
                <w:rFonts w:cs="Arial"/>
              </w:rPr>
            </w:pPr>
            <w:r>
              <w:rPr>
                <w:rFonts w:cs="Arial"/>
              </w:rPr>
              <w:t>B</w:t>
            </w:r>
            <w:r w:rsidRPr="003A512A">
              <w:rPr>
                <w:rFonts w:cs="Arial"/>
              </w:rPr>
              <w:t xml:space="preserve">reathlessness, swelling in the abdomen </w:t>
            </w:r>
            <w:r>
              <w:rPr>
                <w:rFonts w:cs="Arial"/>
              </w:rPr>
              <w:t xml:space="preserve">or </w:t>
            </w:r>
            <w:r w:rsidRPr="003A512A">
              <w:rPr>
                <w:rFonts w:cs="Arial"/>
              </w:rPr>
              <w:t>ankles, palpitations</w:t>
            </w:r>
            <w:r>
              <w:rPr>
                <w:rFonts w:cs="Arial"/>
              </w:rPr>
              <w:t>.</w:t>
            </w:r>
          </w:p>
          <w:p w14:paraId="2E1B785E" w14:textId="77777777" w:rsidR="00013B8F" w:rsidRPr="003A512A" w:rsidRDefault="00013B8F" w:rsidP="00013B8F">
            <w:pPr>
              <w:numPr>
                <w:ilvl w:val="0"/>
                <w:numId w:val="58"/>
              </w:numPr>
              <w:rPr>
                <w:rFonts w:cs="Arial"/>
              </w:rPr>
            </w:pPr>
            <w:r w:rsidRPr="003A512A">
              <w:rPr>
                <w:rFonts w:cs="Arial"/>
              </w:rPr>
              <w:t>Headache, gastrointestinal disturbances e.g. abdominal pain, nausea, diarrhoea, vomiting.</w:t>
            </w:r>
          </w:p>
          <w:p w14:paraId="6EE56C56" w14:textId="77777777" w:rsidR="00013B8F" w:rsidRPr="00C4062D" w:rsidRDefault="00013B8F" w:rsidP="00013B8F">
            <w:pPr>
              <w:numPr>
                <w:ilvl w:val="0"/>
                <w:numId w:val="58"/>
              </w:numPr>
              <w:rPr>
                <w:rFonts w:cs="Arial"/>
              </w:rPr>
            </w:pPr>
            <w:r w:rsidRPr="00C4062D">
              <w:rPr>
                <w:rFonts w:cs="Arial"/>
              </w:rPr>
              <w:t>Signs or symptoms of bone marrow suppression, such as a sore throat, oral ulceration, abnormal bleeding or bruising, or other signs of infection.</w:t>
            </w:r>
          </w:p>
          <w:p w14:paraId="727A164D" w14:textId="77777777" w:rsidR="00013B8F" w:rsidRPr="00C4062D" w:rsidRDefault="00013B8F" w:rsidP="00013B8F">
            <w:pPr>
              <w:numPr>
                <w:ilvl w:val="0"/>
                <w:numId w:val="58"/>
              </w:numPr>
              <w:rPr>
                <w:rFonts w:cs="Arial"/>
              </w:rPr>
            </w:pPr>
            <w:r w:rsidRPr="00C4062D">
              <w:rPr>
                <w:rFonts w:cs="Arial"/>
              </w:rPr>
              <w:t>Rash</w:t>
            </w:r>
            <w:r>
              <w:rPr>
                <w:rFonts w:cs="Arial"/>
              </w:rPr>
              <w:t>, changes in skin or hair pigmentation.</w:t>
            </w:r>
          </w:p>
          <w:p w14:paraId="50B679F0" w14:textId="77777777" w:rsidR="00013B8F" w:rsidRPr="00C4062D" w:rsidRDefault="00013B8F" w:rsidP="00013B8F">
            <w:pPr>
              <w:numPr>
                <w:ilvl w:val="0"/>
                <w:numId w:val="58"/>
              </w:numPr>
              <w:rPr>
                <w:rFonts w:cs="Arial"/>
              </w:rPr>
            </w:pPr>
            <w:r w:rsidRPr="00C4062D">
              <w:rPr>
                <w:rFonts w:cs="Arial"/>
              </w:rPr>
              <w:t>Muscle weakness</w:t>
            </w:r>
            <w:r>
              <w:rPr>
                <w:rFonts w:cs="Arial"/>
              </w:rPr>
              <w:t>.</w:t>
            </w:r>
          </w:p>
          <w:p w14:paraId="0370D0AC" w14:textId="77777777" w:rsidR="00013B8F" w:rsidRPr="00C4062D" w:rsidRDefault="00013B8F" w:rsidP="00013B8F">
            <w:pPr>
              <w:numPr>
                <w:ilvl w:val="0"/>
                <w:numId w:val="58"/>
              </w:numPr>
              <w:rPr>
                <w:rFonts w:cs="Arial"/>
              </w:rPr>
            </w:pPr>
            <w:r w:rsidRPr="00C4062D">
              <w:rPr>
                <w:rFonts w:cs="Arial"/>
              </w:rPr>
              <w:t>Symptoms of hypoglycaemia, including dizziness, weakness, or hunger</w:t>
            </w:r>
            <w:r>
              <w:rPr>
                <w:rFonts w:cs="Arial"/>
              </w:rPr>
              <w:t>.</w:t>
            </w:r>
          </w:p>
          <w:p w14:paraId="1A01F9DA" w14:textId="77777777" w:rsidR="00013B8F" w:rsidRDefault="00013B8F" w:rsidP="00013B8F">
            <w:pPr>
              <w:numPr>
                <w:ilvl w:val="0"/>
                <w:numId w:val="58"/>
              </w:numPr>
              <w:rPr>
                <w:rFonts w:cs="Arial"/>
              </w:rPr>
            </w:pPr>
            <w:r w:rsidRPr="00C4062D">
              <w:rPr>
                <w:rFonts w:cs="Arial"/>
              </w:rPr>
              <w:t>Actual or planned pregnancy or breastfeeding</w:t>
            </w:r>
            <w:r>
              <w:rPr>
                <w:rFonts w:cs="Arial"/>
              </w:rPr>
              <w:t>.</w:t>
            </w:r>
          </w:p>
          <w:p w14:paraId="58DAEFD8" w14:textId="77777777" w:rsidR="00013B8F" w:rsidRPr="00C4062D" w:rsidRDefault="00013B8F" w:rsidP="65FCFA20">
            <w:pPr>
              <w:numPr>
                <w:ilvl w:val="0"/>
                <w:numId w:val="58"/>
              </w:numPr>
              <w:rPr>
                <w:rFonts w:cs="Arial"/>
              </w:rPr>
            </w:pPr>
            <w:r w:rsidRPr="65FCFA20">
              <w:rPr>
                <w:rFonts w:cs="Arial"/>
              </w:rPr>
              <w:t xml:space="preserve">Any new or worsening mental health problems, including irrational thoughts, anxiety, hallucinations, feeling confused or depressed, or thoughts of </w:t>
            </w:r>
            <w:proofErr w:type="spellStart"/>
            <w:r w:rsidRPr="65FCFA20">
              <w:rPr>
                <w:rFonts w:cs="Arial"/>
              </w:rPr>
              <w:t>self harm</w:t>
            </w:r>
            <w:proofErr w:type="spellEnd"/>
            <w:r w:rsidRPr="65FCFA20">
              <w:rPr>
                <w:rFonts w:cs="Arial"/>
              </w:rPr>
              <w:t xml:space="preserve"> or suicide.</w:t>
            </w:r>
          </w:p>
          <w:p w14:paraId="62300E87" w14:textId="77777777" w:rsidR="00013B8F" w:rsidRPr="00C4062D" w:rsidRDefault="00013B8F" w:rsidP="00013B8F">
            <w:pPr>
              <w:rPr>
                <w:rFonts w:cs="Arial"/>
              </w:rPr>
            </w:pPr>
          </w:p>
          <w:p w14:paraId="68AA41CF" w14:textId="77777777" w:rsidR="00013B8F" w:rsidRPr="00AB6CC6" w:rsidRDefault="00013B8F" w:rsidP="00013B8F">
            <w:pPr>
              <w:pStyle w:val="Heading4"/>
            </w:pPr>
            <w:r w:rsidRPr="65FCFA20">
              <w:t>The patient should be advised:</w:t>
            </w:r>
          </w:p>
          <w:p w14:paraId="66AB8A33" w14:textId="77777777" w:rsidR="00013B8F" w:rsidRPr="00C4062D" w:rsidRDefault="00013B8F" w:rsidP="65FCFA20">
            <w:pPr>
              <w:numPr>
                <w:ilvl w:val="0"/>
                <w:numId w:val="58"/>
              </w:numPr>
              <w:rPr>
                <w:rFonts w:cs="Arial"/>
              </w:rPr>
            </w:pPr>
            <w:r w:rsidRPr="65FCFA20">
              <w:rPr>
                <w:rFonts w:cs="Arial"/>
              </w:rPr>
              <w:t xml:space="preserve">Avoid </w:t>
            </w:r>
            <w:proofErr w:type="gramStart"/>
            <w:r w:rsidRPr="65FCFA20">
              <w:rPr>
                <w:rFonts w:cs="Arial"/>
              </w:rPr>
              <w:t>over-the-counter</w:t>
            </w:r>
            <w:proofErr w:type="gramEnd"/>
            <w:r w:rsidRPr="65FCFA20">
              <w:rPr>
                <w:rFonts w:cs="Arial"/>
              </w:rPr>
              <w:t xml:space="preserve"> and prescribed antacids for four hours before and after doses of hydroxychloroquine.</w:t>
            </w:r>
          </w:p>
          <w:p w14:paraId="5DE1A4DC" w14:textId="77777777" w:rsidR="00013B8F" w:rsidRPr="00C4062D" w:rsidRDefault="00013B8F" w:rsidP="65FCFA20">
            <w:pPr>
              <w:numPr>
                <w:ilvl w:val="0"/>
                <w:numId w:val="58"/>
              </w:numPr>
              <w:rPr>
                <w:rFonts w:cs="Arial"/>
              </w:rPr>
            </w:pPr>
            <w:proofErr w:type="gramStart"/>
            <w:r w:rsidRPr="65FCFA20">
              <w:rPr>
                <w:rFonts w:cs="Arial"/>
              </w:rPr>
              <w:t>A number of</w:t>
            </w:r>
            <w:proofErr w:type="gramEnd"/>
            <w:r w:rsidRPr="65FCFA20">
              <w:rPr>
                <w:rFonts w:cs="Arial"/>
              </w:rPr>
              <w:t xml:space="preserve"> patients who take hydroxychloroquine may experience some loss of their peripheral and central vision. Patients who drive must inform the </w:t>
            </w:r>
            <w:r w:rsidRPr="65FCFA20">
              <w:rPr>
                <w:rFonts w:cs="Arial"/>
              </w:rPr>
              <w:lastRenderedPageBreak/>
              <w:t xml:space="preserve">DVLA if their eyesight is affected. For further information see: </w:t>
            </w:r>
            <w:hyperlink r:id="rId19">
              <w:r w:rsidRPr="65FCFA20">
                <w:rPr>
                  <w:rStyle w:val="Hyperlink"/>
                  <w:rFonts w:cs="Arial"/>
                </w:rPr>
                <w:t>https://www.gov.uk/driving-eyesight-rules</w:t>
              </w:r>
            </w:hyperlink>
            <w:r w:rsidRPr="65FCFA20">
              <w:rPr>
                <w:rFonts w:cs="Arial"/>
              </w:rPr>
              <w:t xml:space="preserve"> </w:t>
            </w:r>
          </w:p>
          <w:p w14:paraId="347E8010" w14:textId="77777777" w:rsidR="00013B8F" w:rsidRPr="00C4062D" w:rsidRDefault="00013B8F" w:rsidP="00013B8F">
            <w:pPr>
              <w:numPr>
                <w:ilvl w:val="0"/>
                <w:numId w:val="58"/>
              </w:numPr>
              <w:rPr>
                <w:rFonts w:cs="Arial"/>
              </w:rPr>
            </w:pPr>
            <w:r w:rsidRPr="00C4062D">
              <w:rPr>
                <w:rFonts w:cs="Arial"/>
              </w:rPr>
              <w:t>That vaccination in line with current national advice (e.g. for COVID-19, influenza) is safe and recommended.</w:t>
            </w:r>
          </w:p>
          <w:p w14:paraId="7403AE1E" w14:textId="77777777" w:rsidR="00013B8F" w:rsidRDefault="00013B8F" w:rsidP="65FCFA20">
            <w:pPr>
              <w:numPr>
                <w:ilvl w:val="0"/>
                <w:numId w:val="58"/>
              </w:numPr>
              <w:rPr>
                <w:rFonts w:cs="Arial"/>
              </w:rPr>
            </w:pPr>
            <w:r w:rsidRPr="65FCFA20">
              <w:rPr>
                <w:rFonts w:cs="Arial"/>
              </w:rPr>
              <w:t>Tell anyone who prescribes them a medicine that they are taking hydroxychloroquine. Always ask a pharmacist before purchasing any medicines over the counter, including herbal or complementary remedies, and ask if they are safe.</w:t>
            </w:r>
          </w:p>
          <w:p w14:paraId="25808795" w14:textId="77777777" w:rsidR="00013B8F" w:rsidRPr="00C4062D" w:rsidRDefault="00013B8F" w:rsidP="00013B8F">
            <w:pPr>
              <w:rPr>
                <w:rFonts w:cs="Arial"/>
              </w:rPr>
            </w:pPr>
          </w:p>
          <w:p w14:paraId="4EDE226A" w14:textId="77777777" w:rsidR="00013B8F" w:rsidRPr="00C4062D" w:rsidRDefault="00013B8F" w:rsidP="00013B8F">
            <w:pPr>
              <w:pStyle w:val="Heading4"/>
            </w:pPr>
            <w:r w:rsidRPr="00C4062D">
              <w:t>Patient information:</w:t>
            </w:r>
          </w:p>
          <w:p w14:paraId="3ADB1AB1" w14:textId="77777777" w:rsidR="00013B8F" w:rsidRPr="00C4062D" w:rsidRDefault="00013B8F" w:rsidP="00013B8F">
            <w:pPr>
              <w:numPr>
                <w:ilvl w:val="0"/>
                <w:numId w:val="59"/>
              </w:numPr>
              <w:rPr>
                <w:rFonts w:cs="Arial"/>
                <w:u w:val="single"/>
              </w:rPr>
            </w:pPr>
            <w:r w:rsidRPr="00C4062D">
              <w:rPr>
                <w:rFonts w:cs="Arial"/>
              </w:rPr>
              <w:t xml:space="preserve">General information: </w:t>
            </w:r>
            <w:hyperlink r:id="rId20" w:history="1">
              <w:r>
                <w:rPr>
                  <w:rStyle w:val="Hyperlink"/>
                  <w:rFonts w:cs="Arial"/>
                </w:rPr>
                <w:t>patient.info</w:t>
              </w:r>
            </w:hyperlink>
          </w:p>
          <w:p w14:paraId="029BDE82" w14:textId="77777777" w:rsidR="00013B8F" w:rsidRPr="00C4062D" w:rsidRDefault="00013B8F" w:rsidP="00013B8F">
            <w:pPr>
              <w:numPr>
                <w:ilvl w:val="0"/>
                <w:numId w:val="59"/>
              </w:numPr>
              <w:rPr>
                <w:rFonts w:cs="Arial"/>
              </w:rPr>
            </w:pPr>
            <w:r w:rsidRPr="00C4062D">
              <w:rPr>
                <w:rFonts w:cs="Arial"/>
              </w:rPr>
              <w:t xml:space="preserve">Rheumatology: </w:t>
            </w:r>
            <w:hyperlink r:id="rId21" w:history="1">
              <w:r>
                <w:rPr>
                  <w:rStyle w:val="Hyperlink"/>
                  <w:rFonts w:cs="Arial"/>
                </w:rPr>
                <w:t>Versus Arthritis</w:t>
              </w:r>
            </w:hyperlink>
          </w:p>
          <w:p w14:paraId="39EFCF0C" w14:textId="41FD1BD0" w:rsidR="00013B8F" w:rsidRPr="00013B8F" w:rsidRDefault="00013B8F" w:rsidP="00013B8F">
            <w:pPr>
              <w:numPr>
                <w:ilvl w:val="0"/>
                <w:numId w:val="59"/>
              </w:numPr>
              <w:rPr>
                <w:rStyle w:val="Hyperlink"/>
                <w:rFonts w:cs="Arial"/>
                <w:color w:val="auto"/>
                <w:u w:val="none"/>
              </w:rPr>
            </w:pPr>
            <w:r w:rsidRPr="00C4062D">
              <w:rPr>
                <w:rFonts w:cs="Arial"/>
              </w:rPr>
              <w:t xml:space="preserve">Dermatology: </w:t>
            </w:r>
            <w:hyperlink r:id="rId22" w:history="1">
              <w:r>
                <w:rPr>
                  <w:rStyle w:val="Hyperlink"/>
                  <w:rFonts w:cs="Arial"/>
                </w:rPr>
                <w:t>British Association of Dermatologists</w:t>
              </w:r>
            </w:hyperlink>
          </w:p>
          <w:p w14:paraId="298DA26F" w14:textId="4FD1AD3D" w:rsidR="00013B8F" w:rsidRPr="007A56FB" w:rsidRDefault="00013B8F" w:rsidP="00013B8F">
            <w:pPr>
              <w:numPr>
                <w:ilvl w:val="0"/>
                <w:numId w:val="59"/>
              </w:numPr>
              <w:rPr>
                <w:rFonts w:cs="Arial"/>
              </w:rPr>
            </w:pPr>
            <w:r w:rsidRPr="00C4062D">
              <w:rPr>
                <w:rFonts w:cs="Arial"/>
              </w:rPr>
              <w:t xml:space="preserve">Patient information leaflets are also available from </w:t>
            </w:r>
            <w:hyperlink r:id="rId23" w:history="1">
              <w:r>
                <w:rPr>
                  <w:rStyle w:val="Hyperlink"/>
                  <w:rFonts w:cs="Arial"/>
                </w:rPr>
                <w:t>electronic medicines compendium</w:t>
              </w:r>
            </w:hyperlink>
          </w:p>
        </w:tc>
      </w:tr>
      <w:tr w:rsidR="00013B8F" w:rsidRPr="00F321FC" w14:paraId="317161E6" w14:textId="77777777" w:rsidTr="65FCFA20">
        <w:tc>
          <w:tcPr>
            <w:tcW w:w="2268" w:type="dxa"/>
          </w:tcPr>
          <w:p w14:paraId="7BADD8F8" w14:textId="77777777" w:rsidR="00013B8F" w:rsidRDefault="00013B8F" w:rsidP="65FCFA20">
            <w:pPr>
              <w:pStyle w:val="Heading2"/>
              <w:rPr>
                <w:rFonts w:cs="Arial"/>
              </w:rPr>
            </w:pPr>
            <w:bookmarkStart w:id="20" w:name="twelve_pregnancy"/>
            <w:bookmarkStart w:id="21" w:name="_Toc149231796"/>
            <w:r w:rsidRPr="65FCFA20">
              <w:rPr>
                <w:rFonts w:cs="Arial"/>
              </w:rPr>
              <w:lastRenderedPageBreak/>
              <w:t>Pregnancy, paternal exposure and breastfeeding</w:t>
            </w:r>
            <w:bookmarkEnd w:id="20"/>
            <w:bookmarkEnd w:id="21"/>
          </w:p>
          <w:p w14:paraId="0AE00B39" w14:textId="77777777" w:rsidR="00013B8F" w:rsidRDefault="00013B8F" w:rsidP="00013B8F"/>
          <w:p w14:paraId="4C3ACC97" w14:textId="3495C602" w:rsidR="00013B8F" w:rsidRPr="005D79FA" w:rsidRDefault="00013B8F" w:rsidP="00013B8F"/>
        </w:tc>
        <w:tc>
          <w:tcPr>
            <w:tcW w:w="8193" w:type="dxa"/>
          </w:tcPr>
          <w:p w14:paraId="10173C69" w14:textId="54C641FC" w:rsidR="00013B8F" w:rsidRDefault="00013B8F" w:rsidP="65FCFA20">
            <w:pPr>
              <w:rPr>
                <w:rFonts w:cs="Arial"/>
              </w:rPr>
            </w:pPr>
            <w:r w:rsidRPr="65FCFA20">
              <w:rPr>
                <w:rFonts w:cs="Arial"/>
              </w:rPr>
              <w:t xml:space="preserve">The </w:t>
            </w:r>
            <w:hyperlink r:id="rId24">
              <w:r w:rsidRPr="65FCFA20">
                <w:rPr>
                  <w:rStyle w:val="Hyperlink"/>
                  <w:rFonts w:cs="Arial"/>
                </w:rPr>
                <w:t>BSR and BHPR guideline on prescribing DMARDs in pregnancy and breastfeeding</w:t>
              </w:r>
            </w:hyperlink>
            <w:r w:rsidRPr="65FCFA20">
              <w:rPr>
                <w:rFonts w:cs="Arial"/>
              </w:rPr>
              <w:t xml:space="preserve"> advises the following:</w:t>
            </w:r>
          </w:p>
          <w:p w14:paraId="6675547F" w14:textId="77777777" w:rsidR="00013B8F" w:rsidRPr="00C4062D" w:rsidRDefault="00013B8F" w:rsidP="00013B8F">
            <w:pPr>
              <w:rPr>
                <w:rFonts w:cs="Arial"/>
              </w:rPr>
            </w:pPr>
          </w:p>
          <w:p w14:paraId="3E37697F" w14:textId="77777777" w:rsidR="00013B8F" w:rsidRPr="00AB6CC6" w:rsidRDefault="00013B8F" w:rsidP="00013B8F">
            <w:pPr>
              <w:pStyle w:val="Heading3"/>
            </w:pPr>
            <w:r w:rsidRPr="00AB6CC6">
              <w:t>Pregnancy:</w:t>
            </w:r>
          </w:p>
          <w:p w14:paraId="6ED71369" w14:textId="77777777" w:rsidR="00013B8F" w:rsidRPr="00C4062D" w:rsidRDefault="00013B8F" w:rsidP="00013B8F">
            <w:pPr>
              <w:rPr>
                <w:rFonts w:cs="Arial"/>
              </w:rPr>
            </w:pPr>
            <w:r w:rsidRPr="00C4062D">
              <w:rPr>
                <w:rFonts w:cs="Arial"/>
              </w:rPr>
              <w:t xml:space="preserve">Hydroxychloroquine can be continued throughout pregnancy. </w:t>
            </w:r>
          </w:p>
          <w:p w14:paraId="4C10A106" w14:textId="77777777" w:rsidR="00013B8F" w:rsidRDefault="00013B8F" w:rsidP="00013B8F">
            <w:pPr>
              <w:rPr>
                <w:rFonts w:cs="Arial"/>
              </w:rPr>
            </w:pPr>
            <w:r w:rsidRPr="00C4062D">
              <w:rPr>
                <w:rFonts w:cs="Arial"/>
              </w:rPr>
              <w:t xml:space="preserve">Information for patients and carers: </w:t>
            </w:r>
            <w:hyperlink r:id="rId25" w:history="1">
              <w:r>
                <w:rPr>
                  <w:rStyle w:val="Hyperlink"/>
                  <w:rFonts w:cs="Arial"/>
                </w:rPr>
                <w:t>Best Use of Medicines in Pregnancy</w:t>
              </w:r>
            </w:hyperlink>
            <w:r w:rsidRPr="00C4062D">
              <w:rPr>
                <w:rFonts w:cs="Arial"/>
              </w:rPr>
              <w:t xml:space="preserve">. </w:t>
            </w:r>
          </w:p>
          <w:p w14:paraId="34FE4304" w14:textId="77777777" w:rsidR="00013B8F" w:rsidRPr="00C4062D" w:rsidRDefault="00013B8F" w:rsidP="00013B8F">
            <w:pPr>
              <w:rPr>
                <w:rFonts w:cs="Arial"/>
              </w:rPr>
            </w:pPr>
          </w:p>
          <w:p w14:paraId="195DB025" w14:textId="77777777" w:rsidR="00013B8F" w:rsidRPr="00C4062D" w:rsidRDefault="00013B8F" w:rsidP="00013B8F">
            <w:pPr>
              <w:pStyle w:val="Heading3"/>
            </w:pPr>
            <w:r w:rsidRPr="00C4062D">
              <w:t>Breastfeeding:</w:t>
            </w:r>
          </w:p>
          <w:p w14:paraId="3A3B3E0E" w14:textId="77777777" w:rsidR="00013B8F" w:rsidRPr="00C4062D" w:rsidRDefault="00013B8F" w:rsidP="00013B8F">
            <w:pPr>
              <w:rPr>
                <w:rFonts w:cs="Arial"/>
              </w:rPr>
            </w:pPr>
            <w:r w:rsidRPr="00C4062D">
              <w:rPr>
                <w:rFonts w:cs="Arial"/>
              </w:rPr>
              <w:t>Hydroxychloroquine is compatible with breastfeeding, though does pass into breast milk in small quantities.</w:t>
            </w:r>
          </w:p>
          <w:p w14:paraId="0DC864EC" w14:textId="54DE4A1F" w:rsidR="00013B8F" w:rsidRDefault="00013B8F" w:rsidP="00013B8F">
            <w:pPr>
              <w:rPr>
                <w:rFonts w:cs="Arial"/>
              </w:rPr>
            </w:pPr>
            <w:r w:rsidRPr="00C4062D">
              <w:rPr>
                <w:rFonts w:cs="Arial"/>
              </w:rPr>
              <w:t xml:space="preserve">Information for healthcare professionals: </w:t>
            </w:r>
            <w:hyperlink r:id="rId26" w:history="1">
              <w:r>
                <w:rPr>
                  <w:rStyle w:val="Hyperlink"/>
                  <w:rFonts w:cs="Arial"/>
                </w:rPr>
                <w:t xml:space="preserve">UK Drugs in Lactation Advisory Service </w:t>
              </w:r>
            </w:hyperlink>
            <w:r w:rsidRPr="00C4062D">
              <w:rPr>
                <w:rFonts w:cs="Arial"/>
              </w:rPr>
              <w:t xml:space="preserve">. </w:t>
            </w:r>
          </w:p>
          <w:p w14:paraId="5BD4704C" w14:textId="77777777" w:rsidR="00013B8F" w:rsidRPr="00C4062D" w:rsidRDefault="00013B8F" w:rsidP="00013B8F">
            <w:pPr>
              <w:rPr>
                <w:rFonts w:cs="Arial"/>
              </w:rPr>
            </w:pPr>
          </w:p>
          <w:p w14:paraId="7FE50725" w14:textId="77777777" w:rsidR="00013B8F" w:rsidRPr="00C4062D" w:rsidRDefault="00013B8F" w:rsidP="00013B8F">
            <w:pPr>
              <w:pStyle w:val="Heading3"/>
            </w:pPr>
            <w:r w:rsidRPr="00C4062D">
              <w:t>Paternal exposure:</w:t>
            </w:r>
          </w:p>
          <w:p w14:paraId="06C7937A" w14:textId="10501A18" w:rsidR="00013B8F" w:rsidRPr="007A56FB" w:rsidRDefault="00013B8F" w:rsidP="00013B8F">
            <w:pPr>
              <w:rPr>
                <w:rFonts w:cs="Arial"/>
              </w:rPr>
            </w:pPr>
            <w:r w:rsidRPr="00C4062D">
              <w:rPr>
                <w:rFonts w:cs="Arial"/>
              </w:rPr>
              <w:t>Hydroxychloroquine is compatible with paternal exposure.</w:t>
            </w:r>
          </w:p>
        </w:tc>
      </w:tr>
      <w:tr w:rsidR="008B45CB" w:rsidRPr="00F321FC" w14:paraId="6398E15E" w14:textId="77777777" w:rsidTr="65FCFA20">
        <w:tc>
          <w:tcPr>
            <w:tcW w:w="2268" w:type="dxa"/>
          </w:tcPr>
          <w:p w14:paraId="76EEEFD5" w14:textId="77777777" w:rsidR="008B45CB" w:rsidRDefault="008B45CB" w:rsidP="008B45CB">
            <w:pPr>
              <w:pStyle w:val="Heading2"/>
              <w:rPr>
                <w:rFonts w:cs="Arial"/>
              </w:rPr>
            </w:pPr>
            <w:bookmarkStart w:id="22" w:name="thirteen_specialist_contact"/>
            <w:bookmarkStart w:id="23" w:name="_Toc149231797"/>
            <w:r w:rsidRPr="00F321FC">
              <w:rPr>
                <w:rFonts w:cs="Arial"/>
              </w:rPr>
              <w:t>Specialist contact information</w:t>
            </w:r>
            <w:r>
              <w:rPr>
                <w:rFonts w:cs="Arial"/>
              </w:rPr>
              <w:t xml:space="preserve"> and arrangements for referral</w:t>
            </w:r>
            <w:bookmarkEnd w:id="22"/>
            <w:bookmarkEnd w:id="23"/>
          </w:p>
          <w:p w14:paraId="6BB398C7" w14:textId="6C037366" w:rsidR="008B45CB" w:rsidRPr="008B45CB" w:rsidRDefault="008B45CB" w:rsidP="00427446"/>
        </w:tc>
        <w:tc>
          <w:tcPr>
            <w:tcW w:w="8193" w:type="dxa"/>
          </w:tcPr>
          <w:p w14:paraId="481550DD" w14:textId="447E3138" w:rsidR="00427446" w:rsidRDefault="00D2186F" w:rsidP="00427446">
            <w:pPr>
              <w:rPr>
                <w:highlight w:val="yellow"/>
              </w:rPr>
            </w:pPr>
            <w:r w:rsidRPr="002273EC">
              <w:rPr>
                <w:rFonts w:cs="Arial"/>
              </w:rPr>
              <w:t>Details</w:t>
            </w:r>
            <w:r w:rsidRPr="002273EC">
              <w:rPr>
                <w:rFonts w:cs="Arial"/>
                <w:i/>
                <w:iCs/>
              </w:rPr>
              <w:t xml:space="preserve"> </w:t>
            </w:r>
            <w:r w:rsidRPr="00370D0C">
              <w:rPr>
                <w:rFonts w:cs="Arial"/>
              </w:rPr>
              <w:t>for contacting specialist must be included on clinic letter</w:t>
            </w:r>
            <w:r>
              <w:rPr>
                <w:rFonts w:cs="Arial"/>
              </w:rPr>
              <w:t xml:space="preserve"> including the </w:t>
            </w:r>
            <w:r w:rsidR="00C03FC3">
              <w:rPr>
                <w:rFonts w:cs="Arial"/>
              </w:rPr>
              <w:t xml:space="preserve">specialist </w:t>
            </w:r>
            <w:r>
              <w:rPr>
                <w:rFonts w:cs="Arial"/>
              </w:rPr>
              <w:t>arrangements for retinal monitoring</w:t>
            </w:r>
            <w:r w:rsidR="00C03FC3">
              <w:rPr>
                <w:rFonts w:cs="Arial"/>
              </w:rPr>
              <w:t xml:space="preserve">. </w:t>
            </w:r>
          </w:p>
          <w:p w14:paraId="63F90746" w14:textId="2F55E32C" w:rsidR="008B45CB" w:rsidRPr="00F321FC" w:rsidRDefault="008B45CB" w:rsidP="008B45CB">
            <w:pPr>
              <w:rPr>
                <w:rFonts w:cs="Arial"/>
              </w:rPr>
            </w:pPr>
          </w:p>
        </w:tc>
      </w:tr>
      <w:tr w:rsidR="008B45CB" w:rsidRPr="00F321FC" w14:paraId="207E7612" w14:textId="77777777" w:rsidTr="65FCFA20">
        <w:tc>
          <w:tcPr>
            <w:tcW w:w="2268" w:type="dxa"/>
          </w:tcPr>
          <w:p w14:paraId="1F87C246" w14:textId="316BF7A3" w:rsidR="008B45CB" w:rsidRPr="00F321FC" w:rsidRDefault="008B45CB" w:rsidP="65FCFA20">
            <w:pPr>
              <w:pStyle w:val="Heading2"/>
              <w:rPr>
                <w:rFonts w:cs="Arial"/>
              </w:rPr>
            </w:pPr>
            <w:bookmarkStart w:id="24" w:name="fourteen_additional_info"/>
            <w:bookmarkStart w:id="25" w:name="_Toc149231798"/>
            <w:r w:rsidRPr="65FCFA20">
              <w:rPr>
                <w:rFonts w:cs="Arial"/>
              </w:rPr>
              <w:t>Additional information</w:t>
            </w:r>
            <w:bookmarkEnd w:id="24"/>
            <w:bookmarkEnd w:id="25"/>
          </w:p>
        </w:tc>
        <w:tc>
          <w:tcPr>
            <w:tcW w:w="8193" w:type="dxa"/>
          </w:tcPr>
          <w:p w14:paraId="3634BE8A" w14:textId="5D969788" w:rsidR="008B45CB" w:rsidRPr="00F321FC" w:rsidRDefault="008B45CB" w:rsidP="008B45CB">
            <w:pPr>
              <w:rPr>
                <w:rFonts w:cs="Arial"/>
              </w:rPr>
            </w:pPr>
            <w:r w:rsidRPr="005D79FA">
              <w:rPr>
                <w:rFonts w:cs="Arial"/>
              </w:rPr>
              <w:t>Where patient care is transferred from one specialist service or GP practice to another, a new shared care agreement must be completed. Ensure that the specialist is informed in writing of any changes to the patient’s GP or their contact details.</w:t>
            </w:r>
          </w:p>
        </w:tc>
      </w:tr>
      <w:tr w:rsidR="008B45CB" w:rsidRPr="00F321FC" w14:paraId="6B6F9FF7" w14:textId="77777777" w:rsidTr="65FCFA20">
        <w:tc>
          <w:tcPr>
            <w:tcW w:w="2268" w:type="dxa"/>
          </w:tcPr>
          <w:p w14:paraId="4580613D" w14:textId="3D2EB4DF" w:rsidR="008B45CB" w:rsidRPr="00F321FC" w:rsidRDefault="008B45CB" w:rsidP="008B45CB">
            <w:pPr>
              <w:pStyle w:val="Heading2"/>
              <w:rPr>
                <w:rFonts w:cs="Arial"/>
              </w:rPr>
            </w:pPr>
            <w:bookmarkStart w:id="26" w:name="fifteen_references"/>
            <w:bookmarkStart w:id="27" w:name="_Toc149231799"/>
            <w:r w:rsidRPr="00F321FC">
              <w:rPr>
                <w:rFonts w:cs="Arial"/>
              </w:rPr>
              <w:t>References</w:t>
            </w:r>
            <w:bookmarkEnd w:id="26"/>
            <w:bookmarkEnd w:id="27"/>
          </w:p>
        </w:tc>
        <w:tc>
          <w:tcPr>
            <w:tcW w:w="8193" w:type="dxa"/>
          </w:tcPr>
          <w:p w14:paraId="01319CDF" w14:textId="3712C3D0" w:rsidR="008B45CB" w:rsidRPr="00C4062D" w:rsidRDefault="008B45CB" w:rsidP="008B45CB">
            <w:pPr>
              <w:pStyle w:val="ListParagraph"/>
              <w:numPr>
                <w:ilvl w:val="0"/>
                <w:numId w:val="60"/>
              </w:numPr>
              <w:rPr>
                <w:rFonts w:eastAsia="Times New Roman" w:cs="Arial"/>
                <w:lang w:eastAsia="en-GB"/>
              </w:rPr>
            </w:pPr>
            <w:r w:rsidRPr="001342F3">
              <w:rPr>
                <w:rFonts w:eastAsia="Times New Roman" w:cs="Arial"/>
                <w:lang w:eastAsia="en-GB"/>
              </w:rPr>
              <w:t xml:space="preserve">British National Formulary. Accessed via  </w:t>
            </w:r>
            <w:hyperlink r:id="rId27" w:history="1">
              <w:r w:rsidRPr="00DA498B">
                <w:rPr>
                  <w:rStyle w:val="Hyperlink"/>
                  <w:rFonts w:eastAsia="Times New Roman" w:cs="Arial"/>
                  <w:lang w:eastAsia="en-GB"/>
                </w:rPr>
                <w:t>https://bnf.nice.org.uk/</w:t>
              </w:r>
            </w:hyperlink>
            <w:r>
              <w:rPr>
                <w:rFonts w:eastAsia="Times New Roman" w:cs="Arial"/>
                <w:lang w:eastAsia="en-GB"/>
              </w:rPr>
              <w:t xml:space="preserve"> </w:t>
            </w:r>
            <w:r w:rsidRPr="00C4062D">
              <w:rPr>
                <w:rFonts w:eastAsia="Times New Roman" w:cs="Arial"/>
                <w:lang w:eastAsia="en-GB"/>
              </w:rPr>
              <w:t xml:space="preserve">on </w:t>
            </w:r>
            <w:r>
              <w:rPr>
                <w:rFonts w:eastAsia="Times New Roman" w:cs="Arial"/>
                <w:lang w:eastAsia="en-GB"/>
              </w:rPr>
              <w:t>09/11/23</w:t>
            </w:r>
          </w:p>
          <w:p w14:paraId="675BCBD6" w14:textId="11A3114E" w:rsidR="008B45CB" w:rsidRPr="00C4062D" w:rsidRDefault="008B45CB" w:rsidP="65FCFA20">
            <w:pPr>
              <w:pStyle w:val="ListParagraph"/>
              <w:numPr>
                <w:ilvl w:val="0"/>
                <w:numId w:val="60"/>
              </w:numPr>
              <w:rPr>
                <w:rFonts w:eastAsia="Times New Roman" w:cs="Arial"/>
                <w:lang w:eastAsia="en-GB"/>
              </w:rPr>
            </w:pPr>
            <w:r w:rsidRPr="65FCFA20">
              <w:rPr>
                <w:rFonts w:eastAsia="Times New Roman" w:cs="Arial"/>
                <w:lang w:eastAsia="en-GB"/>
              </w:rPr>
              <w:t xml:space="preserve">Hydroxychloroquine </w:t>
            </w:r>
            <w:proofErr w:type="spellStart"/>
            <w:r w:rsidRPr="65FCFA20">
              <w:rPr>
                <w:rFonts w:eastAsia="Times New Roman" w:cs="Arial"/>
                <w:lang w:eastAsia="en-GB"/>
              </w:rPr>
              <w:t>sulfate</w:t>
            </w:r>
            <w:proofErr w:type="spellEnd"/>
            <w:r w:rsidRPr="65FCFA20">
              <w:rPr>
                <w:rFonts w:eastAsia="Times New Roman" w:cs="Arial"/>
                <w:lang w:eastAsia="en-GB"/>
              </w:rPr>
              <w:t xml:space="preserve"> 200 mg film-coated tablets (</w:t>
            </w:r>
            <w:proofErr w:type="spellStart"/>
            <w:r w:rsidRPr="65FCFA20">
              <w:rPr>
                <w:rFonts w:eastAsia="Times New Roman" w:cs="Arial"/>
                <w:lang w:eastAsia="en-GB"/>
              </w:rPr>
              <w:t>Quinoric</w:t>
            </w:r>
            <w:proofErr w:type="spellEnd"/>
            <w:r w:rsidRPr="65FCFA20">
              <w:rPr>
                <w:rFonts w:eastAsia="Times New Roman" w:cs="Arial"/>
                <w:lang w:eastAsia="en-GB"/>
              </w:rPr>
              <w:t xml:space="preserve">®). Bristol Laboratories. Date of revision of the text: 18/06/23. Accessed via </w:t>
            </w:r>
            <w:hyperlink r:id="rId28">
              <w:r w:rsidRPr="65FCFA20">
                <w:rPr>
                  <w:rStyle w:val="Hyperlink"/>
                  <w:rFonts w:eastAsia="Times New Roman" w:cs="Arial"/>
                  <w:lang w:eastAsia="en-GB"/>
                </w:rPr>
                <w:t>https://www.medicines.org.uk/emc/product/477/smpc</w:t>
              </w:r>
            </w:hyperlink>
            <w:r w:rsidRPr="65FCFA20">
              <w:rPr>
                <w:rFonts w:eastAsia="Times New Roman" w:cs="Arial"/>
                <w:lang w:eastAsia="en-GB"/>
              </w:rPr>
              <w:t xml:space="preserve"> on 09/11/23</w:t>
            </w:r>
          </w:p>
          <w:p w14:paraId="47A7ACC1" w14:textId="309590AF" w:rsidR="008B45CB" w:rsidRPr="00C4062D" w:rsidRDefault="008B45CB" w:rsidP="65FCFA20">
            <w:pPr>
              <w:pStyle w:val="ListParagraph"/>
              <w:numPr>
                <w:ilvl w:val="0"/>
                <w:numId w:val="60"/>
              </w:numPr>
              <w:rPr>
                <w:rFonts w:eastAsia="Times New Roman" w:cs="Arial"/>
                <w:lang w:eastAsia="en-GB"/>
              </w:rPr>
            </w:pPr>
            <w:r w:rsidRPr="65FCFA20">
              <w:rPr>
                <w:rFonts w:eastAsia="Times New Roman" w:cs="Arial"/>
                <w:lang w:eastAsia="en-GB"/>
              </w:rPr>
              <w:t xml:space="preserve">Hydroxychloroquine </w:t>
            </w:r>
            <w:proofErr w:type="spellStart"/>
            <w:r w:rsidRPr="65FCFA20">
              <w:rPr>
                <w:rFonts w:eastAsia="Times New Roman" w:cs="Arial"/>
                <w:lang w:eastAsia="en-GB"/>
              </w:rPr>
              <w:t>sulfate</w:t>
            </w:r>
            <w:proofErr w:type="spellEnd"/>
            <w:r w:rsidRPr="65FCFA20">
              <w:rPr>
                <w:rFonts w:eastAsia="Times New Roman" w:cs="Arial"/>
                <w:lang w:eastAsia="en-GB"/>
              </w:rPr>
              <w:t xml:space="preserve"> 200 mg film-coated tablets. Zentiva. Date of revision of the text: 27/06/23. Accessed via </w:t>
            </w:r>
            <w:hyperlink r:id="rId29">
              <w:r w:rsidRPr="65FCFA20">
                <w:rPr>
                  <w:rStyle w:val="Hyperlink"/>
                  <w:rFonts w:eastAsia="Times New Roman" w:cs="Arial"/>
                  <w:lang w:eastAsia="en-GB"/>
                </w:rPr>
                <w:t>https://www.medicines.org.uk/emc/product/1764/smpc</w:t>
              </w:r>
            </w:hyperlink>
            <w:r w:rsidRPr="65FCFA20">
              <w:rPr>
                <w:rFonts w:eastAsia="Times New Roman" w:cs="Arial"/>
                <w:lang w:eastAsia="en-GB"/>
              </w:rPr>
              <w:t xml:space="preserve"> on 09/11/23</w:t>
            </w:r>
          </w:p>
          <w:p w14:paraId="069B4F85" w14:textId="6FF633E7" w:rsidR="008B45CB" w:rsidRPr="00C4062D" w:rsidRDefault="008B45CB" w:rsidP="65FCFA20">
            <w:pPr>
              <w:pStyle w:val="ListParagraph"/>
              <w:numPr>
                <w:ilvl w:val="0"/>
                <w:numId w:val="60"/>
              </w:numPr>
              <w:rPr>
                <w:rFonts w:eastAsia="Times New Roman" w:cs="Arial"/>
                <w:lang w:eastAsia="en-GB"/>
              </w:rPr>
            </w:pPr>
            <w:r w:rsidRPr="65FCFA20">
              <w:rPr>
                <w:rFonts w:eastAsia="Times New Roman" w:cs="Arial"/>
                <w:lang w:eastAsia="en-GB"/>
              </w:rPr>
              <w:lastRenderedPageBreak/>
              <w:t xml:space="preserve">Hydroxychloroquine </w:t>
            </w:r>
            <w:proofErr w:type="spellStart"/>
            <w:r w:rsidRPr="65FCFA20">
              <w:rPr>
                <w:rFonts w:eastAsia="Times New Roman" w:cs="Arial"/>
                <w:lang w:eastAsia="en-GB"/>
              </w:rPr>
              <w:t>sulfate</w:t>
            </w:r>
            <w:proofErr w:type="spellEnd"/>
            <w:r w:rsidRPr="65FCFA20">
              <w:rPr>
                <w:rFonts w:eastAsia="Times New Roman" w:cs="Arial"/>
                <w:lang w:eastAsia="en-GB"/>
              </w:rPr>
              <w:t xml:space="preserve"> 200 mg film-coated tablets. Accord. Date of revision of the text: 24/06/2023. Accessed via </w:t>
            </w:r>
            <w:hyperlink r:id="rId30">
              <w:r w:rsidRPr="65FCFA20">
                <w:rPr>
                  <w:rStyle w:val="Hyperlink"/>
                  <w:rFonts w:eastAsia="Times New Roman" w:cs="Arial"/>
                  <w:lang w:eastAsia="en-GB"/>
                </w:rPr>
                <w:t>https://products.mhra.gov.uk/</w:t>
              </w:r>
            </w:hyperlink>
            <w:r w:rsidRPr="65FCFA20">
              <w:rPr>
                <w:rFonts w:eastAsia="Times New Roman" w:cs="Arial"/>
                <w:lang w:eastAsia="en-GB"/>
              </w:rPr>
              <w:t xml:space="preserve"> on 09/11/23.</w:t>
            </w:r>
          </w:p>
          <w:p w14:paraId="0F4647E8" w14:textId="655733F4" w:rsidR="008B45CB" w:rsidRPr="00C4062D" w:rsidRDefault="008B45CB" w:rsidP="65FCFA20">
            <w:pPr>
              <w:pStyle w:val="ListParagraph"/>
              <w:numPr>
                <w:ilvl w:val="0"/>
                <w:numId w:val="60"/>
              </w:numPr>
              <w:rPr>
                <w:rFonts w:eastAsia="Times New Roman" w:cs="Arial"/>
                <w:lang w:eastAsia="en-GB"/>
              </w:rPr>
            </w:pPr>
            <w:r w:rsidRPr="65FCFA20">
              <w:rPr>
                <w:rFonts w:eastAsia="Times New Roman" w:cs="Arial"/>
                <w:lang w:eastAsia="en-GB"/>
              </w:rPr>
              <w:t xml:space="preserve">Hydroxychloroquine </w:t>
            </w:r>
            <w:proofErr w:type="spellStart"/>
            <w:r w:rsidRPr="65FCFA20">
              <w:rPr>
                <w:rFonts w:eastAsia="Times New Roman" w:cs="Arial"/>
                <w:lang w:eastAsia="en-GB"/>
              </w:rPr>
              <w:t>sulfate</w:t>
            </w:r>
            <w:proofErr w:type="spellEnd"/>
            <w:r w:rsidRPr="65FCFA20">
              <w:rPr>
                <w:rFonts w:eastAsia="Times New Roman" w:cs="Arial"/>
                <w:lang w:eastAsia="en-GB"/>
              </w:rPr>
              <w:t xml:space="preserve"> 200 mg film-coated tablets. Blackrock Pharmaceuticals. Date of revision of the text: 15/11/2022. Accessed via </w:t>
            </w:r>
            <w:hyperlink r:id="rId31">
              <w:r w:rsidRPr="65FCFA20">
                <w:rPr>
                  <w:rStyle w:val="Hyperlink"/>
                  <w:rFonts w:eastAsia="Times New Roman" w:cs="Arial"/>
                  <w:lang w:eastAsia="en-GB"/>
                </w:rPr>
                <w:t>https://www.medicines.org.uk/emc/product/11540/smpc</w:t>
              </w:r>
            </w:hyperlink>
            <w:r w:rsidRPr="65FCFA20">
              <w:rPr>
                <w:rFonts w:eastAsia="Times New Roman" w:cs="Arial"/>
                <w:lang w:eastAsia="en-GB"/>
              </w:rPr>
              <w:t xml:space="preserve"> on 09/11/23</w:t>
            </w:r>
          </w:p>
          <w:p w14:paraId="164157AA" w14:textId="526DFC06" w:rsidR="008B45CB" w:rsidRPr="00013B8F" w:rsidRDefault="008B45CB" w:rsidP="65FCFA20">
            <w:pPr>
              <w:pStyle w:val="ListParagraph"/>
              <w:numPr>
                <w:ilvl w:val="0"/>
                <w:numId w:val="60"/>
              </w:numPr>
              <w:rPr>
                <w:rStyle w:val="Hyperlink"/>
                <w:rFonts w:eastAsia="Times New Roman" w:cs="Arial"/>
                <w:u w:val="none"/>
                <w:lang w:eastAsia="en-GB"/>
              </w:rPr>
            </w:pPr>
            <w:r w:rsidRPr="65FCFA20">
              <w:rPr>
                <w:rFonts w:eastAsia="Times New Roman" w:cs="Arial"/>
                <w:lang w:eastAsia="en-GB"/>
              </w:rPr>
              <w:t xml:space="preserve">Hydroxychloroquine </w:t>
            </w:r>
            <w:proofErr w:type="spellStart"/>
            <w:r w:rsidRPr="65FCFA20">
              <w:rPr>
                <w:rFonts w:eastAsia="Times New Roman" w:cs="Arial"/>
                <w:lang w:eastAsia="en-GB"/>
              </w:rPr>
              <w:t>sulfate</w:t>
            </w:r>
            <w:proofErr w:type="spellEnd"/>
            <w:r w:rsidRPr="65FCFA20">
              <w:rPr>
                <w:rFonts w:eastAsia="Times New Roman" w:cs="Arial"/>
                <w:lang w:eastAsia="en-GB"/>
              </w:rPr>
              <w:t xml:space="preserve"> 200 mg film-coated tablets. </w:t>
            </w:r>
            <w:proofErr w:type="spellStart"/>
            <w:r w:rsidRPr="65FCFA20">
              <w:rPr>
                <w:rFonts w:eastAsia="Times New Roman" w:cs="Arial"/>
                <w:lang w:eastAsia="en-GB"/>
              </w:rPr>
              <w:t>Ipca</w:t>
            </w:r>
            <w:proofErr w:type="spellEnd"/>
            <w:r w:rsidRPr="65FCFA20">
              <w:rPr>
                <w:rFonts w:eastAsia="Times New Roman" w:cs="Arial"/>
                <w:lang w:eastAsia="en-GB"/>
              </w:rPr>
              <w:t xml:space="preserve"> Laboratories. Date of revision of the text: 07/04/2020. Accessed via </w:t>
            </w:r>
            <w:hyperlink r:id="rId32">
              <w:r w:rsidRPr="65FCFA20">
                <w:rPr>
                  <w:rStyle w:val="Hyperlink"/>
                  <w:rFonts w:eastAsia="Times New Roman" w:cs="Arial"/>
                  <w:lang w:eastAsia="en-GB"/>
                </w:rPr>
                <w:t>https://www.medicines.org.uk/emc/product/11516/smpc</w:t>
              </w:r>
            </w:hyperlink>
            <w:r w:rsidRPr="65FCFA20">
              <w:rPr>
                <w:rStyle w:val="Hyperlink"/>
                <w:rFonts w:eastAsia="Times New Roman" w:cs="Arial"/>
                <w:u w:val="none"/>
                <w:lang w:eastAsia="en-GB"/>
              </w:rPr>
              <w:t xml:space="preserve"> </w:t>
            </w:r>
            <w:r w:rsidRPr="65FCFA20">
              <w:rPr>
                <w:rStyle w:val="Hyperlink"/>
                <w:rFonts w:eastAsia="Times New Roman" w:cs="Arial"/>
                <w:color w:val="000000" w:themeColor="text1"/>
                <w:u w:val="none"/>
                <w:lang w:eastAsia="en-GB"/>
              </w:rPr>
              <w:t>accessed on 09/11/23</w:t>
            </w:r>
          </w:p>
          <w:p w14:paraId="63CCDA11" w14:textId="606A62CC" w:rsidR="008B45CB" w:rsidRPr="00C4062D" w:rsidRDefault="008B45CB" w:rsidP="008B45CB">
            <w:pPr>
              <w:pStyle w:val="ListParagraph"/>
              <w:numPr>
                <w:ilvl w:val="0"/>
                <w:numId w:val="60"/>
              </w:numPr>
              <w:rPr>
                <w:rFonts w:eastAsia="Times New Roman" w:cs="Arial"/>
                <w:lang w:eastAsia="en-GB"/>
              </w:rPr>
            </w:pPr>
            <w:r w:rsidRPr="00C4062D">
              <w:rPr>
                <w:rFonts w:eastAsia="Times New Roman" w:cs="Arial"/>
                <w:lang w:eastAsia="en-GB"/>
              </w:rPr>
              <w:t xml:space="preserve">British Society of Rheumatology and British Health Professionals in Rheumatology. 2017. </w:t>
            </w:r>
            <w:r w:rsidRPr="00C4062D">
              <w:rPr>
                <w:rFonts w:cs="Arial"/>
              </w:rPr>
              <w:t>Guidelines for the prescription and monitoring of non-biologic disease-modifying anti-rheumatic drugs</w:t>
            </w:r>
            <w:r w:rsidRPr="00C4062D">
              <w:rPr>
                <w:rFonts w:eastAsia="Times New Roman" w:cs="Arial"/>
                <w:lang w:eastAsia="en-GB"/>
              </w:rPr>
              <w:t xml:space="preserve">. Accessed via </w:t>
            </w:r>
            <w:hyperlink r:id="rId33" w:anchor="97289292" w:history="1">
              <w:r w:rsidRPr="00C4062D">
                <w:rPr>
                  <w:rStyle w:val="Hyperlink"/>
                  <w:rFonts w:eastAsia="Times New Roman" w:cs="Arial"/>
                  <w:lang w:eastAsia="en-GB"/>
                </w:rPr>
                <w:t>https://academic.oup.com/rheumatology/article/56/6/865/3053478#97289292</w:t>
              </w:r>
            </w:hyperlink>
            <w:r w:rsidRPr="00C4062D">
              <w:rPr>
                <w:rFonts w:eastAsia="Times New Roman" w:cs="Arial"/>
                <w:lang w:eastAsia="en-GB"/>
              </w:rPr>
              <w:t xml:space="preserve"> .</w:t>
            </w:r>
          </w:p>
          <w:p w14:paraId="44D698B0" w14:textId="1108F23D" w:rsidR="008B45CB" w:rsidRPr="00C4062D" w:rsidRDefault="008B45CB" w:rsidP="008B45CB">
            <w:pPr>
              <w:pStyle w:val="ListParagraph"/>
              <w:numPr>
                <w:ilvl w:val="0"/>
                <w:numId w:val="60"/>
              </w:numPr>
              <w:rPr>
                <w:rFonts w:eastAsia="Times New Roman" w:cs="Arial"/>
                <w:lang w:eastAsia="en-GB"/>
              </w:rPr>
            </w:pPr>
            <w:r w:rsidRPr="00C4062D">
              <w:rPr>
                <w:rFonts w:eastAsia="Times New Roman" w:cs="Arial"/>
                <w:lang w:eastAsia="en-GB"/>
              </w:rPr>
              <w:t xml:space="preserve">British Society of Rheumatology and British Health Professionals in Rheumatology. </w:t>
            </w:r>
            <w:r>
              <w:rPr>
                <w:rFonts w:eastAsia="Times New Roman" w:cs="Arial"/>
                <w:lang w:eastAsia="en-GB"/>
              </w:rPr>
              <w:t>2022</w:t>
            </w:r>
            <w:r w:rsidRPr="00C4062D">
              <w:rPr>
                <w:rFonts w:eastAsia="Times New Roman" w:cs="Arial"/>
                <w:lang w:eastAsia="en-GB"/>
              </w:rPr>
              <w:t xml:space="preserve">. </w:t>
            </w:r>
            <w:r w:rsidRPr="005A5B43">
              <w:rPr>
                <w:rFonts w:cs="Arial"/>
              </w:rPr>
              <w:t>British Society for Rheumatology guideline on prescribing drugs in pregnancy and breastfeeding: immunomodulatory anti-rheumatic drugs and corticosteroids</w:t>
            </w:r>
            <w:r w:rsidRPr="00C4062D">
              <w:rPr>
                <w:rFonts w:eastAsia="Times New Roman" w:cs="Arial"/>
                <w:lang w:eastAsia="en-GB"/>
              </w:rPr>
              <w:t xml:space="preserve">. Accessed via </w:t>
            </w:r>
            <w:hyperlink r:id="rId34" w:history="1">
              <w:r w:rsidRPr="00DA498B">
                <w:rPr>
                  <w:rStyle w:val="Hyperlink"/>
                  <w:rFonts w:eastAsia="Times New Roman" w:cs="Arial"/>
                  <w:lang w:eastAsia="en-GB"/>
                </w:rPr>
                <w:t>https://academic.oup.com/rheumatology/article/62/4/e48/6783012</w:t>
              </w:r>
            </w:hyperlink>
            <w:r>
              <w:rPr>
                <w:rFonts w:eastAsia="Times New Roman" w:cs="Arial"/>
                <w:lang w:eastAsia="en-GB"/>
              </w:rPr>
              <w:t xml:space="preserve"> </w:t>
            </w:r>
          </w:p>
          <w:p w14:paraId="77AC81F5" w14:textId="693A7D17" w:rsidR="008B45CB" w:rsidRPr="00C4062D" w:rsidRDefault="008B45CB" w:rsidP="008B45CB">
            <w:pPr>
              <w:pStyle w:val="ListParagraph"/>
              <w:numPr>
                <w:ilvl w:val="0"/>
                <w:numId w:val="60"/>
              </w:numPr>
              <w:rPr>
                <w:rFonts w:eastAsia="Times New Roman" w:cs="Arial"/>
                <w:lang w:eastAsia="en-GB"/>
              </w:rPr>
            </w:pPr>
            <w:r w:rsidRPr="00C4062D">
              <w:rPr>
                <w:rFonts w:eastAsia="Times New Roman" w:cs="Arial"/>
                <w:lang w:eastAsia="en-GB"/>
              </w:rPr>
              <w:t>British Thoracic Society in collaboration with the Thoracic</w:t>
            </w:r>
            <w:r w:rsidRPr="00C4062D">
              <w:rPr>
                <w:rFonts w:cs="Arial"/>
              </w:rPr>
              <w:t xml:space="preserve"> </w:t>
            </w:r>
            <w:r w:rsidRPr="00C4062D">
              <w:rPr>
                <w:rFonts w:eastAsia="Times New Roman" w:cs="Arial"/>
                <w:lang w:eastAsia="en-GB"/>
              </w:rPr>
              <w:t xml:space="preserve">Society of Australia and New Zealand and the Irish Thoracic Society. 2008. </w:t>
            </w:r>
            <w:r w:rsidRPr="00C4062D">
              <w:rPr>
                <w:rFonts w:cs="Arial"/>
              </w:rPr>
              <w:t>Interstitial lung disease guideline</w:t>
            </w:r>
            <w:r w:rsidRPr="00C4062D">
              <w:rPr>
                <w:rFonts w:eastAsia="Times New Roman" w:cs="Arial"/>
                <w:lang w:eastAsia="en-GB"/>
              </w:rPr>
              <w:t xml:space="preserve"> (archived). Accessed via </w:t>
            </w:r>
            <w:hyperlink r:id="rId35" w:history="1">
              <w:r w:rsidRPr="00C4062D">
                <w:rPr>
                  <w:rStyle w:val="Hyperlink"/>
                  <w:rFonts w:eastAsia="Times New Roman" w:cs="Arial"/>
                  <w:lang w:eastAsia="en-GB"/>
                </w:rPr>
                <w:t>https://www.brit-thoracic.org.uk/quality-improvement/guideline-archive/</w:t>
              </w:r>
            </w:hyperlink>
            <w:r w:rsidRPr="00C4062D">
              <w:rPr>
                <w:rFonts w:eastAsia="Times New Roman" w:cs="Arial"/>
                <w:lang w:eastAsia="en-GB"/>
              </w:rPr>
              <w:t>.</w:t>
            </w:r>
          </w:p>
          <w:p w14:paraId="30029508" w14:textId="1DDF0005" w:rsidR="008B45CB" w:rsidRPr="00C4062D" w:rsidRDefault="008B45CB" w:rsidP="65FCFA20">
            <w:pPr>
              <w:pStyle w:val="ListParagraph"/>
              <w:numPr>
                <w:ilvl w:val="0"/>
                <w:numId w:val="60"/>
              </w:numPr>
              <w:rPr>
                <w:rFonts w:eastAsia="Times New Roman" w:cs="Arial"/>
                <w:lang w:eastAsia="en-GB"/>
              </w:rPr>
            </w:pPr>
            <w:r w:rsidRPr="65FCFA20">
              <w:rPr>
                <w:rFonts w:eastAsia="Times New Roman" w:cs="Arial"/>
                <w:lang w:eastAsia="en-GB"/>
              </w:rPr>
              <w:t xml:space="preserve">Renal Drug Database. Hydroxychloroquine sulphate. Reviewed 09/11/2023. Accessed via </w:t>
            </w:r>
            <w:hyperlink r:id="rId36">
              <w:r w:rsidRPr="65FCFA20">
                <w:rPr>
                  <w:rStyle w:val="Hyperlink"/>
                  <w:rFonts w:eastAsia="Times New Roman" w:cs="Arial"/>
                  <w:lang w:eastAsia="en-GB"/>
                </w:rPr>
                <w:t>https://renaldrugdatabase.com/monographs/hydroxychloroquine-sulphate</w:t>
              </w:r>
            </w:hyperlink>
            <w:r w:rsidRPr="65FCFA20">
              <w:rPr>
                <w:rFonts w:eastAsia="Times New Roman" w:cs="Arial"/>
                <w:lang w:eastAsia="en-GB"/>
              </w:rPr>
              <w:t xml:space="preserve"> on 29/12/23.  </w:t>
            </w:r>
          </w:p>
          <w:p w14:paraId="6E1C25A7" w14:textId="52F9DF21" w:rsidR="008B45CB" w:rsidRPr="00C4062D" w:rsidRDefault="008B45CB" w:rsidP="008B45CB">
            <w:pPr>
              <w:pStyle w:val="ListParagraph"/>
              <w:numPr>
                <w:ilvl w:val="0"/>
                <w:numId w:val="60"/>
              </w:numPr>
              <w:rPr>
                <w:rFonts w:eastAsia="Times New Roman" w:cs="Arial"/>
                <w:lang w:eastAsia="en-GB"/>
              </w:rPr>
            </w:pPr>
            <w:r w:rsidRPr="00C4062D">
              <w:rPr>
                <w:rFonts w:eastAsia="Times New Roman" w:cs="Arial"/>
                <w:lang w:eastAsia="en-GB"/>
              </w:rPr>
              <w:t xml:space="preserve">Royal College of Ophthalmologists. 2020. </w:t>
            </w:r>
            <w:r w:rsidRPr="00C4062D">
              <w:rPr>
                <w:rFonts w:cs="Arial"/>
              </w:rPr>
              <w:t xml:space="preserve">Hydroxychloroquine and Chloroquine Retinopathy: Recommendations on Monitoring. Accessed via </w:t>
            </w:r>
            <w:hyperlink r:id="rId37" w:history="1">
              <w:r w:rsidRPr="00C4062D">
                <w:rPr>
                  <w:rStyle w:val="Hyperlink"/>
                  <w:rFonts w:cs="Arial"/>
                </w:rPr>
                <w:t>https://www.rcophth.ac.uk/standards-publications-research/clinical-guidelines/</w:t>
              </w:r>
            </w:hyperlink>
            <w:r w:rsidRPr="00C4062D">
              <w:rPr>
                <w:rFonts w:cs="Arial"/>
              </w:rPr>
              <w:t xml:space="preserve"> on </w:t>
            </w:r>
            <w:r w:rsidRPr="003318B6">
              <w:rPr>
                <w:rFonts w:cs="Arial"/>
              </w:rPr>
              <w:t>09/11/23</w:t>
            </w:r>
            <w:r w:rsidRPr="00C4062D">
              <w:rPr>
                <w:rFonts w:cs="Arial"/>
              </w:rPr>
              <w:t>.</w:t>
            </w:r>
          </w:p>
          <w:p w14:paraId="48DD5807" w14:textId="5AE00E2E" w:rsidR="008B45CB" w:rsidRPr="00C4062D" w:rsidRDefault="008B45CB" w:rsidP="008B45CB">
            <w:pPr>
              <w:pStyle w:val="ListParagraph"/>
              <w:numPr>
                <w:ilvl w:val="0"/>
                <w:numId w:val="60"/>
              </w:numPr>
              <w:rPr>
                <w:rFonts w:eastAsia="Times New Roman" w:cs="Arial"/>
                <w:lang w:eastAsia="en-GB"/>
              </w:rPr>
            </w:pPr>
            <w:r w:rsidRPr="00C4062D">
              <w:rPr>
                <w:rFonts w:cs="Arial"/>
              </w:rPr>
              <w:t xml:space="preserve">Immunisation against infectious diseases (The Green Book). Accessed via </w:t>
            </w:r>
            <w:hyperlink r:id="rId38" w:history="1">
              <w:r w:rsidRPr="00C4062D">
                <w:rPr>
                  <w:rStyle w:val="Hyperlink"/>
                  <w:rFonts w:cs="Arial"/>
                </w:rPr>
                <w:t>https://www.gov.uk/government/collections/immunisation-against-infectious-disease-the-green-book</w:t>
              </w:r>
            </w:hyperlink>
            <w:r w:rsidRPr="00C4062D">
              <w:rPr>
                <w:rFonts w:cs="Arial"/>
              </w:rPr>
              <w:t xml:space="preserve"> on </w:t>
            </w:r>
            <w:r w:rsidRPr="003318B6">
              <w:rPr>
                <w:rFonts w:cs="Arial"/>
              </w:rPr>
              <w:t>09/11/23</w:t>
            </w:r>
            <w:r w:rsidRPr="00C4062D">
              <w:rPr>
                <w:rFonts w:cs="Arial"/>
              </w:rPr>
              <w:t>.</w:t>
            </w:r>
          </w:p>
          <w:p w14:paraId="44B8422C" w14:textId="40A0638B" w:rsidR="008B45CB" w:rsidRPr="003318B6" w:rsidRDefault="008B45CB" w:rsidP="008B45CB">
            <w:pPr>
              <w:pStyle w:val="ListParagraph"/>
              <w:numPr>
                <w:ilvl w:val="0"/>
                <w:numId w:val="60"/>
              </w:numPr>
              <w:rPr>
                <w:rFonts w:eastAsia="Times New Roman" w:cs="Arial"/>
                <w:lang w:eastAsia="en-GB"/>
              </w:rPr>
            </w:pPr>
            <w:r w:rsidRPr="003318B6">
              <w:rPr>
                <w:rFonts w:cs="Arial"/>
              </w:rPr>
              <w:t xml:space="preserve">Stockley’s Drug Interactions. Accessed via </w:t>
            </w:r>
            <w:hyperlink r:id="rId39" w:history="1">
              <w:r w:rsidRPr="003318B6">
                <w:rPr>
                  <w:rStyle w:val="Hyperlink"/>
                  <w:rFonts w:cs="Arial"/>
                </w:rPr>
                <w:t>www.medicinescomplete.com</w:t>
              </w:r>
            </w:hyperlink>
            <w:r w:rsidRPr="003318B6">
              <w:rPr>
                <w:rFonts w:cs="Arial"/>
              </w:rPr>
              <w:t xml:space="preserve"> on 09/11/23</w:t>
            </w:r>
          </w:p>
          <w:p w14:paraId="6BCF78B5" w14:textId="1DF1CA77" w:rsidR="008B45CB" w:rsidRPr="003318B6" w:rsidRDefault="008B45CB" w:rsidP="008B45CB">
            <w:pPr>
              <w:pStyle w:val="ListParagraph"/>
              <w:numPr>
                <w:ilvl w:val="0"/>
                <w:numId w:val="60"/>
              </w:numPr>
              <w:rPr>
                <w:rFonts w:eastAsia="Times New Roman" w:cs="Arial"/>
                <w:lang w:eastAsia="en-GB"/>
              </w:rPr>
            </w:pPr>
            <w:r w:rsidRPr="003318B6">
              <w:rPr>
                <w:rFonts w:eastAsia="Times New Roman" w:cs="Arial"/>
                <w:lang w:eastAsia="en-GB"/>
              </w:rPr>
              <w:t xml:space="preserve">NEWT Guidelines. Hydroxychloroquine. Last updated November 2012. Accessed via </w:t>
            </w:r>
            <w:hyperlink r:id="rId40" w:history="1">
              <w:r w:rsidRPr="003318B6">
                <w:rPr>
                  <w:rStyle w:val="Hyperlink"/>
                  <w:rFonts w:eastAsia="Times New Roman" w:cs="Arial"/>
                  <w:lang w:eastAsia="en-GB"/>
                </w:rPr>
                <w:t>https://access.newtguidelines.com/H/Hydroxychloroquine.html</w:t>
              </w:r>
            </w:hyperlink>
            <w:r w:rsidRPr="003318B6">
              <w:rPr>
                <w:rFonts w:eastAsia="Times New Roman" w:cs="Arial"/>
                <w:lang w:eastAsia="en-GB"/>
              </w:rPr>
              <w:t xml:space="preserve"> on 09/11/23.</w:t>
            </w:r>
          </w:p>
          <w:p w14:paraId="691F28DD" w14:textId="1156B915" w:rsidR="008B45CB" w:rsidRPr="00013B8F" w:rsidRDefault="008B45CB" w:rsidP="008B45CB">
            <w:pPr>
              <w:pStyle w:val="ListParagraph"/>
              <w:numPr>
                <w:ilvl w:val="0"/>
                <w:numId w:val="60"/>
              </w:numPr>
              <w:rPr>
                <w:rFonts w:cs="Arial"/>
              </w:rPr>
            </w:pPr>
            <w:r w:rsidRPr="003318B6">
              <w:rPr>
                <w:rFonts w:eastAsia="Times New Roman" w:cs="Arial"/>
                <w:lang w:eastAsia="en-GB"/>
              </w:rPr>
              <w:t xml:space="preserve">RMOC Hydroxychloroquine and chloroquine retinopathy monitoring. July 2022. </w:t>
            </w:r>
            <w:hyperlink r:id="rId41" w:history="1">
              <w:r w:rsidRPr="003318B6">
                <w:rPr>
                  <w:rStyle w:val="Hyperlink"/>
                  <w:rFonts w:eastAsia="Times New Roman" w:cs="Arial"/>
                  <w:lang w:eastAsia="en-GB"/>
                </w:rPr>
                <w:t>https://www.england.nhs.uk/publication/hydroxychloroquine-and-chloroquine-retinopathy-monitoring/</w:t>
              </w:r>
            </w:hyperlink>
            <w:r>
              <w:rPr>
                <w:rFonts w:eastAsia="Times New Roman" w:cs="Arial"/>
                <w:lang w:eastAsia="en-GB"/>
              </w:rPr>
              <w:t xml:space="preserve"> </w:t>
            </w:r>
          </w:p>
        </w:tc>
      </w:tr>
      <w:tr w:rsidR="008B45CB" w:rsidRPr="00F321FC" w14:paraId="5BFC9044" w14:textId="77777777" w:rsidTr="65FCFA20">
        <w:tc>
          <w:tcPr>
            <w:tcW w:w="2268" w:type="dxa"/>
          </w:tcPr>
          <w:p w14:paraId="2578110D" w14:textId="586DDC3D" w:rsidR="008B45CB" w:rsidRPr="00F321FC" w:rsidRDefault="008B45CB" w:rsidP="008B45CB">
            <w:pPr>
              <w:pStyle w:val="Heading2"/>
              <w:rPr>
                <w:rFonts w:cs="Arial"/>
              </w:rPr>
            </w:pPr>
            <w:bookmarkStart w:id="28" w:name="sixteen_read_with"/>
            <w:bookmarkStart w:id="29" w:name="_Toc149231800"/>
            <w:r w:rsidRPr="00F321FC">
              <w:rPr>
                <w:rFonts w:cs="Arial"/>
              </w:rPr>
              <w:lastRenderedPageBreak/>
              <w:t>To be read in conjunction with the following documents</w:t>
            </w:r>
            <w:bookmarkEnd w:id="28"/>
            <w:bookmarkEnd w:id="29"/>
          </w:p>
        </w:tc>
        <w:tc>
          <w:tcPr>
            <w:tcW w:w="8193" w:type="dxa"/>
          </w:tcPr>
          <w:p w14:paraId="01EB13B4" w14:textId="77777777" w:rsidR="009C55D2" w:rsidRPr="00AF3CDD" w:rsidRDefault="008B45CB" w:rsidP="008B45CB">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Shared Care for Medicines Guidance – A Standard Approach (RMOC). Available from </w:t>
            </w:r>
            <w:hyperlink r:id="rId42" w:history="1">
              <w:r w:rsidR="00F31736" w:rsidRPr="0099711D">
                <w:rPr>
                  <w:rStyle w:val="Hyperlink"/>
                </w:rPr>
                <w:t>https://www.medicinesresources.nhs.uk/shared-care-for-medicines-guidance-a-standard-approach-rmoc.html</w:t>
              </w:r>
            </w:hyperlink>
          </w:p>
          <w:p w14:paraId="2D3D56F2" w14:textId="4645E18F" w:rsidR="008B45CB" w:rsidRPr="00FB404F" w:rsidRDefault="008B45CB" w:rsidP="008B45CB">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NHSE guidance – </w:t>
            </w:r>
            <w:r w:rsidRPr="00FB404F">
              <w:rPr>
                <w:rFonts w:cs="Arial"/>
              </w:rPr>
              <w:t xml:space="preserve">Responsibility for prescribing between primary &amp; secondary/tertiary care. Available from </w:t>
            </w:r>
            <w:hyperlink r:id="rId43" w:history="1">
              <w:r w:rsidRPr="00FB404F">
                <w:rPr>
                  <w:rStyle w:val="Hyperlink"/>
                  <w:rFonts w:cs="Arial"/>
                </w:rPr>
                <w:t>https://www.england.nhs.uk/publication/responsibility-for-prescribing-between-primary-and-secondary-tertiary-care/</w:t>
              </w:r>
            </w:hyperlink>
            <w:r w:rsidRPr="00FB404F">
              <w:rPr>
                <w:rFonts w:cs="Arial"/>
              </w:rPr>
              <w:t xml:space="preserve"> </w:t>
            </w:r>
          </w:p>
          <w:p w14:paraId="253D5A7B" w14:textId="77777777" w:rsidR="008B45CB" w:rsidRPr="00FB404F" w:rsidRDefault="008B45CB" w:rsidP="008B45CB">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General Medical Council. Good practice in prescribing and managing medicines and devices. Shared care. Available from </w:t>
            </w:r>
            <w:hyperlink r:id="rId44" w:history="1">
              <w:r w:rsidRPr="00FB404F">
                <w:rPr>
                  <w:rStyle w:val="Hyperlink"/>
                  <w:rFonts w:eastAsia="Times New Roman" w:cs="Arial"/>
                  <w:lang w:eastAsia="en-GB"/>
                </w:rPr>
                <w:t>https://www.gmc-uk.org/ethical-guidance/ethical-guidance-for-doctors/good-practice-in-prescribing-and-managing-medicines-and-devices/shared-care</w:t>
              </w:r>
            </w:hyperlink>
            <w:r w:rsidRPr="00FB404F">
              <w:rPr>
                <w:rFonts w:eastAsia="Times New Roman" w:cs="Arial"/>
                <w:lang w:eastAsia="en-GB"/>
              </w:rPr>
              <w:t xml:space="preserve"> </w:t>
            </w:r>
          </w:p>
          <w:p w14:paraId="0A32DAB2" w14:textId="781DB999" w:rsidR="008B45CB" w:rsidRPr="00FB404F" w:rsidRDefault="008B45CB" w:rsidP="008B45CB">
            <w:pPr>
              <w:pStyle w:val="References"/>
              <w:spacing w:after="60"/>
              <w:rPr>
                <w:rFonts w:cs="Arial"/>
              </w:rPr>
            </w:pPr>
            <w:r w:rsidRPr="00FB404F">
              <w:rPr>
                <w:rFonts w:eastAsia="Times New Roman" w:cs="Arial"/>
                <w:lang w:eastAsia="en-GB"/>
              </w:rPr>
              <w:lastRenderedPageBreak/>
              <w:t xml:space="preserve">NICE NG197: Shared decision making. Last updated June 2021. </w:t>
            </w:r>
            <w:hyperlink r:id="rId45" w:history="1">
              <w:r w:rsidRPr="00FB404F">
                <w:rPr>
                  <w:rStyle w:val="Hyperlink"/>
                  <w:rFonts w:eastAsia="Times New Roman" w:cs="Arial"/>
                  <w:lang w:eastAsia="en-GB"/>
                </w:rPr>
                <w:t>https://www.nice.org.uk/guidance/ng197/</w:t>
              </w:r>
            </w:hyperlink>
            <w:r w:rsidRPr="00FB404F">
              <w:rPr>
                <w:rFonts w:eastAsia="Times New Roman" w:cs="Arial"/>
                <w:lang w:eastAsia="en-GB"/>
              </w:rPr>
              <w:t>.</w:t>
            </w:r>
          </w:p>
        </w:tc>
      </w:tr>
    </w:tbl>
    <w:p w14:paraId="542C2C02" w14:textId="77777777" w:rsidR="00854C79" w:rsidRPr="00C72861" w:rsidRDefault="00854C79" w:rsidP="00C72861"/>
    <w:p w14:paraId="3B0B1FF8" w14:textId="6B4E1AD3" w:rsidR="00210EA3" w:rsidRDefault="00210EA3">
      <w:pPr>
        <w:spacing w:before="0" w:after="160"/>
      </w:pPr>
    </w:p>
    <w:sectPr w:rsidR="00210EA3" w:rsidSect="00BF1406">
      <w:footerReference w:type="default" r:id="rId46"/>
      <w:headerReference w:type="first" r:id="rId47"/>
      <w:pgSz w:w="11906" w:h="16838"/>
      <w:pgMar w:top="851" w:right="720" w:bottom="1135"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BC1CD" w14:textId="77777777" w:rsidR="00DB2231" w:rsidRDefault="00DB2231" w:rsidP="00E83C66">
      <w:pPr>
        <w:spacing w:after="0" w:line="240" w:lineRule="auto"/>
      </w:pPr>
      <w:r>
        <w:separator/>
      </w:r>
    </w:p>
  </w:endnote>
  <w:endnote w:type="continuationSeparator" w:id="0">
    <w:p w14:paraId="06D78C37" w14:textId="77777777" w:rsidR="00DB2231" w:rsidRDefault="00DB2231" w:rsidP="00E83C66">
      <w:pPr>
        <w:spacing w:after="0" w:line="240" w:lineRule="auto"/>
      </w:pPr>
      <w:r>
        <w:continuationSeparator/>
      </w:r>
    </w:p>
  </w:endnote>
  <w:endnote w:type="continuationNotice" w:id="1">
    <w:p w14:paraId="014FC7BE" w14:textId="77777777" w:rsidR="00DB2231" w:rsidRDefault="00DB22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F573" w14:textId="2B06F2DD" w:rsidR="005A19CF" w:rsidRPr="00003E35" w:rsidRDefault="00CC4648" w:rsidP="00003E35">
    <w:pPr>
      <w:pStyle w:val="Footer"/>
    </w:pPr>
    <w:r w:rsidRPr="00003E35">
      <w:t xml:space="preserve">Shared care protocol: </w:t>
    </w:r>
    <w:r w:rsidR="00F12AB0">
      <w:t>hydroxychloroquine</w:t>
    </w:r>
    <w:r w:rsidRPr="00003E35">
      <w:t xml:space="preserve"> in adults </w:t>
    </w:r>
    <w:r w:rsidRPr="00003E35">
      <w:tab/>
    </w:r>
    <w:r w:rsidRPr="00003E35">
      <w:tab/>
    </w:r>
    <w:r w:rsidR="00426EAA">
      <w:t xml:space="preserve">HNY </w:t>
    </w:r>
    <w:r w:rsidR="005A19CF">
      <w:t>v1.</w:t>
    </w:r>
    <w:r w:rsidR="00B2759C">
      <w:t>0</w:t>
    </w:r>
  </w:p>
  <w:p w14:paraId="505A2D92" w14:textId="0D3DE7E5" w:rsidR="00BF1406" w:rsidRDefault="00CC4648" w:rsidP="00003E35">
    <w:pPr>
      <w:pStyle w:val="Footer"/>
    </w:pPr>
    <w:r w:rsidRPr="00003E35">
      <w:t xml:space="preserve">Clinical content reviewed by RDTC: </w:t>
    </w:r>
    <w:r w:rsidR="00F12AB0">
      <w:t>9</w:t>
    </w:r>
    <w:r w:rsidR="00F12AB0" w:rsidRPr="00F12AB0">
      <w:rPr>
        <w:vertAlign w:val="superscript"/>
      </w:rPr>
      <w:t>th</w:t>
    </w:r>
    <w:r w:rsidR="00F12AB0">
      <w:t xml:space="preserve"> November 2023</w:t>
    </w:r>
    <w:r w:rsidRPr="00003E35">
      <w:tab/>
    </w:r>
    <w:r w:rsidR="00027C5C">
      <w:t xml:space="preserve">                                   </w:t>
    </w:r>
    <w:r w:rsidRPr="00003E35">
      <w:t xml:space="preserve">Approved by </w:t>
    </w:r>
    <w:r w:rsidR="008B45CB">
      <w:t>HNY</w:t>
    </w:r>
    <w:r w:rsidR="00B2759C">
      <w:t xml:space="preserve"> </w:t>
    </w:r>
    <w:r w:rsidRPr="00003E35">
      <w:t xml:space="preserve">ICB: </w:t>
    </w:r>
    <w:r w:rsidR="00027C5C">
      <w:t>03/2025</w:t>
    </w:r>
  </w:p>
  <w:p w14:paraId="6053BF00" w14:textId="4331C764" w:rsidR="0092446D" w:rsidRPr="0092446D" w:rsidRDefault="0092446D" w:rsidP="0092446D">
    <w:pPr>
      <w:pStyle w:val="Footer"/>
      <w:jc w:val="right"/>
    </w:pPr>
    <w:r w:rsidRPr="0092446D">
      <w:t xml:space="preserve">Page </w:t>
    </w:r>
    <w:r w:rsidRPr="0092446D">
      <w:fldChar w:fldCharType="begin"/>
    </w:r>
    <w:r w:rsidRPr="0092446D">
      <w:instrText xml:space="preserve"> PAGE  \* Arabic  \* MERGEFORMAT </w:instrText>
    </w:r>
    <w:r w:rsidRPr="0092446D">
      <w:fldChar w:fldCharType="separate"/>
    </w:r>
    <w:r w:rsidRPr="0092446D">
      <w:rPr>
        <w:noProof/>
      </w:rPr>
      <w:t>1</w:t>
    </w:r>
    <w:r w:rsidRPr="0092446D">
      <w:fldChar w:fldCharType="end"/>
    </w:r>
    <w:r w:rsidRPr="0092446D">
      <w:t xml:space="preserve"> of </w:t>
    </w:r>
    <w:fldSimple w:instr="NUMPAGES  \* Arabic  \* MERGEFORMAT">
      <w:r w:rsidRPr="0092446D">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A6901" w14:textId="77777777" w:rsidR="00DB2231" w:rsidRDefault="00DB2231" w:rsidP="00E83C66">
      <w:pPr>
        <w:spacing w:after="0" w:line="240" w:lineRule="auto"/>
      </w:pPr>
      <w:r>
        <w:separator/>
      </w:r>
    </w:p>
  </w:footnote>
  <w:footnote w:type="continuationSeparator" w:id="0">
    <w:p w14:paraId="16FAEE78" w14:textId="77777777" w:rsidR="00DB2231" w:rsidRDefault="00DB2231" w:rsidP="00E83C66">
      <w:pPr>
        <w:spacing w:after="0" w:line="240" w:lineRule="auto"/>
      </w:pPr>
      <w:r>
        <w:continuationSeparator/>
      </w:r>
    </w:p>
  </w:footnote>
  <w:footnote w:type="continuationNotice" w:id="1">
    <w:p w14:paraId="662B6432" w14:textId="77777777" w:rsidR="00DB2231" w:rsidRDefault="00DB223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8CF8" w14:textId="143EC73E" w:rsidR="002F01C4" w:rsidRDefault="001B1CA7" w:rsidP="003C21D1">
    <w:pPr>
      <w:pStyle w:val="Header"/>
      <w:spacing w:after="0"/>
      <w:rPr>
        <w:b/>
        <w:bCs/>
      </w:rPr>
    </w:pPr>
    <w:r w:rsidRPr="00EC13F4">
      <w:rPr>
        <w:noProof/>
        <w:lang w:eastAsia="en-GB"/>
      </w:rPr>
      <w:drawing>
        <wp:anchor distT="0" distB="0" distL="114300" distR="114300" simplePos="0" relativeHeight="251656704" behindDoc="1" locked="0" layoutInCell="1" allowOverlap="1" wp14:anchorId="7BA86039" wp14:editId="1B3763E8">
          <wp:simplePos x="0" y="0"/>
          <wp:positionH relativeFrom="margin">
            <wp:align>left</wp:align>
          </wp:positionH>
          <wp:positionV relativeFrom="paragraph">
            <wp:posOffset>-172085</wp:posOffset>
          </wp:positionV>
          <wp:extent cx="2209800" cy="466725"/>
          <wp:effectExtent l="0" t="0" r="0" b="9525"/>
          <wp:wrapTight wrapText="bothSides">
            <wp:wrapPolygon edited="0">
              <wp:start x="0" y="0"/>
              <wp:lineTo x="0" y="21159"/>
              <wp:lineTo x="21414" y="21159"/>
              <wp:lineTo x="21414" y="0"/>
              <wp:lineTo x="0" y="0"/>
            </wp:wrapPolygon>
          </wp:wrapTight>
          <wp:docPr id="21" name="Picture 2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1">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13F4">
      <w:rPr>
        <w:noProof/>
        <w:lang w:eastAsia="en-GB"/>
      </w:rPr>
      <w:drawing>
        <wp:anchor distT="0" distB="0" distL="114300" distR="114300" simplePos="0" relativeHeight="251657728" behindDoc="1" locked="0" layoutInCell="1" allowOverlap="1" wp14:anchorId="087FBB74" wp14:editId="7AE1DF27">
          <wp:simplePos x="0" y="0"/>
          <wp:positionH relativeFrom="margin">
            <wp:posOffset>5276850</wp:posOffset>
          </wp:positionH>
          <wp:positionV relativeFrom="paragraph">
            <wp:posOffset>-162560</wp:posOffset>
          </wp:positionV>
          <wp:extent cx="1259840" cy="766445"/>
          <wp:effectExtent l="0" t="0" r="0" b="0"/>
          <wp:wrapTight wrapText="bothSides">
            <wp:wrapPolygon edited="0">
              <wp:start x="0" y="0"/>
              <wp:lineTo x="0" y="20938"/>
              <wp:lineTo x="21230" y="20938"/>
              <wp:lineTo x="21230" y="0"/>
              <wp:lineTo x="0" y="0"/>
            </wp:wrapPolygon>
          </wp:wrapTight>
          <wp:docPr id="18" name="Picture 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003C21D1">
      <w:rPr>
        <w:b/>
        <w:bCs/>
      </w:rPr>
      <w:tab/>
    </w:r>
  </w:p>
  <w:p w14:paraId="2BFB5E4A" w14:textId="77777777" w:rsidR="002F01C4" w:rsidRDefault="002F01C4" w:rsidP="003C21D1">
    <w:pPr>
      <w:pStyle w:val="Header"/>
      <w:spacing w:after="0"/>
      <w:rPr>
        <w:b/>
        <w:bCs/>
      </w:rPr>
    </w:pPr>
  </w:p>
  <w:p w14:paraId="58AC8FA2" w14:textId="77777777" w:rsidR="001B1CA7" w:rsidRDefault="001B1CA7" w:rsidP="002F01C4">
    <w:pPr>
      <w:pStyle w:val="Header"/>
      <w:spacing w:after="0"/>
      <w:jc w:val="right"/>
      <w:rPr>
        <w:rStyle w:val="Heading1Char"/>
      </w:rPr>
    </w:pPr>
  </w:p>
  <w:p w14:paraId="034ABC3F" w14:textId="0F94C093" w:rsidR="00CB6622" w:rsidRPr="003C21D1" w:rsidRDefault="003C21D1" w:rsidP="009C55D2">
    <w:pPr>
      <w:pStyle w:val="Header"/>
      <w:spacing w:after="0"/>
      <w:jc w:val="right"/>
    </w:pPr>
    <w:r w:rsidRPr="001179FD">
      <w:rPr>
        <w:rStyle w:val="Heading1Char"/>
      </w:rPr>
      <w:t>Shared care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5CE7"/>
    <w:multiLevelType w:val="hybridMultilevel"/>
    <w:tmpl w:val="914692A0"/>
    <w:lvl w:ilvl="0" w:tplc="08090005">
      <w:start w:val="1"/>
      <w:numFmt w:val="bullet"/>
      <w:lvlText w:val=""/>
      <w:lvlJc w:val="left"/>
      <w:pPr>
        <w:ind w:left="2520" w:hanging="360"/>
      </w:pPr>
      <w:rPr>
        <w:rFonts w:ascii="Wingdings" w:hAnsi="Wingdings"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5AF464B"/>
    <w:multiLevelType w:val="hybridMultilevel"/>
    <w:tmpl w:val="51988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D00D6D"/>
    <w:multiLevelType w:val="hybridMultilevel"/>
    <w:tmpl w:val="A230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D44F35"/>
    <w:multiLevelType w:val="hybridMultilevel"/>
    <w:tmpl w:val="B81C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D73EDF"/>
    <w:multiLevelType w:val="hybridMultilevel"/>
    <w:tmpl w:val="815C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23841"/>
    <w:multiLevelType w:val="hybridMultilevel"/>
    <w:tmpl w:val="67CEB5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E045B69"/>
    <w:multiLevelType w:val="hybridMultilevel"/>
    <w:tmpl w:val="367695B0"/>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E60A6"/>
    <w:multiLevelType w:val="hybridMultilevel"/>
    <w:tmpl w:val="0CCEB13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A3C92"/>
    <w:multiLevelType w:val="hybridMultilevel"/>
    <w:tmpl w:val="04A474C8"/>
    <w:lvl w:ilvl="0" w:tplc="E626FE08">
      <w:start w:val="1"/>
      <w:numFmt w:val="bullet"/>
      <w:lvlText w:val=""/>
      <w:lvlJc w:val="left"/>
      <w:pPr>
        <w:ind w:left="644"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84DC7B7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4E6097"/>
    <w:multiLevelType w:val="hybridMultilevel"/>
    <w:tmpl w:val="4EB6247A"/>
    <w:lvl w:ilvl="0" w:tplc="AB30C4F2">
      <w:numFmt w:val="bullet"/>
      <w:lvlText w:val="•"/>
      <w:lvlJc w:val="left"/>
      <w:pPr>
        <w:ind w:left="720" w:hanging="360"/>
      </w:pPr>
      <w:rPr>
        <w:rFonts w:ascii="Arial" w:eastAsiaTheme="minorHAnsi" w:hAnsi="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61B41"/>
    <w:multiLevelType w:val="hybridMultilevel"/>
    <w:tmpl w:val="48043C8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1C470498"/>
    <w:multiLevelType w:val="hybridMultilevel"/>
    <w:tmpl w:val="EE6C3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2F104D"/>
    <w:multiLevelType w:val="hybridMultilevel"/>
    <w:tmpl w:val="108C3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584CB4"/>
    <w:multiLevelType w:val="hybridMultilevel"/>
    <w:tmpl w:val="95F0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8B4532"/>
    <w:multiLevelType w:val="hybridMultilevel"/>
    <w:tmpl w:val="34B45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013B40"/>
    <w:multiLevelType w:val="hybridMultilevel"/>
    <w:tmpl w:val="87CC1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941E9E"/>
    <w:multiLevelType w:val="hybridMultilevel"/>
    <w:tmpl w:val="BF3CFC7A"/>
    <w:lvl w:ilvl="0" w:tplc="F940AB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0D5A85"/>
    <w:multiLevelType w:val="hybridMultilevel"/>
    <w:tmpl w:val="1A1E6E4A"/>
    <w:lvl w:ilvl="0" w:tplc="79F085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1935D5"/>
    <w:multiLevelType w:val="hybridMultilevel"/>
    <w:tmpl w:val="B3122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2A2AFF"/>
    <w:multiLevelType w:val="hybridMultilevel"/>
    <w:tmpl w:val="7600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A2877"/>
    <w:multiLevelType w:val="hybridMultilevel"/>
    <w:tmpl w:val="979241D0"/>
    <w:lvl w:ilvl="0" w:tplc="9FB8E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C73F66"/>
    <w:multiLevelType w:val="hybridMultilevel"/>
    <w:tmpl w:val="E4449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935B69"/>
    <w:multiLevelType w:val="hybridMultilevel"/>
    <w:tmpl w:val="2C646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E928E5"/>
    <w:multiLevelType w:val="hybridMultilevel"/>
    <w:tmpl w:val="86B8EB3E"/>
    <w:lvl w:ilvl="0" w:tplc="617670AA">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5DE25A1"/>
    <w:multiLevelType w:val="hybridMultilevel"/>
    <w:tmpl w:val="44083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B35D49"/>
    <w:multiLevelType w:val="hybridMultilevel"/>
    <w:tmpl w:val="F7B68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EE2D6B"/>
    <w:multiLevelType w:val="hybridMultilevel"/>
    <w:tmpl w:val="4E8CC78E"/>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575A70"/>
    <w:multiLevelType w:val="hybridMultilevel"/>
    <w:tmpl w:val="7AC6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D83B6D"/>
    <w:multiLevelType w:val="hybridMultilevel"/>
    <w:tmpl w:val="E9D67A8E"/>
    <w:lvl w:ilvl="0" w:tplc="5A12B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167EFC"/>
    <w:multiLevelType w:val="hybridMultilevel"/>
    <w:tmpl w:val="A3E05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EB069E9"/>
    <w:multiLevelType w:val="hybridMultilevel"/>
    <w:tmpl w:val="97369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0477811"/>
    <w:multiLevelType w:val="hybridMultilevel"/>
    <w:tmpl w:val="F17849AE"/>
    <w:lvl w:ilvl="0" w:tplc="2ECC90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1B01E5E"/>
    <w:multiLevelType w:val="hybridMultilevel"/>
    <w:tmpl w:val="7AC09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4F042F0"/>
    <w:multiLevelType w:val="hybridMultilevel"/>
    <w:tmpl w:val="8C088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74A7FE9"/>
    <w:multiLevelType w:val="hybridMultilevel"/>
    <w:tmpl w:val="B31E1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4F0E8B"/>
    <w:multiLevelType w:val="hybridMultilevel"/>
    <w:tmpl w:val="40766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826E31"/>
    <w:multiLevelType w:val="hybridMultilevel"/>
    <w:tmpl w:val="3606E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F6440DA"/>
    <w:multiLevelType w:val="hybridMultilevel"/>
    <w:tmpl w:val="5ACA7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05B6072"/>
    <w:multiLevelType w:val="hybridMultilevel"/>
    <w:tmpl w:val="79EE3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0DB005A"/>
    <w:multiLevelType w:val="hybridMultilevel"/>
    <w:tmpl w:val="770C6174"/>
    <w:lvl w:ilvl="0" w:tplc="AB30C4F2">
      <w:numFmt w:val="bullet"/>
      <w:lvlText w:val="•"/>
      <w:lvlJc w:val="left"/>
      <w:pPr>
        <w:ind w:left="1080" w:hanging="360"/>
      </w:pPr>
      <w:rPr>
        <w:rFonts w:ascii="Arial" w:eastAsiaTheme="minorHAnsi" w:hAnsi="Arial" w:hint="default"/>
        <w:b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1971A72"/>
    <w:multiLevelType w:val="hybridMultilevel"/>
    <w:tmpl w:val="6DBA08C2"/>
    <w:lvl w:ilvl="0" w:tplc="178C9B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8E04D6"/>
    <w:multiLevelType w:val="hybridMultilevel"/>
    <w:tmpl w:val="B314A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67405FB3"/>
    <w:multiLevelType w:val="hybridMultilevel"/>
    <w:tmpl w:val="3D4E336A"/>
    <w:lvl w:ilvl="0" w:tplc="F53A632C">
      <w:start w:val="1"/>
      <w:numFmt w:val="bullet"/>
      <w:lvlText w:val=""/>
      <w:lvlJc w:val="left"/>
      <w:pPr>
        <w:ind w:left="740" w:hanging="360"/>
      </w:pPr>
      <w:rPr>
        <w:rFonts w:ascii="Symbol" w:hAnsi="Symbol"/>
      </w:rPr>
    </w:lvl>
    <w:lvl w:ilvl="1" w:tplc="0B24DABE">
      <w:start w:val="1"/>
      <w:numFmt w:val="bullet"/>
      <w:lvlText w:val=""/>
      <w:lvlJc w:val="left"/>
      <w:pPr>
        <w:ind w:left="740" w:hanging="360"/>
      </w:pPr>
      <w:rPr>
        <w:rFonts w:ascii="Symbol" w:hAnsi="Symbol"/>
      </w:rPr>
    </w:lvl>
    <w:lvl w:ilvl="2" w:tplc="3A2628B2">
      <w:start w:val="1"/>
      <w:numFmt w:val="bullet"/>
      <w:lvlText w:val=""/>
      <w:lvlJc w:val="left"/>
      <w:pPr>
        <w:ind w:left="740" w:hanging="360"/>
      </w:pPr>
      <w:rPr>
        <w:rFonts w:ascii="Symbol" w:hAnsi="Symbol"/>
      </w:rPr>
    </w:lvl>
    <w:lvl w:ilvl="3" w:tplc="985445F8">
      <w:start w:val="1"/>
      <w:numFmt w:val="bullet"/>
      <w:lvlText w:val=""/>
      <w:lvlJc w:val="left"/>
      <w:pPr>
        <w:ind w:left="740" w:hanging="360"/>
      </w:pPr>
      <w:rPr>
        <w:rFonts w:ascii="Symbol" w:hAnsi="Symbol"/>
      </w:rPr>
    </w:lvl>
    <w:lvl w:ilvl="4" w:tplc="BEE8467C">
      <w:start w:val="1"/>
      <w:numFmt w:val="bullet"/>
      <w:lvlText w:val=""/>
      <w:lvlJc w:val="left"/>
      <w:pPr>
        <w:ind w:left="740" w:hanging="360"/>
      </w:pPr>
      <w:rPr>
        <w:rFonts w:ascii="Symbol" w:hAnsi="Symbol"/>
      </w:rPr>
    </w:lvl>
    <w:lvl w:ilvl="5" w:tplc="94168FD4">
      <w:start w:val="1"/>
      <w:numFmt w:val="bullet"/>
      <w:lvlText w:val=""/>
      <w:lvlJc w:val="left"/>
      <w:pPr>
        <w:ind w:left="740" w:hanging="360"/>
      </w:pPr>
      <w:rPr>
        <w:rFonts w:ascii="Symbol" w:hAnsi="Symbol"/>
      </w:rPr>
    </w:lvl>
    <w:lvl w:ilvl="6" w:tplc="272AF04E">
      <w:start w:val="1"/>
      <w:numFmt w:val="bullet"/>
      <w:lvlText w:val=""/>
      <w:lvlJc w:val="left"/>
      <w:pPr>
        <w:ind w:left="740" w:hanging="360"/>
      </w:pPr>
      <w:rPr>
        <w:rFonts w:ascii="Symbol" w:hAnsi="Symbol"/>
      </w:rPr>
    </w:lvl>
    <w:lvl w:ilvl="7" w:tplc="62805864">
      <w:start w:val="1"/>
      <w:numFmt w:val="bullet"/>
      <w:lvlText w:val=""/>
      <w:lvlJc w:val="left"/>
      <w:pPr>
        <w:ind w:left="740" w:hanging="360"/>
      </w:pPr>
      <w:rPr>
        <w:rFonts w:ascii="Symbol" w:hAnsi="Symbol"/>
      </w:rPr>
    </w:lvl>
    <w:lvl w:ilvl="8" w:tplc="84C4C044">
      <w:start w:val="1"/>
      <w:numFmt w:val="bullet"/>
      <w:lvlText w:val=""/>
      <w:lvlJc w:val="left"/>
      <w:pPr>
        <w:ind w:left="740" w:hanging="360"/>
      </w:pPr>
      <w:rPr>
        <w:rFonts w:ascii="Symbol" w:hAnsi="Symbol"/>
      </w:rPr>
    </w:lvl>
  </w:abstractNum>
  <w:abstractNum w:abstractNumId="47" w15:restartNumberingAfterBreak="0">
    <w:nsid w:val="686945C6"/>
    <w:multiLevelType w:val="hybridMultilevel"/>
    <w:tmpl w:val="DB2CC392"/>
    <w:lvl w:ilvl="0" w:tplc="AB30C4F2">
      <w:numFmt w:val="bullet"/>
      <w:lvlText w:val="•"/>
      <w:lvlJc w:val="left"/>
      <w:pPr>
        <w:ind w:left="2520" w:hanging="360"/>
      </w:pPr>
      <w:rPr>
        <w:rFonts w:ascii="Arial" w:eastAsiaTheme="minorHAnsi" w:hAnsi="Arial"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8" w15:restartNumberingAfterBreak="0">
    <w:nsid w:val="68DC069E"/>
    <w:multiLevelType w:val="hybridMultilevel"/>
    <w:tmpl w:val="D5C44A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68F25D56"/>
    <w:multiLevelType w:val="hybridMultilevel"/>
    <w:tmpl w:val="F31AD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B98727B"/>
    <w:multiLevelType w:val="hybridMultilevel"/>
    <w:tmpl w:val="6B864AA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42641B"/>
    <w:multiLevelType w:val="hybridMultilevel"/>
    <w:tmpl w:val="3C923F64"/>
    <w:lvl w:ilvl="0" w:tplc="9D321D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E574B5D"/>
    <w:multiLevelType w:val="hybridMultilevel"/>
    <w:tmpl w:val="4EA21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E993D16"/>
    <w:multiLevelType w:val="hybridMultilevel"/>
    <w:tmpl w:val="7BA4D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0BE03CA"/>
    <w:multiLevelType w:val="hybridMultilevel"/>
    <w:tmpl w:val="8DAEC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20E5AF9"/>
    <w:multiLevelType w:val="hybridMultilevel"/>
    <w:tmpl w:val="A858E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4082F82"/>
    <w:multiLevelType w:val="hybridMultilevel"/>
    <w:tmpl w:val="AC76D0C0"/>
    <w:lvl w:ilvl="0" w:tplc="178C9B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C715578"/>
    <w:multiLevelType w:val="hybridMultilevel"/>
    <w:tmpl w:val="43A48068"/>
    <w:lvl w:ilvl="0" w:tplc="32B83B1E">
      <w:start w:val="1"/>
      <w:numFmt w:val="bullet"/>
      <w:pStyle w:val="References"/>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F052E0D"/>
    <w:multiLevelType w:val="hybridMultilevel"/>
    <w:tmpl w:val="AA8EA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F0B0E23"/>
    <w:multiLevelType w:val="hybridMultilevel"/>
    <w:tmpl w:val="5EF2D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5538373">
    <w:abstractNumId w:val="8"/>
  </w:num>
  <w:num w:numId="2" w16cid:durableId="1224100526">
    <w:abstractNumId w:val="51"/>
  </w:num>
  <w:num w:numId="3" w16cid:durableId="1269267838">
    <w:abstractNumId w:val="31"/>
  </w:num>
  <w:num w:numId="4" w16cid:durableId="1792934587">
    <w:abstractNumId w:val="8"/>
  </w:num>
  <w:num w:numId="5" w16cid:durableId="398984978">
    <w:abstractNumId w:val="23"/>
  </w:num>
  <w:num w:numId="6" w16cid:durableId="1711491000">
    <w:abstractNumId w:val="9"/>
  </w:num>
  <w:num w:numId="7" w16cid:durableId="1389835831">
    <w:abstractNumId w:val="42"/>
  </w:num>
  <w:num w:numId="8" w16cid:durableId="1581595270">
    <w:abstractNumId w:val="47"/>
  </w:num>
  <w:num w:numId="9" w16cid:durableId="971983080">
    <w:abstractNumId w:val="0"/>
  </w:num>
  <w:num w:numId="10" w16cid:durableId="1560628545">
    <w:abstractNumId w:val="55"/>
  </w:num>
  <w:num w:numId="11" w16cid:durableId="1895966269">
    <w:abstractNumId w:val="34"/>
  </w:num>
  <w:num w:numId="12" w16cid:durableId="288975919">
    <w:abstractNumId w:val="17"/>
  </w:num>
  <w:num w:numId="13" w16cid:durableId="1595825104">
    <w:abstractNumId w:val="21"/>
  </w:num>
  <w:num w:numId="14" w16cid:durableId="389427299">
    <w:abstractNumId w:val="58"/>
  </w:num>
  <w:num w:numId="15" w16cid:durableId="1326088107">
    <w:abstractNumId w:val="7"/>
  </w:num>
  <w:num w:numId="16" w16cid:durableId="1199200212">
    <w:abstractNumId w:val="43"/>
  </w:num>
  <w:num w:numId="17" w16cid:durableId="1120151965">
    <w:abstractNumId w:val="6"/>
  </w:num>
  <w:num w:numId="18" w16cid:durableId="1796174488">
    <w:abstractNumId w:val="50"/>
  </w:num>
  <w:num w:numId="19" w16cid:durableId="1552424792">
    <w:abstractNumId w:val="29"/>
  </w:num>
  <w:num w:numId="20" w16cid:durableId="1589534415">
    <w:abstractNumId w:val="34"/>
    <w:lvlOverride w:ilvl="0">
      <w:startOverride w:val="1"/>
    </w:lvlOverride>
  </w:num>
  <w:num w:numId="21" w16cid:durableId="1552962026">
    <w:abstractNumId w:val="57"/>
  </w:num>
  <w:num w:numId="22" w16cid:durableId="658383010">
    <w:abstractNumId w:val="24"/>
  </w:num>
  <w:num w:numId="23" w16cid:durableId="375591055">
    <w:abstractNumId w:val="22"/>
  </w:num>
  <w:num w:numId="24" w16cid:durableId="550772202">
    <w:abstractNumId w:val="40"/>
  </w:num>
  <w:num w:numId="25" w16cid:durableId="1276983454">
    <w:abstractNumId w:val="35"/>
  </w:num>
  <w:num w:numId="26" w16cid:durableId="730541721">
    <w:abstractNumId w:val="49"/>
  </w:num>
  <w:num w:numId="27" w16cid:durableId="1994482158">
    <w:abstractNumId w:val="13"/>
  </w:num>
  <w:num w:numId="28" w16cid:durableId="471676908">
    <w:abstractNumId w:val="4"/>
  </w:num>
  <w:num w:numId="29" w16cid:durableId="2031760162">
    <w:abstractNumId w:val="48"/>
  </w:num>
  <w:num w:numId="30" w16cid:durableId="2072149727">
    <w:abstractNumId w:val="3"/>
  </w:num>
  <w:num w:numId="31" w16cid:durableId="1777480698">
    <w:abstractNumId w:val="27"/>
  </w:num>
  <w:num w:numId="32" w16cid:durableId="1374844284">
    <w:abstractNumId w:val="56"/>
  </w:num>
  <w:num w:numId="33" w16cid:durableId="735859193">
    <w:abstractNumId w:val="1"/>
  </w:num>
  <w:num w:numId="34" w16cid:durableId="593896887">
    <w:abstractNumId w:val="5"/>
  </w:num>
  <w:num w:numId="35" w16cid:durableId="80612885">
    <w:abstractNumId w:val="52"/>
  </w:num>
  <w:num w:numId="36" w16cid:durableId="1301955089">
    <w:abstractNumId w:val="33"/>
  </w:num>
  <w:num w:numId="37" w16cid:durableId="643387427">
    <w:abstractNumId w:val="11"/>
  </w:num>
  <w:num w:numId="38" w16cid:durableId="495727423">
    <w:abstractNumId w:val="45"/>
  </w:num>
  <w:num w:numId="39" w16cid:durableId="1173447913">
    <w:abstractNumId w:val="46"/>
  </w:num>
  <w:num w:numId="40" w16cid:durableId="2037151764">
    <w:abstractNumId w:val="37"/>
  </w:num>
  <w:num w:numId="41" w16cid:durableId="612591037">
    <w:abstractNumId w:val="25"/>
  </w:num>
  <w:num w:numId="42" w16cid:durableId="1361206612">
    <w:abstractNumId w:val="10"/>
  </w:num>
  <w:num w:numId="43" w16cid:durableId="345863985">
    <w:abstractNumId w:val="59"/>
  </w:num>
  <w:num w:numId="44" w16cid:durableId="1613442681">
    <w:abstractNumId w:val="12"/>
  </w:num>
  <w:num w:numId="45" w16cid:durableId="1586647821">
    <w:abstractNumId w:val="36"/>
  </w:num>
  <w:num w:numId="46" w16cid:durableId="63456064">
    <w:abstractNumId w:val="16"/>
  </w:num>
  <w:num w:numId="47" w16cid:durableId="1107695073">
    <w:abstractNumId w:val="2"/>
  </w:num>
  <w:num w:numId="48" w16cid:durableId="306591157">
    <w:abstractNumId w:val="38"/>
  </w:num>
  <w:num w:numId="49" w16cid:durableId="1624580757">
    <w:abstractNumId w:val="39"/>
  </w:num>
  <w:num w:numId="50" w16cid:durableId="62917258">
    <w:abstractNumId w:val="15"/>
  </w:num>
  <w:num w:numId="51" w16cid:durableId="20472613">
    <w:abstractNumId w:val="28"/>
  </w:num>
  <w:num w:numId="52" w16cid:durableId="1238590615">
    <w:abstractNumId w:val="32"/>
  </w:num>
  <w:num w:numId="53" w16cid:durableId="1530559140">
    <w:abstractNumId w:val="20"/>
  </w:num>
  <w:num w:numId="54" w16cid:durableId="1630627197">
    <w:abstractNumId w:val="19"/>
  </w:num>
  <w:num w:numId="55" w16cid:durableId="645283442">
    <w:abstractNumId w:val="30"/>
  </w:num>
  <w:num w:numId="56" w16cid:durableId="307826600">
    <w:abstractNumId w:val="44"/>
  </w:num>
  <w:num w:numId="57" w16cid:durableId="323779693">
    <w:abstractNumId w:val="14"/>
  </w:num>
  <w:num w:numId="58" w16cid:durableId="14160928">
    <w:abstractNumId w:val="54"/>
  </w:num>
  <w:num w:numId="59" w16cid:durableId="1221288878">
    <w:abstractNumId w:val="18"/>
  </w:num>
  <w:num w:numId="60" w16cid:durableId="110520465">
    <w:abstractNumId w:val="26"/>
  </w:num>
  <w:num w:numId="61" w16cid:durableId="282809825">
    <w:abstractNumId w:val="53"/>
  </w:num>
  <w:num w:numId="62" w16cid:durableId="599989488">
    <w:abstractNumId w:val="41"/>
  </w:num>
  <w:num w:numId="63" w16cid:durableId="132214519">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zNDEwNbW0NAWS5ko6SsGpxcWZ+XkgBaa1AJeahIYsAAAA"/>
  </w:docVars>
  <w:rsids>
    <w:rsidRoot w:val="00E83C66"/>
    <w:rsid w:val="00003E35"/>
    <w:rsid w:val="00005FC7"/>
    <w:rsid w:val="00006013"/>
    <w:rsid w:val="00013B8F"/>
    <w:rsid w:val="00017F6F"/>
    <w:rsid w:val="00021009"/>
    <w:rsid w:val="00023A66"/>
    <w:rsid w:val="0002435C"/>
    <w:rsid w:val="00026645"/>
    <w:rsid w:val="00027C5C"/>
    <w:rsid w:val="00032724"/>
    <w:rsid w:val="00035AE8"/>
    <w:rsid w:val="00036678"/>
    <w:rsid w:val="00037BD8"/>
    <w:rsid w:val="00044DF9"/>
    <w:rsid w:val="00057CD1"/>
    <w:rsid w:val="00070EF7"/>
    <w:rsid w:val="00081652"/>
    <w:rsid w:val="00093265"/>
    <w:rsid w:val="000950C8"/>
    <w:rsid w:val="00096FBD"/>
    <w:rsid w:val="000A09E6"/>
    <w:rsid w:val="000A0ECA"/>
    <w:rsid w:val="000B18BF"/>
    <w:rsid w:val="000C7CB3"/>
    <w:rsid w:val="000D080C"/>
    <w:rsid w:val="000E2D8B"/>
    <w:rsid w:val="000F1BE5"/>
    <w:rsid w:val="000F4219"/>
    <w:rsid w:val="000F48EC"/>
    <w:rsid w:val="000F53A2"/>
    <w:rsid w:val="000F5E8F"/>
    <w:rsid w:val="000F68E2"/>
    <w:rsid w:val="001026FB"/>
    <w:rsid w:val="00106068"/>
    <w:rsid w:val="001123BA"/>
    <w:rsid w:val="001179FD"/>
    <w:rsid w:val="001208FF"/>
    <w:rsid w:val="001261A8"/>
    <w:rsid w:val="00127BC4"/>
    <w:rsid w:val="00135DDB"/>
    <w:rsid w:val="00141994"/>
    <w:rsid w:val="00142209"/>
    <w:rsid w:val="001432AE"/>
    <w:rsid w:val="00145D93"/>
    <w:rsid w:val="001479B1"/>
    <w:rsid w:val="00152265"/>
    <w:rsid w:val="00161742"/>
    <w:rsid w:val="00165BA2"/>
    <w:rsid w:val="00165F81"/>
    <w:rsid w:val="00170656"/>
    <w:rsid w:val="0017376B"/>
    <w:rsid w:val="00173AC1"/>
    <w:rsid w:val="0017424B"/>
    <w:rsid w:val="00180953"/>
    <w:rsid w:val="001860C1"/>
    <w:rsid w:val="00190AC9"/>
    <w:rsid w:val="001939C7"/>
    <w:rsid w:val="001946BB"/>
    <w:rsid w:val="001948E2"/>
    <w:rsid w:val="0019640D"/>
    <w:rsid w:val="001A101D"/>
    <w:rsid w:val="001A331F"/>
    <w:rsid w:val="001A4776"/>
    <w:rsid w:val="001A51F3"/>
    <w:rsid w:val="001A5B6F"/>
    <w:rsid w:val="001A628C"/>
    <w:rsid w:val="001B0E46"/>
    <w:rsid w:val="001B1CA7"/>
    <w:rsid w:val="001B5F28"/>
    <w:rsid w:val="001B694A"/>
    <w:rsid w:val="001B6C1D"/>
    <w:rsid w:val="001C246F"/>
    <w:rsid w:val="001D0EF0"/>
    <w:rsid w:val="001D2CF1"/>
    <w:rsid w:val="001D5D77"/>
    <w:rsid w:val="001E4A10"/>
    <w:rsid w:val="001E5484"/>
    <w:rsid w:val="001E6FEF"/>
    <w:rsid w:val="001F2BF8"/>
    <w:rsid w:val="001F4159"/>
    <w:rsid w:val="00200BBF"/>
    <w:rsid w:val="00204CAA"/>
    <w:rsid w:val="0020740C"/>
    <w:rsid w:val="00210EA3"/>
    <w:rsid w:val="00214BDA"/>
    <w:rsid w:val="00214C1B"/>
    <w:rsid w:val="0022377F"/>
    <w:rsid w:val="00224A5C"/>
    <w:rsid w:val="00236EDC"/>
    <w:rsid w:val="002415D5"/>
    <w:rsid w:val="0024547E"/>
    <w:rsid w:val="002477FF"/>
    <w:rsid w:val="00250BA1"/>
    <w:rsid w:val="00251EF7"/>
    <w:rsid w:val="002523EC"/>
    <w:rsid w:val="0027038D"/>
    <w:rsid w:val="00273B12"/>
    <w:rsid w:val="00274A7A"/>
    <w:rsid w:val="00276381"/>
    <w:rsid w:val="0028454D"/>
    <w:rsid w:val="002A0803"/>
    <w:rsid w:val="002B0761"/>
    <w:rsid w:val="002B318E"/>
    <w:rsid w:val="002B45DB"/>
    <w:rsid w:val="002C3506"/>
    <w:rsid w:val="002C4029"/>
    <w:rsid w:val="002C5EE8"/>
    <w:rsid w:val="002D1A25"/>
    <w:rsid w:val="002D4BB4"/>
    <w:rsid w:val="002E2BA7"/>
    <w:rsid w:val="002F01C4"/>
    <w:rsid w:val="002F19A6"/>
    <w:rsid w:val="002F2DEA"/>
    <w:rsid w:val="002F47EB"/>
    <w:rsid w:val="002F6F07"/>
    <w:rsid w:val="00302122"/>
    <w:rsid w:val="0030272F"/>
    <w:rsid w:val="00303331"/>
    <w:rsid w:val="0030335E"/>
    <w:rsid w:val="003036A6"/>
    <w:rsid w:val="00306E44"/>
    <w:rsid w:val="00310E09"/>
    <w:rsid w:val="00316F74"/>
    <w:rsid w:val="00320AAD"/>
    <w:rsid w:val="00321555"/>
    <w:rsid w:val="00323120"/>
    <w:rsid w:val="003249D2"/>
    <w:rsid w:val="003263E8"/>
    <w:rsid w:val="003268BD"/>
    <w:rsid w:val="00326BD8"/>
    <w:rsid w:val="003310A9"/>
    <w:rsid w:val="00333A28"/>
    <w:rsid w:val="0034160F"/>
    <w:rsid w:val="00341D88"/>
    <w:rsid w:val="00343C0A"/>
    <w:rsid w:val="00346313"/>
    <w:rsid w:val="00352F67"/>
    <w:rsid w:val="003552BC"/>
    <w:rsid w:val="003558F4"/>
    <w:rsid w:val="00357F6B"/>
    <w:rsid w:val="00360805"/>
    <w:rsid w:val="00360FFA"/>
    <w:rsid w:val="00361167"/>
    <w:rsid w:val="00361FB3"/>
    <w:rsid w:val="0037508C"/>
    <w:rsid w:val="00375C79"/>
    <w:rsid w:val="00386BFD"/>
    <w:rsid w:val="00386DAA"/>
    <w:rsid w:val="003909B6"/>
    <w:rsid w:val="003931A7"/>
    <w:rsid w:val="0039379F"/>
    <w:rsid w:val="0039672B"/>
    <w:rsid w:val="003A4127"/>
    <w:rsid w:val="003A4B07"/>
    <w:rsid w:val="003B3F51"/>
    <w:rsid w:val="003B5125"/>
    <w:rsid w:val="003B65C6"/>
    <w:rsid w:val="003C21D1"/>
    <w:rsid w:val="003C2558"/>
    <w:rsid w:val="003C71A7"/>
    <w:rsid w:val="003D2022"/>
    <w:rsid w:val="003D53B2"/>
    <w:rsid w:val="003E1855"/>
    <w:rsid w:val="003E5512"/>
    <w:rsid w:val="003E5AD7"/>
    <w:rsid w:val="003E7840"/>
    <w:rsid w:val="003F2C46"/>
    <w:rsid w:val="003F440F"/>
    <w:rsid w:val="003F646D"/>
    <w:rsid w:val="003F7161"/>
    <w:rsid w:val="00400E02"/>
    <w:rsid w:val="0040159E"/>
    <w:rsid w:val="004024D1"/>
    <w:rsid w:val="00403F47"/>
    <w:rsid w:val="004050D4"/>
    <w:rsid w:val="00407727"/>
    <w:rsid w:val="0041005A"/>
    <w:rsid w:val="004114D6"/>
    <w:rsid w:val="00413F90"/>
    <w:rsid w:val="0041687B"/>
    <w:rsid w:val="00420944"/>
    <w:rsid w:val="00426EAA"/>
    <w:rsid w:val="00427446"/>
    <w:rsid w:val="00432CCD"/>
    <w:rsid w:val="00432D51"/>
    <w:rsid w:val="0044347D"/>
    <w:rsid w:val="004438CF"/>
    <w:rsid w:val="00447C21"/>
    <w:rsid w:val="00451834"/>
    <w:rsid w:val="0045739D"/>
    <w:rsid w:val="00462329"/>
    <w:rsid w:val="004808EE"/>
    <w:rsid w:val="00485359"/>
    <w:rsid w:val="004864D7"/>
    <w:rsid w:val="004912A2"/>
    <w:rsid w:val="00493A1E"/>
    <w:rsid w:val="004968DC"/>
    <w:rsid w:val="00497922"/>
    <w:rsid w:val="004A28EF"/>
    <w:rsid w:val="004A4D94"/>
    <w:rsid w:val="004A5F57"/>
    <w:rsid w:val="004B05FA"/>
    <w:rsid w:val="004B25D8"/>
    <w:rsid w:val="004B6FA7"/>
    <w:rsid w:val="004B7BBD"/>
    <w:rsid w:val="004C0D86"/>
    <w:rsid w:val="004C2094"/>
    <w:rsid w:val="004C2598"/>
    <w:rsid w:val="004C31F8"/>
    <w:rsid w:val="004C7302"/>
    <w:rsid w:val="004D0DB7"/>
    <w:rsid w:val="004D46F6"/>
    <w:rsid w:val="004D5B8A"/>
    <w:rsid w:val="004E1E65"/>
    <w:rsid w:val="004E5EB8"/>
    <w:rsid w:val="004E6A88"/>
    <w:rsid w:val="004F2781"/>
    <w:rsid w:val="004F5D71"/>
    <w:rsid w:val="004F68AF"/>
    <w:rsid w:val="00502B61"/>
    <w:rsid w:val="0051526F"/>
    <w:rsid w:val="00515CB1"/>
    <w:rsid w:val="00517DC6"/>
    <w:rsid w:val="0052040B"/>
    <w:rsid w:val="00521A7D"/>
    <w:rsid w:val="00521D64"/>
    <w:rsid w:val="005221E5"/>
    <w:rsid w:val="005228A2"/>
    <w:rsid w:val="0053459F"/>
    <w:rsid w:val="00535162"/>
    <w:rsid w:val="0053551A"/>
    <w:rsid w:val="00537F63"/>
    <w:rsid w:val="00541CF7"/>
    <w:rsid w:val="005432DD"/>
    <w:rsid w:val="00545443"/>
    <w:rsid w:val="00547308"/>
    <w:rsid w:val="00547AA5"/>
    <w:rsid w:val="0055256C"/>
    <w:rsid w:val="00561F39"/>
    <w:rsid w:val="00565352"/>
    <w:rsid w:val="00572DB9"/>
    <w:rsid w:val="0057400B"/>
    <w:rsid w:val="00581703"/>
    <w:rsid w:val="00592565"/>
    <w:rsid w:val="0059282E"/>
    <w:rsid w:val="005A19CF"/>
    <w:rsid w:val="005A5F28"/>
    <w:rsid w:val="005A633C"/>
    <w:rsid w:val="005A7119"/>
    <w:rsid w:val="005B37C3"/>
    <w:rsid w:val="005B4BAE"/>
    <w:rsid w:val="005B7F7A"/>
    <w:rsid w:val="005D05B1"/>
    <w:rsid w:val="005D105B"/>
    <w:rsid w:val="005D27FE"/>
    <w:rsid w:val="005D3A0C"/>
    <w:rsid w:val="005D416F"/>
    <w:rsid w:val="005D56F3"/>
    <w:rsid w:val="005D75B4"/>
    <w:rsid w:val="005D79FA"/>
    <w:rsid w:val="005E28D0"/>
    <w:rsid w:val="005E6901"/>
    <w:rsid w:val="005F346E"/>
    <w:rsid w:val="005F3A3B"/>
    <w:rsid w:val="005F3D83"/>
    <w:rsid w:val="006032E2"/>
    <w:rsid w:val="00604054"/>
    <w:rsid w:val="00606BEA"/>
    <w:rsid w:val="00613294"/>
    <w:rsid w:val="006140F7"/>
    <w:rsid w:val="006179D7"/>
    <w:rsid w:val="0062204F"/>
    <w:rsid w:val="006247FA"/>
    <w:rsid w:val="00626457"/>
    <w:rsid w:val="00640678"/>
    <w:rsid w:val="00640FA8"/>
    <w:rsid w:val="00641F7D"/>
    <w:rsid w:val="00643FC9"/>
    <w:rsid w:val="00644539"/>
    <w:rsid w:val="00647492"/>
    <w:rsid w:val="0065325B"/>
    <w:rsid w:val="00656044"/>
    <w:rsid w:val="00661A75"/>
    <w:rsid w:val="006706F6"/>
    <w:rsid w:val="006837B0"/>
    <w:rsid w:val="00683C92"/>
    <w:rsid w:val="0068627A"/>
    <w:rsid w:val="006876AB"/>
    <w:rsid w:val="00692AD5"/>
    <w:rsid w:val="00694531"/>
    <w:rsid w:val="00696EFE"/>
    <w:rsid w:val="006A333F"/>
    <w:rsid w:val="006A6B10"/>
    <w:rsid w:val="006B7253"/>
    <w:rsid w:val="006B7712"/>
    <w:rsid w:val="006C3870"/>
    <w:rsid w:val="006D1D33"/>
    <w:rsid w:val="006D277B"/>
    <w:rsid w:val="006E062E"/>
    <w:rsid w:val="006E1692"/>
    <w:rsid w:val="006E5307"/>
    <w:rsid w:val="006F1403"/>
    <w:rsid w:val="006F2BD8"/>
    <w:rsid w:val="006F5C79"/>
    <w:rsid w:val="007015BE"/>
    <w:rsid w:val="00703459"/>
    <w:rsid w:val="007039EB"/>
    <w:rsid w:val="00716C9C"/>
    <w:rsid w:val="00721E7A"/>
    <w:rsid w:val="007333E4"/>
    <w:rsid w:val="0073466F"/>
    <w:rsid w:val="00743437"/>
    <w:rsid w:val="00747226"/>
    <w:rsid w:val="00747D63"/>
    <w:rsid w:val="007525E6"/>
    <w:rsid w:val="00754FD9"/>
    <w:rsid w:val="00756EF7"/>
    <w:rsid w:val="00761FA3"/>
    <w:rsid w:val="00767B99"/>
    <w:rsid w:val="00776295"/>
    <w:rsid w:val="0078680E"/>
    <w:rsid w:val="0079308C"/>
    <w:rsid w:val="007A288B"/>
    <w:rsid w:val="007A2F8D"/>
    <w:rsid w:val="007A3942"/>
    <w:rsid w:val="007A4CEB"/>
    <w:rsid w:val="007A56FB"/>
    <w:rsid w:val="007A5F2E"/>
    <w:rsid w:val="007A6AB9"/>
    <w:rsid w:val="007A703C"/>
    <w:rsid w:val="007D0860"/>
    <w:rsid w:val="007D49ED"/>
    <w:rsid w:val="007D51BE"/>
    <w:rsid w:val="007E4813"/>
    <w:rsid w:val="007F2776"/>
    <w:rsid w:val="007F5A80"/>
    <w:rsid w:val="007F76B7"/>
    <w:rsid w:val="0080432B"/>
    <w:rsid w:val="0081160F"/>
    <w:rsid w:val="00812579"/>
    <w:rsid w:val="00813FDD"/>
    <w:rsid w:val="00824D10"/>
    <w:rsid w:val="00834811"/>
    <w:rsid w:val="0083681D"/>
    <w:rsid w:val="00850521"/>
    <w:rsid w:val="0085223B"/>
    <w:rsid w:val="0085244E"/>
    <w:rsid w:val="00854C79"/>
    <w:rsid w:val="00855246"/>
    <w:rsid w:val="00857AF2"/>
    <w:rsid w:val="00857D13"/>
    <w:rsid w:val="00864066"/>
    <w:rsid w:val="00870582"/>
    <w:rsid w:val="008875AD"/>
    <w:rsid w:val="00890C0E"/>
    <w:rsid w:val="00891257"/>
    <w:rsid w:val="0089223A"/>
    <w:rsid w:val="00893011"/>
    <w:rsid w:val="0089560C"/>
    <w:rsid w:val="008A1C28"/>
    <w:rsid w:val="008A7289"/>
    <w:rsid w:val="008B45CB"/>
    <w:rsid w:val="008B65FC"/>
    <w:rsid w:val="008C5DE7"/>
    <w:rsid w:val="008C6935"/>
    <w:rsid w:val="008C732D"/>
    <w:rsid w:val="008C759F"/>
    <w:rsid w:val="008D52D9"/>
    <w:rsid w:val="008D6C16"/>
    <w:rsid w:val="008E223E"/>
    <w:rsid w:val="008F6069"/>
    <w:rsid w:val="008F6407"/>
    <w:rsid w:val="008F7C48"/>
    <w:rsid w:val="009017A2"/>
    <w:rsid w:val="00904B9E"/>
    <w:rsid w:val="00913319"/>
    <w:rsid w:val="00913C81"/>
    <w:rsid w:val="00914836"/>
    <w:rsid w:val="00915E09"/>
    <w:rsid w:val="00916713"/>
    <w:rsid w:val="00921203"/>
    <w:rsid w:val="0092446D"/>
    <w:rsid w:val="00924D4C"/>
    <w:rsid w:val="00925D95"/>
    <w:rsid w:val="00926A92"/>
    <w:rsid w:val="0093064C"/>
    <w:rsid w:val="009331B2"/>
    <w:rsid w:val="00934454"/>
    <w:rsid w:val="00934919"/>
    <w:rsid w:val="0094103B"/>
    <w:rsid w:val="0094328F"/>
    <w:rsid w:val="00943F97"/>
    <w:rsid w:val="00944F42"/>
    <w:rsid w:val="00946787"/>
    <w:rsid w:val="009510E4"/>
    <w:rsid w:val="00952F29"/>
    <w:rsid w:val="0095396C"/>
    <w:rsid w:val="00955587"/>
    <w:rsid w:val="0096376B"/>
    <w:rsid w:val="0096381D"/>
    <w:rsid w:val="00971FA7"/>
    <w:rsid w:val="009727D6"/>
    <w:rsid w:val="00974382"/>
    <w:rsid w:val="00977019"/>
    <w:rsid w:val="00977956"/>
    <w:rsid w:val="009827DB"/>
    <w:rsid w:val="00983558"/>
    <w:rsid w:val="0098487D"/>
    <w:rsid w:val="009848FC"/>
    <w:rsid w:val="00986C24"/>
    <w:rsid w:val="00987128"/>
    <w:rsid w:val="00990069"/>
    <w:rsid w:val="0099141A"/>
    <w:rsid w:val="00997659"/>
    <w:rsid w:val="009A1A10"/>
    <w:rsid w:val="009A2B89"/>
    <w:rsid w:val="009A325F"/>
    <w:rsid w:val="009B21F3"/>
    <w:rsid w:val="009C34A6"/>
    <w:rsid w:val="009C3964"/>
    <w:rsid w:val="009C55D2"/>
    <w:rsid w:val="009C64D5"/>
    <w:rsid w:val="009C7155"/>
    <w:rsid w:val="009D28E8"/>
    <w:rsid w:val="009D3C59"/>
    <w:rsid w:val="009D5234"/>
    <w:rsid w:val="009E2C50"/>
    <w:rsid w:val="009E48D1"/>
    <w:rsid w:val="009E7120"/>
    <w:rsid w:val="009E76E0"/>
    <w:rsid w:val="009F0B20"/>
    <w:rsid w:val="009F106E"/>
    <w:rsid w:val="009F147B"/>
    <w:rsid w:val="009F2FB2"/>
    <w:rsid w:val="009F3CD7"/>
    <w:rsid w:val="009F463A"/>
    <w:rsid w:val="009F495B"/>
    <w:rsid w:val="009F60DF"/>
    <w:rsid w:val="00A00E16"/>
    <w:rsid w:val="00A07375"/>
    <w:rsid w:val="00A23014"/>
    <w:rsid w:val="00A238E8"/>
    <w:rsid w:val="00A317B3"/>
    <w:rsid w:val="00A34E93"/>
    <w:rsid w:val="00A34F87"/>
    <w:rsid w:val="00A44140"/>
    <w:rsid w:val="00A51C33"/>
    <w:rsid w:val="00A62C68"/>
    <w:rsid w:val="00A66A1A"/>
    <w:rsid w:val="00A75F2A"/>
    <w:rsid w:val="00A7767F"/>
    <w:rsid w:val="00A866B1"/>
    <w:rsid w:val="00A87208"/>
    <w:rsid w:val="00A87E4E"/>
    <w:rsid w:val="00A93496"/>
    <w:rsid w:val="00AA054A"/>
    <w:rsid w:val="00AA2DB4"/>
    <w:rsid w:val="00AA77AA"/>
    <w:rsid w:val="00AB5625"/>
    <w:rsid w:val="00AB5FFA"/>
    <w:rsid w:val="00AD29EE"/>
    <w:rsid w:val="00AE0E89"/>
    <w:rsid w:val="00AE6B64"/>
    <w:rsid w:val="00AF3702"/>
    <w:rsid w:val="00AF3CDD"/>
    <w:rsid w:val="00AF45C2"/>
    <w:rsid w:val="00AF6D9B"/>
    <w:rsid w:val="00B00BA2"/>
    <w:rsid w:val="00B024B2"/>
    <w:rsid w:val="00B02888"/>
    <w:rsid w:val="00B06191"/>
    <w:rsid w:val="00B1162A"/>
    <w:rsid w:val="00B140AC"/>
    <w:rsid w:val="00B211F5"/>
    <w:rsid w:val="00B26BC0"/>
    <w:rsid w:val="00B2759C"/>
    <w:rsid w:val="00B32818"/>
    <w:rsid w:val="00B34E46"/>
    <w:rsid w:val="00B37609"/>
    <w:rsid w:val="00B448FF"/>
    <w:rsid w:val="00B57456"/>
    <w:rsid w:val="00B6423F"/>
    <w:rsid w:val="00B7076B"/>
    <w:rsid w:val="00B71E59"/>
    <w:rsid w:val="00B73F57"/>
    <w:rsid w:val="00B802D9"/>
    <w:rsid w:val="00B8340C"/>
    <w:rsid w:val="00B86CE1"/>
    <w:rsid w:val="00B87200"/>
    <w:rsid w:val="00B917CE"/>
    <w:rsid w:val="00B934F6"/>
    <w:rsid w:val="00B93FFB"/>
    <w:rsid w:val="00BA2628"/>
    <w:rsid w:val="00BA47E9"/>
    <w:rsid w:val="00BA5689"/>
    <w:rsid w:val="00BA59D4"/>
    <w:rsid w:val="00BB4167"/>
    <w:rsid w:val="00BB50BD"/>
    <w:rsid w:val="00BC10C0"/>
    <w:rsid w:val="00BC3123"/>
    <w:rsid w:val="00BD039A"/>
    <w:rsid w:val="00BD117A"/>
    <w:rsid w:val="00BD1CEE"/>
    <w:rsid w:val="00BD3A2F"/>
    <w:rsid w:val="00BE0C8B"/>
    <w:rsid w:val="00BE22FC"/>
    <w:rsid w:val="00BE36F4"/>
    <w:rsid w:val="00BE5563"/>
    <w:rsid w:val="00BE765E"/>
    <w:rsid w:val="00BF1406"/>
    <w:rsid w:val="00BF174A"/>
    <w:rsid w:val="00BF3215"/>
    <w:rsid w:val="00BF634E"/>
    <w:rsid w:val="00C013FB"/>
    <w:rsid w:val="00C035A7"/>
    <w:rsid w:val="00C03FC3"/>
    <w:rsid w:val="00C047D6"/>
    <w:rsid w:val="00C068F7"/>
    <w:rsid w:val="00C06D95"/>
    <w:rsid w:val="00C07D73"/>
    <w:rsid w:val="00C10A49"/>
    <w:rsid w:val="00C15C81"/>
    <w:rsid w:val="00C2040F"/>
    <w:rsid w:val="00C3123A"/>
    <w:rsid w:val="00C317CC"/>
    <w:rsid w:val="00C31FE5"/>
    <w:rsid w:val="00C3262E"/>
    <w:rsid w:val="00C4222F"/>
    <w:rsid w:val="00C509C8"/>
    <w:rsid w:val="00C54C9D"/>
    <w:rsid w:val="00C64E95"/>
    <w:rsid w:val="00C667D5"/>
    <w:rsid w:val="00C72861"/>
    <w:rsid w:val="00C77A63"/>
    <w:rsid w:val="00C85274"/>
    <w:rsid w:val="00C87247"/>
    <w:rsid w:val="00C93797"/>
    <w:rsid w:val="00C94B7A"/>
    <w:rsid w:val="00C95FCE"/>
    <w:rsid w:val="00CA1513"/>
    <w:rsid w:val="00CA6D16"/>
    <w:rsid w:val="00CA706A"/>
    <w:rsid w:val="00CA70E8"/>
    <w:rsid w:val="00CA734D"/>
    <w:rsid w:val="00CB0F04"/>
    <w:rsid w:val="00CB457C"/>
    <w:rsid w:val="00CB5E9C"/>
    <w:rsid w:val="00CB5ECE"/>
    <w:rsid w:val="00CB6622"/>
    <w:rsid w:val="00CC4648"/>
    <w:rsid w:val="00CC4B76"/>
    <w:rsid w:val="00CD41C1"/>
    <w:rsid w:val="00CD4653"/>
    <w:rsid w:val="00CE22D1"/>
    <w:rsid w:val="00CE6D8F"/>
    <w:rsid w:val="00CF1121"/>
    <w:rsid w:val="00CF42CA"/>
    <w:rsid w:val="00CF5D14"/>
    <w:rsid w:val="00D03A33"/>
    <w:rsid w:val="00D04CA9"/>
    <w:rsid w:val="00D13A1C"/>
    <w:rsid w:val="00D2186F"/>
    <w:rsid w:val="00D24F9E"/>
    <w:rsid w:val="00D31D08"/>
    <w:rsid w:val="00D324D4"/>
    <w:rsid w:val="00D3299B"/>
    <w:rsid w:val="00D32FCD"/>
    <w:rsid w:val="00D33692"/>
    <w:rsid w:val="00D435FB"/>
    <w:rsid w:val="00D5030F"/>
    <w:rsid w:val="00D51C91"/>
    <w:rsid w:val="00D565E0"/>
    <w:rsid w:val="00D61801"/>
    <w:rsid w:val="00D62E9D"/>
    <w:rsid w:val="00D6465A"/>
    <w:rsid w:val="00D6471C"/>
    <w:rsid w:val="00D6535F"/>
    <w:rsid w:val="00D730F3"/>
    <w:rsid w:val="00D763A0"/>
    <w:rsid w:val="00D80BC7"/>
    <w:rsid w:val="00D8177C"/>
    <w:rsid w:val="00D83656"/>
    <w:rsid w:val="00D84DEF"/>
    <w:rsid w:val="00D85A4D"/>
    <w:rsid w:val="00D91957"/>
    <w:rsid w:val="00D94606"/>
    <w:rsid w:val="00DA207D"/>
    <w:rsid w:val="00DA43EF"/>
    <w:rsid w:val="00DA50AB"/>
    <w:rsid w:val="00DA6373"/>
    <w:rsid w:val="00DA6898"/>
    <w:rsid w:val="00DB1904"/>
    <w:rsid w:val="00DB2231"/>
    <w:rsid w:val="00DB4462"/>
    <w:rsid w:val="00DB7920"/>
    <w:rsid w:val="00DB7BE4"/>
    <w:rsid w:val="00DC56F7"/>
    <w:rsid w:val="00DC6BC1"/>
    <w:rsid w:val="00DD1964"/>
    <w:rsid w:val="00DD3EC9"/>
    <w:rsid w:val="00DD72FD"/>
    <w:rsid w:val="00DE4EDB"/>
    <w:rsid w:val="00DE519B"/>
    <w:rsid w:val="00DE5F0F"/>
    <w:rsid w:val="00DF53DC"/>
    <w:rsid w:val="00DF546B"/>
    <w:rsid w:val="00E02748"/>
    <w:rsid w:val="00E02EB3"/>
    <w:rsid w:val="00E237BF"/>
    <w:rsid w:val="00E26932"/>
    <w:rsid w:val="00E35994"/>
    <w:rsid w:val="00E40774"/>
    <w:rsid w:val="00E41DC1"/>
    <w:rsid w:val="00E45F49"/>
    <w:rsid w:val="00E57F18"/>
    <w:rsid w:val="00E6086E"/>
    <w:rsid w:val="00E645B5"/>
    <w:rsid w:val="00E67648"/>
    <w:rsid w:val="00E700EC"/>
    <w:rsid w:val="00E70B23"/>
    <w:rsid w:val="00E72BD0"/>
    <w:rsid w:val="00E768F3"/>
    <w:rsid w:val="00E814FB"/>
    <w:rsid w:val="00E83C66"/>
    <w:rsid w:val="00E933BF"/>
    <w:rsid w:val="00E95339"/>
    <w:rsid w:val="00EA5CA5"/>
    <w:rsid w:val="00EA6E66"/>
    <w:rsid w:val="00EA78BB"/>
    <w:rsid w:val="00EB33A1"/>
    <w:rsid w:val="00EB6ECF"/>
    <w:rsid w:val="00EC0326"/>
    <w:rsid w:val="00EC3273"/>
    <w:rsid w:val="00EC32AE"/>
    <w:rsid w:val="00EC53EF"/>
    <w:rsid w:val="00EC60A1"/>
    <w:rsid w:val="00EC6389"/>
    <w:rsid w:val="00EC702D"/>
    <w:rsid w:val="00ED2366"/>
    <w:rsid w:val="00ED7060"/>
    <w:rsid w:val="00ED7968"/>
    <w:rsid w:val="00ED7C8A"/>
    <w:rsid w:val="00EE22F5"/>
    <w:rsid w:val="00EE3527"/>
    <w:rsid w:val="00EE3DFC"/>
    <w:rsid w:val="00EE51EC"/>
    <w:rsid w:val="00EE6A28"/>
    <w:rsid w:val="00EF0329"/>
    <w:rsid w:val="00EF0D5B"/>
    <w:rsid w:val="00EF1CF5"/>
    <w:rsid w:val="00EF31C2"/>
    <w:rsid w:val="00EF4A47"/>
    <w:rsid w:val="00EF71D5"/>
    <w:rsid w:val="00F02A8A"/>
    <w:rsid w:val="00F06601"/>
    <w:rsid w:val="00F10F0C"/>
    <w:rsid w:val="00F12AB0"/>
    <w:rsid w:val="00F12BB5"/>
    <w:rsid w:val="00F132AA"/>
    <w:rsid w:val="00F24018"/>
    <w:rsid w:val="00F2717B"/>
    <w:rsid w:val="00F31736"/>
    <w:rsid w:val="00F321FC"/>
    <w:rsid w:val="00F34C5E"/>
    <w:rsid w:val="00F3624D"/>
    <w:rsid w:val="00F37647"/>
    <w:rsid w:val="00F4137E"/>
    <w:rsid w:val="00F42B3C"/>
    <w:rsid w:val="00F43222"/>
    <w:rsid w:val="00F465B4"/>
    <w:rsid w:val="00F54268"/>
    <w:rsid w:val="00F556DE"/>
    <w:rsid w:val="00F57B58"/>
    <w:rsid w:val="00F659FE"/>
    <w:rsid w:val="00F66DA7"/>
    <w:rsid w:val="00F70696"/>
    <w:rsid w:val="00F71253"/>
    <w:rsid w:val="00F7127C"/>
    <w:rsid w:val="00F863CC"/>
    <w:rsid w:val="00F86DD5"/>
    <w:rsid w:val="00FA1C34"/>
    <w:rsid w:val="00FA30F5"/>
    <w:rsid w:val="00FA5C0B"/>
    <w:rsid w:val="00FB404F"/>
    <w:rsid w:val="00FB49CB"/>
    <w:rsid w:val="00FD5E17"/>
    <w:rsid w:val="00FD6D26"/>
    <w:rsid w:val="00FE0949"/>
    <w:rsid w:val="00FE3EEF"/>
    <w:rsid w:val="00FE616A"/>
    <w:rsid w:val="00FE6F5A"/>
    <w:rsid w:val="00FE7024"/>
    <w:rsid w:val="00FF2DA0"/>
    <w:rsid w:val="00FF2F68"/>
    <w:rsid w:val="00FF4964"/>
    <w:rsid w:val="00FF56D4"/>
    <w:rsid w:val="02ECDE1A"/>
    <w:rsid w:val="0312E68D"/>
    <w:rsid w:val="049569F9"/>
    <w:rsid w:val="0F23C0C7"/>
    <w:rsid w:val="23B423DA"/>
    <w:rsid w:val="2E673016"/>
    <w:rsid w:val="3EB200E6"/>
    <w:rsid w:val="412CFD78"/>
    <w:rsid w:val="41A577ED"/>
    <w:rsid w:val="4A6A30CE"/>
    <w:rsid w:val="4D845D23"/>
    <w:rsid w:val="5A0BA9A5"/>
    <w:rsid w:val="631B6AA4"/>
    <w:rsid w:val="65FCFA20"/>
    <w:rsid w:val="7A2801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B3C3"/>
  <w15:docId w15:val="{D12D874D-2F3C-4F0A-97E6-C22DE042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F"/>
    <w:pPr>
      <w:spacing w:before="60" w:after="60"/>
    </w:pPr>
    <w:rPr>
      <w:rFonts w:ascii="Arial" w:hAnsi="Arial"/>
    </w:rPr>
  </w:style>
  <w:style w:type="paragraph" w:styleId="Heading1">
    <w:name w:val="heading 1"/>
    <w:basedOn w:val="Header"/>
    <w:next w:val="Normal"/>
    <w:link w:val="Heading1Char"/>
    <w:uiPriority w:val="9"/>
    <w:qFormat/>
    <w:rsid w:val="001179FD"/>
    <w:pPr>
      <w:spacing w:after="0"/>
      <w:outlineLvl w:val="0"/>
    </w:pPr>
    <w:rPr>
      <w:b/>
      <w:bCs/>
      <w:sz w:val="44"/>
      <w:szCs w:val="44"/>
    </w:rPr>
  </w:style>
  <w:style w:type="paragraph" w:styleId="Heading2">
    <w:name w:val="heading 2"/>
    <w:basedOn w:val="Normal"/>
    <w:next w:val="Normal"/>
    <w:link w:val="Heading2Char"/>
    <w:uiPriority w:val="9"/>
    <w:unhideWhenUsed/>
    <w:qFormat/>
    <w:rsid w:val="00ED2366"/>
    <w:pPr>
      <w:keepLines/>
      <w:numPr>
        <w:numId w:val="11"/>
      </w:numPr>
      <w:spacing w:before="40" w:after="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725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6B7253"/>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07"/>
    <w:pPr>
      <w:tabs>
        <w:tab w:val="right" w:pos="10433"/>
      </w:tabs>
      <w:spacing w:after="120" w:line="240" w:lineRule="auto"/>
    </w:pPr>
  </w:style>
  <w:style w:type="character" w:customStyle="1" w:styleId="HeaderChar">
    <w:name w:val="Header Char"/>
    <w:basedOn w:val="DefaultParagraphFont"/>
    <w:link w:val="Header"/>
    <w:uiPriority w:val="99"/>
    <w:rsid w:val="008F6407"/>
  </w:style>
  <w:style w:type="paragraph" w:styleId="Footer">
    <w:name w:val="footer"/>
    <w:basedOn w:val="Normal"/>
    <w:link w:val="FooterChar"/>
    <w:uiPriority w:val="99"/>
    <w:unhideWhenUsed/>
    <w:rsid w:val="00003E35"/>
    <w:pPr>
      <w:tabs>
        <w:tab w:val="center" w:pos="8051"/>
        <w:tab w:val="right" w:pos="10433"/>
      </w:tabs>
      <w:spacing w:before="120" w:after="0" w:line="240" w:lineRule="auto"/>
      <w:contextualSpacing/>
    </w:pPr>
    <w:rPr>
      <w:sz w:val="20"/>
      <w:szCs w:val="20"/>
    </w:rPr>
  </w:style>
  <w:style w:type="character" w:customStyle="1" w:styleId="FooterChar">
    <w:name w:val="Footer Char"/>
    <w:basedOn w:val="DefaultParagraphFont"/>
    <w:link w:val="Footer"/>
    <w:uiPriority w:val="99"/>
    <w:rsid w:val="00003E35"/>
    <w:rPr>
      <w:rFonts w:ascii="Arial" w:hAnsi="Arial"/>
      <w:sz w:val="20"/>
      <w:szCs w:val="20"/>
    </w:rPr>
  </w:style>
  <w:style w:type="paragraph" w:customStyle="1" w:styleId="References">
    <w:name w:val="References"/>
    <w:basedOn w:val="ListParagraph"/>
    <w:qFormat/>
    <w:rsid w:val="00A34F87"/>
    <w:pPr>
      <w:numPr>
        <w:numId w:val="14"/>
      </w:numPr>
      <w:spacing w:after="0" w:line="240" w:lineRule="auto"/>
    </w:pPr>
  </w:style>
  <w:style w:type="character" w:styleId="Strong">
    <w:name w:val="Strong"/>
    <w:basedOn w:val="DefaultParagraphFont"/>
    <w:uiPriority w:val="22"/>
    <w:qFormat/>
    <w:rsid w:val="00E83C66"/>
    <w:rPr>
      <w:b/>
      <w:bCs/>
    </w:rPr>
  </w:style>
  <w:style w:type="character" w:styleId="FollowedHyperlink">
    <w:name w:val="FollowedHyperlink"/>
    <w:basedOn w:val="DefaultParagraphFont"/>
    <w:uiPriority w:val="99"/>
    <w:semiHidden/>
    <w:unhideWhenUsed/>
    <w:rsid w:val="00747226"/>
    <w:rPr>
      <w:color w:val="954F72" w:themeColor="followedHyperlink"/>
      <w:u w:val="single"/>
    </w:rPr>
  </w:style>
  <w:style w:type="table" w:styleId="TableGrid">
    <w:name w:val="Table Grid"/>
    <w:basedOn w:val="TableNormal"/>
    <w:uiPriority w:val="39"/>
    <w:rsid w:val="00BB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366"/>
    <w:rPr>
      <w:rFonts w:eastAsiaTheme="majorEastAsia" w:cstheme="majorBidi"/>
      <w:b/>
      <w:szCs w:val="26"/>
    </w:rPr>
  </w:style>
  <w:style w:type="character" w:customStyle="1" w:styleId="Heading1Char">
    <w:name w:val="Heading 1 Char"/>
    <w:basedOn w:val="DefaultParagraphFont"/>
    <w:link w:val="Heading1"/>
    <w:uiPriority w:val="9"/>
    <w:rsid w:val="001179FD"/>
    <w:rPr>
      <w:b/>
      <w:bCs/>
      <w:sz w:val="44"/>
      <w:szCs w:val="44"/>
    </w:rPr>
  </w:style>
  <w:style w:type="character" w:customStyle="1" w:styleId="Heading3Char">
    <w:name w:val="Heading 3 Char"/>
    <w:basedOn w:val="DefaultParagraphFont"/>
    <w:link w:val="Heading3"/>
    <w:uiPriority w:val="9"/>
    <w:rsid w:val="006B7253"/>
    <w:rPr>
      <w:rFonts w:ascii="Arial" w:eastAsiaTheme="majorEastAsia" w:hAnsi="Arial" w:cstheme="majorBidi"/>
      <w:b/>
      <w:szCs w:val="24"/>
      <w:u w:val="single"/>
    </w:rPr>
  </w:style>
  <w:style w:type="paragraph" w:styleId="Title">
    <w:name w:val="Title"/>
    <w:basedOn w:val="Normal"/>
    <w:next w:val="Normal"/>
    <w:link w:val="TitleChar"/>
    <w:uiPriority w:val="10"/>
    <w:qFormat/>
    <w:rsid w:val="00152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A25"/>
    <w:rPr>
      <w:color w:val="0563C1" w:themeColor="hyperlink"/>
      <w:u w:val="single"/>
    </w:rPr>
  </w:style>
  <w:style w:type="character" w:customStyle="1" w:styleId="UnresolvedMention1">
    <w:name w:val="Unresolved Mention1"/>
    <w:basedOn w:val="DefaultParagraphFont"/>
    <w:uiPriority w:val="99"/>
    <w:semiHidden/>
    <w:unhideWhenUsed/>
    <w:rsid w:val="002D1A25"/>
    <w:rPr>
      <w:color w:val="605E5C"/>
      <w:shd w:val="clear" w:color="auto" w:fill="E1DFDD"/>
    </w:rPr>
  </w:style>
  <w:style w:type="character" w:styleId="CommentReference">
    <w:name w:val="annotation reference"/>
    <w:basedOn w:val="DefaultParagraphFont"/>
    <w:uiPriority w:val="99"/>
    <w:semiHidden/>
    <w:unhideWhenUsed/>
    <w:rsid w:val="00592565"/>
    <w:rPr>
      <w:sz w:val="16"/>
      <w:szCs w:val="16"/>
    </w:rPr>
  </w:style>
  <w:style w:type="paragraph" w:styleId="CommentText">
    <w:name w:val="annotation text"/>
    <w:basedOn w:val="Normal"/>
    <w:link w:val="CommentTextChar"/>
    <w:uiPriority w:val="99"/>
    <w:unhideWhenUsed/>
    <w:rsid w:val="00592565"/>
    <w:pPr>
      <w:spacing w:line="240" w:lineRule="auto"/>
    </w:pPr>
    <w:rPr>
      <w:sz w:val="20"/>
      <w:szCs w:val="20"/>
    </w:rPr>
  </w:style>
  <w:style w:type="character" w:customStyle="1" w:styleId="CommentTextChar">
    <w:name w:val="Comment Text Char"/>
    <w:basedOn w:val="DefaultParagraphFont"/>
    <w:link w:val="CommentText"/>
    <w:uiPriority w:val="99"/>
    <w:rsid w:val="00592565"/>
    <w:rPr>
      <w:sz w:val="20"/>
      <w:szCs w:val="20"/>
    </w:rPr>
  </w:style>
  <w:style w:type="paragraph" w:styleId="CommentSubject">
    <w:name w:val="annotation subject"/>
    <w:basedOn w:val="CommentText"/>
    <w:next w:val="CommentText"/>
    <w:link w:val="CommentSubjectChar"/>
    <w:uiPriority w:val="99"/>
    <w:semiHidden/>
    <w:unhideWhenUsed/>
    <w:rsid w:val="00592565"/>
    <w:rPr>
      <w:b/>
      <w:bCs/>
    </w:rPr>
  </w:style>
  <w:style w:type="character" w:customStyle="1" w:styleId="CommentSubjectChar">
    <w:name w:val="Comment Subject Char"/>
    <w:basedOn w:val="CommentTextChar"/>
    <w:link w:val="CommentSubject"/>
    <w:uiPriority w:val="99"/>
    <w:semiHidden/>
    <w:rsid w:val="00592565"/>
    <w:rPr>
      <w:b/>
      <w:bCs/>
      <w:sz w:val="20"/>
      <w:szCs w:val="20"/>
    </w:rPr>
  </w:style>
  <w:style w:type="paragraph" w:styleId="ListParagraph">
    <w:name w:val="List Paragraph"/>
    <w:basedOn w:val="Normal"/>
    <w:uiPriority w:val="34"/>
    <w:qFormat/>
    <w:rsid w:val="00694531"/>
    <w:pPr>
      <w:ind w:left="720"/>
    </w:pPr>
  </w:style>
  <w:style w:type="paragraph" w:customStyle="1" w:styleId="Default">
    <w:name w:val="Default"/>
    <w:rsid w:val="00DA50AB"/>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C72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7F"/>
    <w:rPr>
      <w:rFonts w:ascii="Tahoma" w:hAnsi="Tahoma" w:cs="Tahoma"/>
      <w:sz w:val="16"/>
      <w:szCs w:val="16"/>
    </w:rPr>
  </w:style>
  <w:style w:type="character" w:styleId="UnresolvedMention">
    <w:name w:val="Unresolved Mention"/>
    <w:basedOn w:val="DefaultParagraphFont"/>
    <w:uiPriority w:val="99"/>
    <w:semiHidden/>
    <w:unhideWhenUsed/>
    <w:rsid w:val="00904B9E"/>
    <w:rPr>
      <w:color w:val="605E5C"/>
      <w:shd w:val="clear" w:color="auto" w:fill="E1DFDD"/>
    </w:rPr>
  </w:style>
  <w:style w:type="character" w:customStyle="1" w:styleId="Heading4Char">
    <w:name w:val="Heading 4 Char"/>
    <w:basedOn w:val="DefaultParagraphFont"/>
    <w:link w:val="Heading4"/>
    <w:uiPriority w:val="9"/>
    <w:rsid w:val="006B7253"/>
    <w:rPr>
      <w:rFonts w:ascii="Arial" w:eastAsiaTheme="majorEastAsia" w:hAnsi="Arial" w:cstheme="majorBidi"/>
      <w:b/>
      <w:iCs/>
    </w:rPr>
  </w:style>
  <w:style w:type="paragraph" w:styleId="Revision">
    <w:name w:val="Revision"/>
    <w:hidden/>
    <w:uiPriority w:val="99"/>
    <w:semiHidden/>
    <w:rsid w:val="00E41DC1"/>
    <w:pPr>
      <w:spacing w:after="0" w:line="240" w:lineRule="auto"/>
    </w:pPr>
    <w:rPr>
      <w:rFonts w:ascii="Arial" w:hAnsi="Arial"/>
    </w:rPr>
  </w:style>
  <w:style w:type="paragraph" w:styleId="TOCHeading">
    <w:name w:val="TOC Heading"/>
    <w:basedOn w:val="Heading1"/>
    <w:next w:val="Normal"/>
    <w:uiPriority w:val="39"/>
    <w:unhideWhenUsed/>
    <w:qFormat/>
    <w:rsid w:val="00BF174A"/>
    <w:pPr>
      <w:keepNext/>
      <w:keepLines/>
      <w:tabs>
        <w:tab w:val="clear" w:pos="10433"/>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BF174A"/>
    <w:pPr>
      <w:spacing w:after="100"/>
      <w:ind w:left="220"/>
    </w:pPr>
  </w:style>
  <w:style w:type="paragraph" w:styleId="TOC3">
    <w:name w:val="toc 3"/>
    <w:basedOn w:val="Normal"/>
    <w:next w:val="Normal"/>
    <w:autoRedefine/>
    <w:uiPriority w:val="39"/>
    <w:unhideWhenUsed/>
    <w:rsid w:val="00BF174A"/>
    <w:pPr>
      <w:spacing w:after="100"/>
      <w:ind w:left="440"/>
    </w:pPr>
  </w:style>
  <w:style w:type="character" w:customStyle="1" w:styleId="normaltextrun">
    <w:name w:val="normaltextrun"/>
    <w:basedOn w:val="DefaultParagraphFont"/>
    <w:rsid w:val="00DB7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76">
      <w:bodyDiv w:val="1"/>
      <w:marLeft w:val="0"/>
      <w:marRight w:val="0"/>
      <w:marTop w:val="0"/>
      <w:marBottom w:val="0"/>
      <w:divBdr>
        <w:top w:val="none" w:sz="0" w:space="0" w:color="auto"/>
        <w:left w:val="none" w:sz="0" w:space="0" w:color="auto"/>
        <w:bottom w:val="none" w:sz="0" w:space="0" w:color="auto"/>
        <w:right w:val="none" w:sz="0" w:space="0" w:color="auto"/>
      </w:divBdr>
    </w:div>
    <w:div w:id="98724605">
      <w:bodyDiv w:val="1"/>
      <w:marLeft w:val="0"/>
      <w:marRight w:val="0"/>
      <w:marTop w:val="0"/>
      <w:marBottom w:val="0"/>
      <w:divBdr>
        <w:top w:val="none" w:sz="0" w:space="0" w:color="auto"/>
        <w:left w:val="none" w:sz="0" w:space="0" w:color="auto"/>
        <w:bottom w:val="none" w:sz="0" w:space="0" w:color="auto"/>
        <w:right w:val="none" w:sz="0" w:space="0" w:color="auto"/>
      </w:divBdr>
    </w:div>
    <w:div w:id="392434290">
      <w:bodyDiv w:val="1"/>
      <w:marLeft w:val="0"/>
      <w:marRight w:val="0"/>
      <w:marTop w:val="0"/>
      <w:marBottom w:val="0"/>
      <w:divBdr>
        <w:top w:val="none" w:sz="0" w:space="0" w:color="auto"/>
        <w:left w:val="none" w:sz="0" w:space="0" w:color="auto"/>
        <w:bottom w:val="none" w:sz="0" w:space="0" w:color="auto"/>
        <w:right w:val="none" w:sz="0" w:space="0" w:color="auto"/>
      </w:divBdr>
    </w:div>
    <w:div w:id="442118525">
      <w:bodyDiv w:val="1"/>
      <w:marLeft w:val="0"/>
      <w:marRight w:val="0"/>
      <w:marTop w:val="0"/>
      <w:marBottom w:val="0"/>
      <w:divBdr>
        <w:top w:val="none" w:sz="0" w:space="0" w:color="auto"/>
        <w:left w:val="none" w:sz="0" w:space="0" w:color="auto"/>
        <w:bottom w:val="none" w:sz="0" w:space="0" w:color="auto"/>
        <w:right w:val="none" w:sz="0" w:space="0" w:color="auto"/>
      </w:divBdr>
    </w:div>
    <w:div w:id="611598489">
      <w:bodyDiv w:val="1"/>
      <w:marLeft w:val="0"/>
      <w:marRight w:val="0"/>
      <w:marTop w:val="0"/>
      <w:marBottom w:val="0"/>
      <w:divBdr>
        <w:top w:val="none" w:sz="0" w:space="0" w:color="auto"/>
        <w:left w:val="none" w:sz="0" w:space="0" w:color="auto"/>
        <w:bottom w:val="none" w:sz="0" w:space="0" w:color="auto"/>
        <w:right w:val="none" w:sz="0" w:space="0" w:color="auto"/>
      </w:divBdr>
    </w:div>
    <w:div w:id="758213889">
      <w:bodyDiv w:val="1"/>
      <w:marLeft w:val="0"/>
      <w:marRight w:val="0"/>
      <w:marTop w:val="0"/>
      <w:marBottom w:val="0"/>
      <w:divBdr>
        <w:top w:val="none" w:sz="0" w:space="0" w:color="auto"/>
        <w:left w:val="none" w:sz="0" w:space="0" w:color="auto"/>
        <w:bottom w:val="none" w:sz="0" w:space="0" w:color="auto"/>
        <w:right w:val="none" w:sz="0" w:space="0" w:color="auto"/>
      </w:divBdr>
    </w:div>
    <w:div w:id="788476080">
      <w:bodyDiv w:val="1"/>
      <w:marLeft w:val="0"/>
      <w:marRight w:val="0"/>
      <w:marTop w:val="0"/>
      <w:marBottom w:val="0"/>
      <w:divBdr>
        <w:top w:val="none" w:sz="0" w:space="0" w:color="auto"/>
        <w:left w:val="none" w:sz="0" w:space="0" w:color="auto"/>
        <w:bottom w:val="none" w:sz="0" w:space="0" w:color="auto"/>
        <w:right w:val="none" w:sz="0" w:space="0" w:color="auto"/>
      </w:divBdr>
    </w:div>
    <w:div w:id="831526969">
      <w:bodyDiv w:val="1"/>
      <w:marLeft w:val="0"/>
      <w:marRight w:val="0"/>
      <w:marTop w:val="0"/>
      <w:marBottom w:val="0"/>
      <w:divBdr>
        <w:top w:val="none" w:sz="0" w:space="0" w:color="auto"/>
        <w:left w:val="none" w:sz="0" w:space="0" w:color="auto"/>
        <w:bottom w:val="none" w:sz="0" w:space="0" w:color="auto"/>
        <w:right w:val="none" w:sz="0" w:space="0" w:color="auto"/>
      </w:divBdr>
    </w:div>
    <w:div w:id="967393288">
      <w:bodyDiv w:val="1"/>
      <w:marLeft w:val="0"/>
      <w:marRight w:val="0"/>
      <w:marTop w:val="0"/>
      <w:marBottom w:val="0"/>
      <w:divBdr>
        <w:top w:val="none" w:sz="0" w:space="0" w:color="auto"/>
        <w:left w:val="none" w:sz="0" w:space="0" w:color="auto"/>
        <w:bottom w:val="none" w:sz="0" w:space="0" w:color="auto"/>
        <w:right w:val="none" w:sz="0" w:space="0" w:color="auto"/>
      </w:divBdr>
    </w:div>
    <w:div w:id="1046831858">
      <w:bodyDiv w:val="1"/>
      <w:marLeft w:val="0"/>
      <w:marRight w:val="0"/>
      <w:marTop w:val="0"/>
      <w:marBottom w:val="0"/>
      <w:divBdr>
        <w:top w:val="none" w:sz="0" w:space="0" w:color="auto"/>
        <w:left w:val="none" w:sz="0" w:space="0" w:color="auto"/>
        <w:bottom w:val="none" w:sz="0" w:space="0" w:color="auto"/>
        <w:right w:val="none" w:sz="0" w:space="0" w:color="auto"/>
      </w:divBdr>
    </w:div>
    <w:div w:id="1260218562">
      <w:bodyDiv w:val="1"/>
      <w:marLeft w:val="0"/>
      <w:marRight w:val="0"/>
      <w:marTop w:val="0"/>
      <w:marBottom w:val="0"/>
      <w:divBdr>
        <w:top w:val="none" w:sz="0" w:space="0" w:color="auto"/>
        <w:left w:val="none" w:sz="0" w:space="0" w:color="auto"/>
        <w:bottom w:val="none" w:sz="0" w:space="0" w:color="auto"/>
        <w:right w:val="none" w:sz="0" w:space="0" w:color="auto"/>
      </w:divBdr>
    </w:div>
    <w:div w:id="1312754261">
      <w:bodyDiv w:val="1"/>
      <w:marLeft w:val="0"/>
      <w:marRight w:val="0"/>
      <w:marTop w:val="0"/>
      <w:marBottom w:val="0"/>
      <w:divBdr>
        <w:top w:val="none" w:sz="0" w:space="0" w:color="auto"/>
        <w:left w:val="none" w:sz="0" w:space="0" w:color="auto"/>
        <w:bottom w:val="none" w:sz="0" w:space="0" w:color="auto"/>
        <w:right w:val="none" w:sz="0" w:space="0" w:color="auto"/>
      </w:divBdr>
    </w:div>
    <w:div w:id="1434281738">
      <w:bodyDiv w:val="1"/>
      <w:marLeft w:val="0"/>
      <w:marRight w:val="0"/>
      <w:marTop w:val="0"/>
      <w:marBottom w:val="0"/>
      <w:divBdr>
        <w:top w:val="none" w:sz="0" w:space="0" w:color="auto"/>
        <w:left w:val="none" w:sz="0" w:space="0" w:color="auto"/>
        <w:bottom w:val="none" w:sz="0" w:space="0" w:color="auto"/>
        <w:right w:val="none" w:sz="0" w:space="0" w:color="auto"/>
      </w:divBdr>
    </w:div>
    <w:div w:id="14688874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922">
          <w:marLeft w:val="0"/>
          <w:marRight w:val="0"/>
          <w:marTop w:val="480"/>
          <w:marBottom w:val="480"/>
          <w:divBdr>
            <w:top w:val="none" w:sz="0" w:space="0" w:color="auto"/>
            <w:left w:val="none" w:sz="0" w:space="0" w:color="auto"/>
            <w:bottom w:val="none" w:sz="0" w:space="0" w:color="auto"/>
            <w:right w:val="none" w:sz="0" w:space="0" w:color="auto"/>
          </w:divBdr>
        </w:div>
      </w:divsChild>
    </w:div>
    <w:div w:id="1583103760">
      <w:bodyDiv w:val="1"/>
      <w:marLeft w:val="0"/>
      <w:marRight w:val="0"/>
      <w:marTop w:val="0"/>
      <w:marBottom w:val="0"/>
      <w:divBdr>
        <w:top w:val="none" w:sz="0" w:space="0" w:color="auto"/>
        <w:left w:val="none" w:sz="0" w:space="0" w:color="auto"/>
        <w:bottom w:val="none" w:sz="0" w:space="0" w:color="auto"/>
        <w:right w:val="none" w:sz="0" w:space="0" w:color="auto"/>
      </w:divBdr>
    </w:div>
    <w:div w:id="1692494063">
      <w:bodyDiv w:val="1"/>
      <w:marLeft w:val="0"/>
      <w:marRight w:val="0"/>
      <w:marTop w:val="0"/>
      <w:marBottom w:val="0"/>
      <w:divBdr>
        <w:top w:val="none" w:sz="0" w:space="0" w:color="auto"/>
        <w:left w:val="none" w:sz="0" w:space="0" w:color="auto"/>
        <w:bottom w:val="none" w:sz="0" w:space="0" w:color="auto"/>
        <w:right w:val="none" w:sz="0" w:space="0" w:color="auto"/>
      </w:divBdr>
    </w:div>
    <w:div w:id="1733887725">
      <w:bodyDiv w:val="1"/>
      <w:marLeft w:val="0"/>
      <w:marRight w:val="0"/>
      <w:marTop w:val="0"/>
      <w:marBottom w:val="0"/>
      <w:divBdr>
        <w:top w:val="none" w:sz="0" w:space="0" w:color="auto"/>
        <w:left w:val="none" w:sz="0" w:space="0" w:color="auto"/>
        <w:bottom w:val="none" w:sz="0" w:space="0" w:color="auto"/>
        <w:right w:val="none" w:sz="0" w:space="0" w:color="auto"/>
      </w:divBdr>
    </w:div>
    <w:div w:id="1868445490">
      <w:bodyDiv w:val="1"/>
      <w:marLeft w:val="0"/>
      <w:marRight w:val="0"/>
      <w:marTop w:val="0"/>
      <w:marBottom w:val="0"/>
      <w:divBdr>
        <w:top w:val="none" w:sz="0" w:space="0" w:color="auto"/>
        <w:left w:val="none" w:sz="0" w:space="0" w:color="auto"/>
        <w:bottom w:val="none" w:sz="0" w:space="0" w:color="auto"/>
        <w:right w:val="none" w:sz="0" w:space="0" w:color="auto"/>
      </w:divBdr>
    </w:div>
    <w:div w:id="1872181608">
      <w:bodyDiv w:val="1"/>
      <w:marLeft w:val="0"/>
      <w:marRight w:val="0"/>
      <w:marTop w:val="0"/>
      <w:marBottom w:val="0"/>
      <w:divBdr>
        <w:top w:val="none" w:sz="0" w:space="0" w:color="auto"/>
        <w:left w:val="none" w:sz="0" w:space="0" w:color="auto"/>
        <w:bottom w:val="none" w:sz="0" w:space="0" w:color="auto"/>
        <w:right w:val="none" w:sz="0" w:space="0" w:color="auto"/>
      </w:divBdr>
    </w:div>
    <w:div w:id="1890533152">
      <w:bodyDiv w:val="1"/>
      <w:marLeft w:val="0"/>
      <w:marRight w:val="0"/>
      <w:marTop w:val="0"/>
      <w:marBottom w:val="0"/>
      <w:divBdr>
        <w:top w:val="none" w:sz="0" w:space="0" w:color="auto"/>
        <w:left w:val="none" w:sz="0" w:space="0" w:color="auto"/>
        <w:bottom w:val="none" w:sz="0" w:space="0" w:color="auto"/>
        <w:right w:val="none" w:sz="0" w:space="0" w:color="auto"/>
      </w:divBdr>
    </w:div>
    <w:div w:id="21138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publication/hydroxychloroquine-and-chloroquine-retinopathy-monitoring/" TargetMode="External"/><Relationship Id="rId18" Type="http://schemas.openxmlformats.org/officeDocument/2006/relationships/hyperlink" Target="https://www.rcophth.ac.uk/resources-listing/2609/" TargetMode="External"/><Relationship Id="rId26" Type="http://schemas.openxmlformats.org/officeDocument/2006/relationships/hyperlink" Target="https://www.sps.nhs.uk/medicines/hydroxychloroquine/" TargetMode="External"/><Relationship Id="rId39" Type="http://schemas.openxmlformats.org/officeDocument/2006/relationships/hyperlink" Target="http://www.medicinescomplete.com" TargetMode="External"/><Relationship Id="rId21" Type="http://schemas.openxmlformats.org/officeDocument/2006/relationships/hyperlink" Target="https://www.versusarthritis.org/about-arthritis/treatments/drugs/hydroxychloroquine/" TargetMode="External"/><Relationship Id="rId34" Type="http://schemas.openxmlformats.org/officeDocument/2006/relationships/hyperlink" Target="https://academic.oup.com/rheumatology/article/62/4/e48/6783012" TargetMode="External"/><Relationship Id="rId42" Type="http://schemas.openxmlformats.org/officeDocument/2006/relationships/hyperlink" Target="https://www.medicinesresources.nhs.uk/shared-care-for-medicines-guidance-a-standard-approach-rmoc.html" TargetMode="External"/><Relationship Id="rId47"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drug-safety-update/hydroxychloroquine-chloroquine-increased-risk-of-cardiovascular-events-when-used-with-macrolide-antibiotics-reminder-of-psychiatric-reactions" TargetMode="External"/><Relationship Id="rId29" Type="http://schemas.openxmlformats.org/officeDocument/2006/relationships/hyperlink" Target="https://www.medicines.org.uk/emc/product/1764/smpc" TargetMode="External"/><Relationship Id="rId11" Type="http://schemas.openxmlformats.org/officeDocument/2006/relationships/hyperlink" Target="https://rdtc.nhs.uk/prescribing-support-document/shared-care-protocol-hydroxychloroquine-for-adults" TargetMode="External"/><Relationship Id="rId24" Type="http://schemas.openxmlformats.org/officeDocument/2006/relationships/hyperlink" Target="https://academic.oup.com/rheumatology/article/62/4/e48/6783012" TargetMode="External"/><Relationship Id="rId32" Type="http://schemas.openxmlformats.org/officeDocument/2006/relationships/hyperlink" Target="https://www.medicines.org.uk/emc/product/11516/smpc" TargetMode="External"/><Relationship Id="rId37" Type="http://schemas.openxmlformats.org/officeDocument/2006/relationships/hyperlink" Target="https://www.rcophth.ac.uk/standards-publications-research/clinical-guidelines/" TargetMode="External"/><Relationship Id="rId40" Type="http://schemas.openxmlformats.org/officeDocument/2006/relationships/hyperlink" Target="https://access.newtguidelines.com/H/Hydroxychloroquine.html" TargetMode="External"/><Relationship Id="rId45" Type="http://schemas.openxmlformats.org/officeDocument/2006/relationships/hyperlink" Target="https://www.nice.org.uk/guidance/ng197/" TargetMode="External"/><Relationship Id="rId5" Type="http://schemas.openxmlformats.org/officeDocument/2006/relationships/numbering" Target="numbering.xml"/><Relationship Id="rId15" Type="http://schemas.openxmlformats.org/officeDocument/2006/relationships/hyperlink" Target="https://www.medicines.org.uk/emc/search?q=hydroxychloroquine" TargetMode="External"/><Relationship Id="rId23" Type="http://schemas.openxmlformats.org/officeDocument/2006/relationships/hyperlink" Target="https://www.medicines.org.uk/emc/search?q=hydroxychloroquine" TargetMode="External"/><Relationship Id="rId28" Type="http://schemas.openxmlformats.org/officeDocument/2006/relationships/hyperlink" Target="https://www.medicines.org.uk/emc/product/477/smpc" TargetMode="External"/><Relationship Id="rId36" Type="http://schemas.openxmlformats.org/officeDocument/2006/relationships/hyperlink" Target="https://renaldrugdatabase.com/monographs/hydroxychloroquine-sulphat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riving-eyesight-rules" TargetMode="External"/><Relationship Id="rId31" Type="http://schemas.openxmlformats.org/officeDocument/2006/relationships/hyperlink" Target="https://www.medicines.org.uk/emc/product/11540/smpc" TargetMode="External"/><Relationship Id="rId44" Type="http://schemas.openxmlformats.org/officeDocument/2006/relationships/hyperlink" Target="https://www.gmc-uk.org/ethical-guidance/ethical-guidance-for-doctors/good-practice-in-prescribing-and-managing-medicines-and-devices/shared-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nf.nice.org.uk/drugs/hydroxychloroquine-sulfate/" TargetMode="External"/><Relationship Id="rId22" Type="http://schemas.openxmlformats.org/officeDocument/2006/relationships/hyperlink" Target="https://www.bad.org.uk/pils/hydroxychloroquine/" TargetMode="External"/><Relationship Id="rId27" Type="http://schemas.openxmlformats.org/officeDocument/2006/relationships/hyperlink" Target="https://bnf.nice.org.uk/" TargetMode="External"/><Relationship Id="rId30" Type="http://schemas.openxmlformats.org/officeDocument/2006/relationships/hyperlink" Target="https://products.mhra.gov.uk/" TargetMode="External"/><Relationship Id="rId35" Type="http://schemas.openxmlformats.org/officeDocument/2006/relationships/hyperlink" Target="https://www.brit-thoracic.org.uk/quality-improvement/guideline-archive/" TargetMode="External"/><Relationship Id="rId43" Type="http://schemas.openxmlformats.org/officeDocument/2006/relationships/hyperlink" Target="https://www.england.nhs.uk/publication/responsibility-for-prescribing-between-primary-and-secondary-tertiary-car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cophth.ac.uk/resources-listing/2609/" TargetMode="External"/><Relationship Id="rId17" Type="http://schemas.openxmlformats.org/officeDocument/2006/relationships/hyperlink" Target="http://www.mhra.gov.uk/yellowcard" TargetMode="External"/><Relationship Id="rId25" Type="http://schemas.openxmlformats.org/officeDocument/2006/relationships/hyperlink" Target="https://www.medicinesinpregnancy.org/Medicine--pregnancy/Hydroxychloroquine/" TargetMode="External"/><Relationship Id="rId33" Type="http://schemas.openxmlformats.org/officeDocument/2006/relationships/hyperlink" Target="https://academic.oup.com/rheumatology/article/56/6/865/3053478" TargetMode="External"/><Relationship Id="rId38" Type="http://schemas.openxmlformats.org/officeDocument/2006/relationships/hyperlink" Target="https://www.gov.uk/government/collections/immunisation-against-infectious-disease-the-green-book" TargetMode="External"/><Relationship Id="rId46" Type="http://schemas.openxmlformats.org/officeDocument/2006/relationships/footer" Target="footer1.xml"/><Relationship Id="rId20" Type="http://schemas.openxmlformats.org/officeDocument/2006/relationships/hyperlink" Target="https://patient.info/medicine/hydroxychloroquine-tablets-quinoric" TargetMode="External"/><Relationship Id="rId41" Type="http://schemas.openxmlformats.org/officeDocument/2006/relationships/hyperlink" Target="https://www.england.nhs.uk/publication/hydroxychloroquine-and-chloroquine-retinopathy-monitoring/"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88ABB97A67E4EA2083C22FCA94378" ma:contentTypeVersion="5" ma:contentTypeDescription="Create a new document." ma:contentTypeScope="" ma:versionID="9695e443c6b4ba3f68b40eea0afb1639">
  <xsd:schema xmlns:xsd="http://www.w3.org/2001/XMLSchema" xmlns:xs="http://www.w3.org/2001/XMLSchema" xmlns:p="http://schemas.microsoft.com/office/2006/metadata/properties" xmlns:ns1="http://schemas.microsoft.com/sharepoint/v3" xmlns:ns2="7458167c-9a79-42c5-aac0-817fa7082c5d" targetNamespace="http://schemas.microsoft.com/office/2006/metadata/properties" ma:root="true" ma:fieldsID="9ad8dcefff8c298cb7a6d5a8872b2050" ns1:_="" ns2:_="">
    <xsd:import namespace="http://schemas.microsoft.com/sharepoint/v3"/>
    <xsd:import namespace="7458167c-9a79-42c5-aac0-817fa7082c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8167c-9a79-42c5-aac0-817fa7082c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238D101-8B1E-4839-B85D-7112538AD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58167c-9a79-42c5-aac0-817fa7082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AB882-76C8-4C3A-80F2-A88BAF8090B7}">
  <ds:schemaRefs>
    <ds:schemaRef ds:uri="http://schemas.microsoft.com/sharepoint/v3/contenttype/forms"/>
  </ds:schemaRefs>
</ds:datastoreItem>
</file>

<file path=customXml/itemProps3.xml><?xml version="1.0" encoding="utf-8"?>
<ds:datastoreItem xmlns:ds="http://schemas.openxmlformats.org/officeDocument/2006/customXml" ds:itemID="{093E9162-DEC7-44E8-8273-8CB87F1B73B5}">
  <ds:schemaRefs>
    <ds:schemaRef ds:uri="http://schemas.openxmlformats.org/officeDocument/2006/bibliography"/>
  </ds:schemaRefs>
</ds:datastoreItem>
</file>

<file path=customXml/itemProps4.xml><?xml version="1.0" encoding="utf-8"?>
<ds:datastoreItem xmlns:ds="http://schemas.openxmlformats.org/officeDocument/2006/customXml" ds:itemID="{250F89DA-698B-430F-9822-AD922465335C}">
  <ds:schemaRefs>
    <ds:schemaRef ds:uri="http://www.w3.org/XML/1998/namespace"/>
    <ds:schemaRef ds:uri="http://purl.org/dc/elements/1.1/"/>
    <ds:schemaRef ds:uri="http://schemas.microsoft.com/sharepoint/v3"/>
    <ds:schemaRef ds:uri="7458167c-9a79-42c5-aac0-817fa7082c5d"/>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4033</Words>
  <Characters>22994</Characters>
  <Application>Microsoft Office Word</Application>
  <DocSecurity>0</DocSecurity>
  <Lines>191</Lines>
  <Paragraphs>53</Paragraphs>
  <ScaleCrop>false</ScaleCrop>
  <Company>RLBUHT</Company>
  <LinksUpToDate>false</LinksUpToDate>
  <CharactersWithSpaces>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Donlon Kieron (MLCSU)</dc:creator>
  <cp:keywords/>
  <cp:lastModifiedBy>STANIFORTH, Rachel (NHS HUMBER AND NORTH YORKSHIRE ICB - 42D)</cp:lastModifiedBy>
  <cp:revision>3</cp:revision>
  <cp:lastPrinted>2022-03-11T14:19:00Z</cp:lastPrinted>
  <dcterms:created xsi:type="dcterms:W3CDTF">2025-06-13T10:39:00Z</dcterms:created>
  <dcterms:modified xsi:type="dcterms:W3CDTF">2025-06-13T10:40:00Z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0x01010021388ABB97A67E4EA2083C22FCA94378</vt:lpwstr>
  </property>
  <property fmtid="{D5CDD505-2E9C-101B-9397-08002B2CF9AE}" pid="3" name="_dlc_DocIdItemGuid">
    <vt:lpwstr>51b1480d-bcbe-4409-8965-5d4ba7a1fe1a</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