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1814" w14:textId="77777777" w:rsidR="00A14FA5" w:rsidRPr="003A3889" w:rsidRDefault="00A14FA5" w:rsidP="00A14FA5">
      <w:pPr>
        <w:rPr>
          <w:rFonts w:ascii="Aptos" w:hAnsi="Aptos"/>
        </w:rPr>
      </w:pPr>
    </w:p>
    <w:p w14:paraId="19CC6220" w14:textId="77777777" w:rsidR="00F06E05" w:rsidRPr="00FF0A64" w:rsidRDefault="00F06E05" w:rsidP="00F06E05">
      <w:pPr>
        <w:pStyle w:val="NoSpacing"/>
        <w:jc w:val="center"/>
        <w:rPr>
          <w:rFonts w:ascii="Arial" w:hAnsi="Arial" w:cs="Arial"/>
          <w:b/>
          <w:bCs/>
          <w:color w:val="0E2841" w:themeColor="text2"/>
          <w:sz w:val="32"/>
          <w:szCs w:val="32"/>
        </w:rPr>
      </w:pPr>
      <w:r w:rsidRPr="00FF0A64">
        <w:rPr>
          <w:rFonts w:ascii="Arial" w:hAnsi="Arial" w:cs="Arial"/>
          <w:b/>
          <w:bCs/>
          <w:color w:val="0E2841" w:themeColor="text2"/>
          <w:sz w:val="32"/>
          <w:szCs w:val="32"/>
        </w:rPr>
        <w:t>Humber and North Yorkshire Health</w:t>
      </w:r>
    </w:p>
    <w:p w14:paraId="50DD205E" w14:textId="77777777" w:rsidR="00F06E05" w:rsidRDefault="00F06E05" w:rsidP="00F06E05">
      <w:pPr>
        <w:pStyle w:val="NoSpacing"/>
        <w:jc w:val="center"/>
        <w:rPr>
          <w:rFonts w:ascii="Arial" w:hAnsi="Arial" w:cs="Arial"/>
          <w:b/>
          <w:bCs/>
          <w:color w:val="0E2841" w:themeColor="text2"/>
          <w:sz w:val="32"/>
          <w:szCs w:val="32"/>
        </w:rPr>
      </w:pPr>
      <w:r w:rsidRPr="00FF0A64">
        <w:rPr>
          <w:rFonts w:ascii="Arial" w:hAnsi="Arial" w:cs="Arial"/>
          <w:b/>
          <w:bCs/>
          <w:color w:val="0E2841" w:themeColor="text2"/>
          <w:sz w:val="32"/>
          <w:szCs w:val="32"/>
        </w:rPr>
        <w:t>and Care Partnership</w:t>
      </w:r>
    </w:p>
    <w:p w14:paraId="4E2F9F92" w14:textId="77777777" w:rsidR="00F06E05" w:rsidRPr="00FF0A64" w:rsidRDefault="00F06E05" w:rsidP="00F06E05">
      <w:pPr>
        <w:pStyle w:val="NoSpacing"/>
        <w:jc w:val="center"/>
        <w:rPr>
          <w:rFonts w:ascii="Arial" w:hAnsi="Arial" w:cs="Arial"/>
          <w:b/>
          <w:bCs/>
          <w:color w:val="0E2841" w:themeColor="text2"/>
          <w:sz w:val="32"/>
          <w:szCs w:val="32"/>
        </w:rPr>
      </w:pPr>
    </w:p>
    <w:p w14:paraId="140993AF" w14:textId="77777777" w:rsidR="00F06E05" w:rsidRDefault="00F06E05" w:rsidP="00F06E05">
      <w:pPr>
        <w:pStyle w:val="NoSpacing"/>
        <w:jc w:val="center"/>
        <w:rPr>
          <w:rFonts w:ascii="Arial" w:hAnsi="Arial" w:cs="Arial"/>
          <w:b/>
          <w:bCs/>
          <w:color w:val="0E2841" w:themeColor="text2"/>
          <w:sz w:val="32"/>
          <w:szCs w:val="32"/>
        </w:rPr>
      </w:pPr>
      <w:r w:rsidRPr="00FF0A64">
        <w:rPr>
          <w:rFonts w:ascii="Arial" w:hAnsi="Arial" w:cs="Arial"/>
          <w:b/>
          <w:bCs/>
          <w:color w:val="0E2841" w:themeColor="text2"/>
          <w:sz w:val="32"/>
          <w:szCs w:val="32"/>
        </w:rPr>
        <w:t>Humber and North Yorkshire Area Prescribing Committee</w:t>
      </w:r>
      <w:r>
        <w:rPr>
          <w:rFonts w:ascii="Arial" w:hAnsi="Arial" w:cs="Arial"/>
          <w:b/>
          <w:bCs/>
          <w:color w:val="0E2841" w:themeColor="text2"/>
          <w:sz w:val="32"/>
          <w:szCs w:val="32"/>
        </w:rPr>
        <w:t xml:space="preserve"> (HNY APC)</w:t>
      </w:r>
    </w:p>
    <w:p w14:paraId="26DB1C34" w14:textId="77777777" w:rsidR="00D35B72" w:rsidRDefault="00D35B72" w:rsidP="00F06E05">
      <w:pPr>
        <w:pStyle w:val="NoSpacing"/>
        <w:rPr>
          <w:rFonts w:ascii="Arial" w:hAnsi="Arial" w:cs="Arial"/>
          <w:b/>
          <w:bCs/>
          <w:sz w:val="24"/>
          <w:szCs w:val="24"/>
        </w:rPr>
      </w:pPr>
    </w:p>
    <w:p w14:paraId="35797A8F" w14:textId="7E134212" w:rsidR="00201003" w:rsidRPr="00201003" w:rsidRDefault="00FA6B98" w:rsidP="00201003">
      <w:pPr>
        <w:pStyle w:val="Heading2"/>
        <w:rPr>
          <w:b/>
          <w:bCs/>
        </w:rPr>
      </w:pPr>
      <w:r w:rsidRPr="00FA6B98">
        <w:rPr>
          <w:b/>
          <w:bCs/>
        </w:rPr>
        <w:t xml:space="preserve">Appendix </w:t>
      </w:r>
      <w:r w:rsidR="00201003">
        <w:rPr>
          <w:b/>
          <w:bCs/>
        </w:rPr>
        <w:t>1</w:t>
      </w:r>
      <w:r w:rsidRPr="00FA6B98">
        <w:rPr>
          <w:b/>
          <w:bCs/>
        </w:rPr>
        <w:t xml:space="preserve">: </w:t>
      </w:r>
      <w:r w:rsidR="00201003">
        <w:rPr>
          <w:b/>
          <w:bCs/>
        </w:rPr>
        <w:t>Table 1</w:t>
      </w:r>
      <w:r w:rsidR="00C33546">
        <w:rPr>
          <w:b/>
          <w:bCs/>
        </w:rPr>
        <w:t xml:space="preserve"> - </w:t>
      </w:r>
      <w:r w:rsidR="00201003" w:rsidRPr="00201003">
        <w:rPr>
          <w:b/>
          <w:bCs/>
        </w:rPr>
        <w:t>Summary of Different Information regarding GLP1 receptor agonists and Humber and North Yorkshire Area Prescribing Committee Summary</w:t>
      </w:r>
      <w:r w:rsidR="00201003" w:rsidRPr="00911FA4">
        <w:rPr>
          <w:rFonts w:ascii="Aptos" w:hAnsi="Aptos"/>
          <w:b/>
          <w:bCs/>
          <w:sz w:val="24"/>
          <w:szCs w:val="24"/>
        </w:rPr>
        <w:t xml:space="preserve"> </w:t>
      </w:r>
      <w:r w:rsidR="00201003" w:rsidRPr="00201003">
        <w:rPr>
          <w:b/>
          <w:bCs/>
        </w:rPr>
        <w:t>for Clinicians</w:t>
      </w:r>
      <w:r w:rsidR="00C33546">
        <w:rPr>
          <w:b/>
          <w:bCs/>
        </w:rPr>
        <w:t xml:space="preserve"> (</w:t>
      </w:r>
      <w:r w:rsidR="0084418F">
        <w:rPr>
          <w:b/>
          <w:bCs/>
        </w:rPr>
        <w:t>23</w:t>
      </w:r>
      <w:r w:rsidR="00C33546">
        <w:rPr>
          <w:b/>
          <w:bCs/>
        </w:rPr>
        <w:t>.06.25)</w:t>
      </w:r>
    </w:p>
    <w:tbl>
      <w:tblPr>
        <w:tblStyle w:val="TableGrid"/>
        <w:tblW w:w="0" w:type="auto"/>
        <w:tblLook w:val="04A0" w:firstRow="1" w:lastRow="0" w:firstColumn="1" w:lastColumn="0" w:noHBand="0" w:noVBand="1"/>
      </w:tblPr>
      <w:tblGrid>
        <w:gridCol w:w="1523"/>
        <w:gridCol w:w="4389"/>
        <w:gridCol w:w="1925"/>
        <w:gridCol w:w="2122"/>
        <w:gridCol w:w="4848"/>
      </w:tblGrid>
      <w:tr w:rsidR="00201003" w:rsidRPr="00F0608D" w14:paraId="1B93FD28" w14:textId="77777777" w:rsidTr="006B411A">
        <w:tc>
          <w:tcPr>
            <w:tcW w:w="9959" w:type="dxa"/>
            <w:gridSpan w:val="4"/>
            <w:shd w:val="clear" w:color="auto" w:fill="auto"/>
          </w:tcPr>
          <w:p w14:paraId="105F9A04" w14:textId="77777777" w:rsidR="00201003" w:rsidRPr="00F0608D" w:rsidRDefault="00201003" w:rsidP="006B411A">
            <w:pPr>
              <w:rPr>
                <w:b/>
                <w:bCs/>
                <w:sz w:val="24"/>
                <w:szCs w:val="24"/>
              </w:rPr>
            </w:pPr>
          </w:p>
        </w:tc>
        <w:tc>
          <w:tcPr>
            <w:tcW w:w="4848" w:type="dxa"/>
            <w:shd w:val="clear" w:color="auto" w:fill="FFFF00"/>
          </w:tcPr>
          <w:p w14:paraId="3EA44BAB" w14:textId="77777777" w:rsidR="00201003" w:rsidRDefault="00201003" w:rsidP="006B411A">
            <w:pPr>
              <w:rPr>
                <w:b/>
                <w:bCs/>
                <w:sz w:val="24"/>
                <w:szCs w:val="24"/>
              </w:rPr>
            </w:pPr>
            <w:r>
              <w:rPr>
                <w:b/>
                <w:bCs/>
                <w:sz w:val="24"/>
                <w:szCs w:val="24"/>
              </w:rPr>
              <w:t xml:space="preserve">NHS Clinicians working in HNY </w:t>
            </w:r>
          </w:p>
          <w:p w14:paraId="3FF7AC26" w14:textId="77777777" w:rsidR="00201003" w:rsidRDefault="00201003" w:rsidP="006B411A">
            <w:pPr>
              <w:rPr>
                <w:b/>
                <w:bCs/>
                <w:sz w:val="24"/>
                <w:szCs w:val="24"/>
              </w:rPr>
            </w:pPr>
            <w:r>
              <w:rPr>
                <w:b/>
                <w:bCs/>
                <w:sz w:val="24"/>
                <w:szCs w:val="24"/>
              </w:rPr>
              <w:t>PLEASE FOLLOW THIS ↓</w:t>
            </w:r>
          </w:p>
        </w:tc>
      </w:tr>
      <w:tr w:rsidR="00201003" w:rsidRPr="00F0608D" w14:paraId="7E5E27B4" w14:textId="77777777" w:rsidTr="006B411A">
        <w:tc>
          <w:tcPr>
            <w:tcW w:w="1523" w:type="dxa"/>
            <w:shd w:val="clear" w:color="auto" w:fill="B3E5A1" w:themeFill="accent6" w:themeFillTint="66"/>
          </w:tcPr>
          <w:p w14:paraId="1763A8B9" w14:textId="77777777" w:rsidR="00201003" w:rsidRPr="00F0608D" w:rsidRDefault="00201003" w:rsidP="006B411A">
            <w:pPr>
              <w:rPr>
                <w:b/>
                <w:bCs/>
                <w:sz w:val="24"/>
                <w:szCs w:val="24"/>
              </w:rPr>
            </w:pPr>
            <w:r w:rsidRPr="00F0608D">
              <w:rPr>
                <w:b/>
                <w:bCs/>
                <w:sz w:val="24"/>
                <w:szCs w:val="24"/>
              </w:rPr>
              <w:t>Drug</w:t>
            </w:r>
          </w:p>
        </w:tc>
        <w:tc>
          <w:tcPr>
            <w:tcW w:w="4389" w:type="dxa"/>
            <w:shd w:val="clear" w:color="auto" w:fill="B3E5A1" w:themeFill="accent6" w:themeFillTint="66"/>
          </w:tcPr>
          <w:p w14:paraId="654C75BB" w14:textId="77777777" w:rsidR="00201003" w:rsidRPr="00F0608D" w:rsidRDefault="00201003" w:rsidP="006B411A">
            <w:pPr>
              <w:rPr>
                <w:b/>
                <w:bCs/>
                <w:sz w:val="24"/>
                <w:szCs w:val="24"/>
              </w:rPr>
            </w:pPr>
            <w:r w:rsidRPr="00F0608D">
              <w:rPr>
                <w:b/>
                <w:bCs/>
                <w:sz w:val="24"/>
                <w:szCs w:val="24"/>
              </w:rPr>
              <w:t>NICE T</w:t>
            </w:r>
            <w:r>
              <w:rPr>
                <w:b/>
                <w:bCs/>
                <w:sz w:val="24"/>
                <w:szCs w:val="24"/>
              </w:rPr>
              <w:t>echnology Appraisal and/or NICE Guidelines</w:t>
            </w:r>
          </w:p>
        </w:tc>
        <w:tc>
          <w:tcPr>
            <w:tcW w:w="1925" w:type="dxa"/>
            <w:shd w:val="clear" w:color="auto" w:fill="B3E5A1" w:themeFill="accent6" w:themeFillTint="66"/>
          </w:tcPr>
          <w:p w14:paraId="414D6D70" w14:textId="77777777" w:rsidR="00201003" w:rsidRPr="00F0608D" w:rsidRDefault="00201003" w:rsidP="006B411A">
            <w:pPr>
              <w:rPr>
                <w:b/>
                <w:bCs/>
                <w:sz w:val="24"/>
                <w:szCs w:val="24"/>
              </w:rPr>
            </w:pPr>
            <w:r w:rsidRPr="00F0608D">
              <w:rPr>
                <w:b/>
                <w:bCs/>
                <w:sz w:val="24"/>
                <w:szCs w:val="24"/>
              </w:rPr>
              <w:t>NHSE Commissioning</w:t>
            </w:r>
          </w:p>
        </w:tc>
        <w:tc>
          <w:tcPr>
            <w:tcW w:w="2122" w:type="dxa"/>
            <w:shd w:val="clear" w:color="auto" w:fill="B3E5A1" w:themeFill="accent6" w:themeFillTint="66"/>
          </w:tcPr>
          <w:p w14:paraId="526C27BF" w14:textId="77777777" w:rsidR="00201003" w:rsidRPr="00F0608D" w:rsidRDefault="00201003" w:rsidP="006B411A">
            <w:pPr>
              <w:rPr>
                <w:b/>
                <w:bCs/>
                <w:sz w:val="24"/>
                <w:szCs w:val="24"/>
              </w:rPr>
            </w:pPr>
            <w:r w:rsidRPr="00F0608D">
              <w:rPr>
                <w:b/>
                <w:bCs/>
                <w:sz w:val="24"/>
                <w:szCs w:val="24"/>
              </w:rPr>
              <w:t>Licence</w:t>
            </w:r>
          </w:p>
        </w:tc>
        <w:tc>
          <w:tcPr>
            <w:tcW w:w="4848" w:type="dxa"/>
            <w:shd w:val="clear" w:color="auto" w:fill="B3E5A1" w:themeFill="accent6" w:themeFillTint="66"/>
          </w:tcPr>
          <w:p w14:paraId="1A3D9DDC" w14:textId="77777777" w:rsidR="00201003" w:rsidRDefault="00201003" w:rsidP="006B411A">
            <w:pPr>
              <w:rPr>
                <w:b/>
                <w:bCs/>
                <w:sz w:val="24"/>
                <w:szCs w:val="24"/>
              </w:rPr>
            </w:pPr>
            <w:r>
              <w:rPr>
                <w:b/>
                <w:bCs/>
                <w:sz w:val="24"/>
                <w:szCs w:val="24"/>
              </w:rPr>
              <w:t>Humber and North Yorkshire ICB</w:t>
            </w:r>
          </w:p>
          <w:p w14:paraId="48DDC1BC" w14:textId="77777777" w:rsidR="00201003" w:rsidRPr="00F0608D" w:rsidRDefault="00201003" w:rsidP="006B411A">
            <w:pPr>
              <w:rPr>
                <w:b/>
                <w:bCs/>
                <w:sz w:val="24"/>
                <w:szCs w:val="24"/>
              </w:rPr>
            </w:pPr>
            <w:r w:rsidRPr="00F0608D">
              <w:rPr>
                <w:b/>
                <w:bCs/>
                <w:sz w:val="24"/>
                <w:szCs w:val="24"/>
              </w:rPr>
              <w:t>Summary for NHS Clinicians</w:t>
            </w:r>
          </w:p>
        </w:tc>
      </w:tr>
      <w:tr w:rsidR="00201003" w:rsidRPr="00F0608D" w14:paraId="0551FD17" w14:textId="77777777" w:rsidTr="006B411A">
        <w:tc>
          <w:tcPr>
            <w:tcW w:w="1523" w:type="dxa"/>
            <w:shd w:val="clear" w:color="auto" w:fill="DAE9F7" w:themeFill="text2" w:themeFillTint="1A"/>
          </w:tcPr>
          <w:p w14:paraId="7D261F7F" w14:textId="77777777" w:rsidR="00201003" w:rsidRPr="00F0608D" w:rsidRDefault="00201003" w:rsidP="006B411A">
            <w:pPr>
              <w:rPr>
                <w:sz w:val="24"/>
                <w:szCs w:val="24"/>
              </w:rPr>
            </w:pPr>
            <w:r w:rsidRPr="00F0608D">
              <w:rPr>
                <w:sz w:val="24"/>
                <w:szCs w:val="24"/>
              </w:rPr>
              <w:t>Tirzepatide (Mounjaro®)</w:t>
            </w:r>
          </w:p>
          <w:p w14:paraId="3A9335C3" w14:textId="77777777" w:rsidR="00201003" w:rsidRPr="00F0608D" w:rsidRDefault="00201003" w:rsidP="006B411A">
            <w:pPr>
              <w:rPr>
                <w:sz w:val="24"/>
                <w:szCs w:val="24"/>
              </w:rPr>
            </w:pPr>
          </w:p>
          <w:p w14:paraId="3C823F99" w14:textId="77777777" w:rsidR="00201003" w:rsidRPr="00F0608D" w:rsidRDefault="00201003" w:rsidP="006B411A">
            <w:pPr>
              <w:rPr>
                <w:sz w:val="24"/>
                <w:szCs w:val="24"/>
              </w:rPr>
            </w:pPr>
            <w:r w:rsidRPr="00F0608D">
              <w:rPr>
                <w:sz w:val="24"/>
                <w:szCs w:val="24"/>
              </w:rPr>
              <w:t>For overweight and obesity</w:t>
            </w:r>
          </w:p>
        </w:tc>
        <w:tc>
          <w:tcPr>
            <w:tcW w:w="4389" w:type="dxa"/>
            <w:shd w:val="clear" w:color="auto" w:fill="DAE9F7" w:themeFill="text2" w:themeFillTint="1A"/>
          </w:tcPr>
          <w:p w14:paraId="6BCEAE8A" w14:textId="77777777" w:rsidR="00201003" w:rsidRPr="00F0608D" w:rsidRDefault="00201003" w:rsidP="006B411A">
            <w:pPr>
              <w:rPr>
                <w:sz w:val="24"/>
                <w:szCs w:val="24"/>
              </w:rPr>
            </w:pPr>
            <w:hyperlink r:id="rId7" w:history="1">
              <w:r w:rsidRPr="00F0608D">
                <w:rPr>
                  <w:rStyle w:val="Hyperlink"/>
                  <w:sz w:val="24"/>
                  <w:szCs w:val="24"/>
                </w:rPr>
                <w:t>Tirzepatide for managing overweight and obesity – NICE TA 1026</w:t>
              </w:r>
            </w:hyperlink>
          </w:p>
          <w:p w14:paraId="730ADBCA" w14:textId="77777777" w:rsidR="00201003" w:rsidRPr="00F0608D" w:rsidRDefault="00201003" w:rsidP="006B411A">
            <w:pPr>
              <w:rPr>
                <w:sz w:val="24"/>
                <w:szCs w:val="24"/>
              </w:rPr>
            </w:pPr>
          </w:p>
          <w:p w14:paraId="029ED7BC" w14:textId="77777777" w:rsidR="00201003" w:rsidRPr="00F0608D" w:rsidRDefault="00201003" w:rsidP="006B411A">
            <w:pPr>
              <w:rPr>
                <w:sz w:val="24"/>
                <w:szCs w:val="24"/>
              </w:rPr>
            </w:pPr>
            <w:r w:rsidRPr="00F0608D">
              <w:rPr>
                <w:sz w:val="24"/>
                <w:szCs w:val="24"/>
              </w:rPr>
              <w:t xml:space="preserve">Tirzepatide (Mounjaro®) is recommended by NICE TA1026 for managing obesity alongside a reduced calorie diet and increased physical activity in adults, only if they have: </w:t>
            </w:r>
          </w:p>
          <w:p w14:paraId="22C70ACF" w14:textId="77777777" w:rsidR="00201003" w:rsidRPr="00F0608D" w:rsidRDefault="00201003" w:rsidP="006B411A">
            <w:pPr>
              <w:rPr>
                <w:sz w:val="24"/>
                <w:szCs w:val="24"/>
              </w:rPr>
            </w:pPr>
            <w:r>
              <w:rPr>
                <w:sz w:val="24"/>
                <w:szCs w:val="24"/>
              </w:rPr>
              <w:t>-</w:t>
            </w:r>
            <w:r w:rsidRPr="00F0608D">
              <w:rPr>
                <w:sz w:val="24"/>
                <w:szCs w:val="24"/>
              </w:rPr>
              <w:t xml:space="preserve">an initial body mass index (BMI) of at least 35 kg/m2 *; and </w:t>
            </w:r>
          </w:p>
          <w:p w14:paraId="48F673EE" w14:textId="77777777" w:rsidR="00201003" w:rsidRPr="00F0608D" w:rsidRDefault="00201003" w:rsidP="006B411A">
            <w:pPr>
              <w:rPr>
                <w:sz w:val="24"/>
                <w:szCs w:val="24"/>
              </w:rPr>
            </w:pPr>
            <w:r>
              <w:rPr>
                <w:sz w:val="24"/>
                <w:szCs w:val="24"/>
              </w:rPr>
              <w:t>-</w:t>
            </w:r>
            <w:r w:rsidRPr="00F0608D">
              <w:rPr>
                <w:sz w:val="24"/>
                <w:szCs w:val="24"/>
              </w:rPr>
              <w:t xml:space="preserve">at least 1 weight-related comorbidity. </w:t>
            </w:r>
          </w:p>
          <w:p w14:paraId="31CA3BF1" w14:textId="77777777" w:rsidR="00201003" w:rsidRDefault="00201003" w:rsidP="006B411A">
            <w:pPr>
              <w:rPr>
                <w:sz w:val="24"/>
                <w:szCs w:val="24"/>
              </w:rPr>
            </w:pPr>
          </w:p>
          <w:p w14:paraId="366A5528" w14:textId="77777777" w:rsidR="00201003" w:rsidRDefault="00201003" w:rsidP="006B411A">
            <w:pPr>
              <w:rPr>
                <w:sz w:val="24"/>
                <w:szCs w:val="24"/>
              </w:rPr>
            </w:pPr>
            <w:r>
              <w:rPr>
                <w:sz w:val="24"/>
                <w:szCs w:val="24"/>
              </w:rPr>
              <w:t>*</w:t>
            </w:r>
            <w:r w:rsidRPr="00F0608D">
              <w:rPr>
                <w:sz w:val="24"/>
                <w:szCs w:val="24"/>
              </w:rPr>
              <w:t>Use a lower BMI threshold (usually reduced by 2.5 kg/m</w:t>
            </w:r>
            <w:proofErr w:type="gramStart"/>
            <w:r w:rsidRPr="00F0608D">
              <w:rPr>
                <w:sz w:val="24"/>
                <w:szCs w:val="24"/>
              </w:rPr>
              <w:t>2 )</w:t>
            </w:r>
            <w:proofErr w:type="gramEnd"/>
            <w:r w:rsidRPr="00F0608D">
              <w:rPr>
                <w:sz w:val="24"/>
                <w:szCs w:val="24"/>
              </w:rPr>
              <w:t xml:space="preserve"> for people from South Asian, Chinese, other Asian, Middle Eastern, Black African or African-Caribbean ethnic</w:t>
            </w:r>
            <w:r>
              <w:rPr>
                <w:sz w:val="24"/>
                <w:szCs w:val="24"/>
              </w:rPr>
              <w:t xml:space="preserve"> </w:t>
            </w:r>
            <w:r w:rsidRPr="00F0608D">
              <w:rPr>
                <w:sz w:val="24"/>
                <w:szCs w:val="24"/>
              </w:rPr>
              <w:t>backgrounds.</w:t>
            </w:r>
            <w:r>
              <w:rPr>
                <w:sz w:val="24"/>
                <w:szCs w:val="24"/>
              </w:rPr>
              <w:t xml:space="preserve"> </w:t>
            </w:r>
          </w:p>
          <w:p w14:paraId="2851B9BF" w14:textId="77777777" w:rsidR="00201003" w:rsidRDefault="00201003" w:rsidP="006B411A">
            <w:pPr>
              <w:rPr>
                <w:sz w:val="24"/>
                <w:szCs w:val="24"/>
              </w:rPr>
            </w:pPr>
          </w:p>
          <w:p w14:paraId="624FA289" w14:textId="77777777" w:rsidR="00201003" w:rsidRPr="00F0608D" w:rsidRDefault="00201003" w:rsidP="006B411A">
            <w:pPr>
              <w:rPr>
                <w:sz w:val="24"/>
                <w:szCs w:val="24"/>
              </w:rPr>
            </w:pPr>
            <w:r w:rsidRPr="00F0608D">
              <w:rPr>
                <w:sz w:val="24"/>
                <w:szCs w:val="24"/>
              </w:rPr>
              <w:lastRenderedPageBreak/>
              <w:t>Tirzepatide (Mounjaro®) is recommended by NICE for use in primary care settings and specialist weight management services.</w:t>
            </w:r>
          </w:p>
          <w:p w14:paraId="241B4CEB" w14:textId="77777777" w:rsidR="00201003" w:rsidRPr="00F0608D" w:rsidRDefault="00201003" w:rsidP="006B411A">
            <w:pPr>
              <w:rPr>
                <w:sz w:val="24"/>
                <w:szCs w:val="24"/>
              </w:rPr>
            </w:pPr>
          </w:p>
          <w:p w14:paraId="4662A378" w14:textId="77777777" w:rsidR="00201003" w:rsidRDefault="00201003" w:rsidP="006B411A">
            <w:pPr>
              <w:rPr>
                <w:sz w:val="24"/>
                <w:szCs w:val="24"/>
              </w:rPr>
            </w:pPr>
          </w:p>
          <w:p w14:paraId="5126131A" w14:textId="77777777" w:rsidR="00201003" w:rsidRDefault="00201003" w:rsidP="006B411A">
            <w:pPr>
              <w:rPr>
                <w:sz w:val="24"/>
                <w:szCs w:val="24"/>
              </w:rPr>
            </w:pPr>
          </w:p>
          <w:p w14:paraId="3CB7A47D" w14:textId="77777777" w:rsidR="00201003" w:rsidRDefault="00201003" w:rsidP="006B411A">
            <w:pPr>
              <w:rPr>
                <w:sz w:val="24"/>
                <w:szCs w:val="24"/>
              </w:rPr>
            </w:pPr>
          </w:p>
          <w:p w14:paraId="6C2E134B" w14:textId="77777777" w:rsidR="00201003" w:rsidRPr="00F0608D" w:rsidRDefault="00201003" w:rsidP="006B411A">
            <w:pPr>
              <w:rPr>
                <w:sz w:val="24"/>
                <w:szCs w:val="24"/>
              </w:rPr>
            </w:pPr>
          </w:p>
        </w:tc>
        <w:tc>
          <w:tcPr>
            <w:tcW w:w="1925" w:type="dxa"/>
            <w:shd w:val="clear" w:color="auto" w:fill="DAE9F7" w:themeFill="text2" w:themeFillTint="1A"/>
          </w:tcPr>
          <w:p w14:paraId="3EA713D1" w14:textId="77777777" w:rsidR="00201003" w:rsidRPr="00F0608D" w:rsidRDefault="00201003" w:rsidP="006B411A">
            <w:pPr>
              <w:rPr>
                <w:sz w:val="24"/>
                <w:szCs w:val="24"/>
              </w:rPr>
            </w:pPr>
            <w:r w:rsidRPr="00F0608D">
              <w:rPr>
                <w:sz w:val="24"/>
                <w:szCs w:val="24"/>
              </w:rPr>
              <w:lastRenderedPageBreak/>
              <w:t>Year 1 (June 2025 – June 2026)</w:t>
            </w:r>
          </w:p>
          <w:p w14:paraId="2AAFFE3C" w14:textId="77777777" w:rsidR="00201003" w:rsidRPr="00F0608D" w:rsidRDefault="00201003" w:rsidP="006B411A">
            <w:pPr>
              <w:rPr>
                <w:sz w:val="24"/>
                <w:szCs w:val="24"/>
              </w:rPr>
            </w:pPr>
          </w:p>
          <w:p w14:paraId="3CB91E50" w14:textId="77777777" w:rsidR="00201003" w:rsidRDefault="00201003" w:rsidP="006B411A">
            <w:pPr>
              <w:rPr>
                <w:sz w:val="24"/>
                <w:szCs w:val="24"/>
              </w:rPr>
            </w:pPr>
            <w:r w:rsidRPr="00F0608D">
              <w:rPr>
                <w:sz w:val="24"/>
                <w:szCs w:val="24"/>
              </w:rPr>
              <w:t xml:space="preserve">It can only be prescribed on the NHS as part of a commissioned service AND if the patient meets the funding criteria, for example, in year 1 of the rollout, June 2025 onwards, BMI ≥ 40 and ≥ 4 </w:t>
            </w:r>
            <w:r w:rsidRPr="00F0608D">
              <w:rPr>
                <w:sz w:val="24"/>
                <w:szCs w:val="24"/>
              </w:rPr>
              <w:lastRenderedPageBreak/>
              <w:t xml:space="preserve">'qualifying' comorbidities. </w:t>
            </w:r>
          </w:p>
          <w:p w14:paraId="24CCA6BA" w14:textId="77777777" w:rsidR="00201003" w:rsidRDefault="00201003" w:rsidP="006B411A">
            <w:pPr>
              <w:rPr>
                <w:sz w:val="24"/>
                <w:szCs w:val="24"/>
              </w:rPr>
            </w:pPr>
          </w:p>
          <w:p w14:paraId="37E9A818" w14:textId="7FB3794E" w:rsidR="00201003" w:rsidRPr="00F0608D" w:rsidRDefault="00201003" w:rsidP="006B411A">
            <w:pPr>
              <w:rPr>
                <w:sz w:val="24"/>
                <w:szCs w:val="24"/>
              </w:rPr>
            </w:pPr>
            <w:hyperlink r:id="rId8" w:history="1">
              <w:r w:rsidRPr="008C6CA7">
                <w:rPr>
                  <w:rStyle w:val="Hyperlink"/>
                  <w:sz w:val="24"/>
                  <w:szCs w:val="24"/>
                </w:rPr>
                <w:t>NHSE Interim Commissioning Guidance</w:t>
              </w:r>
            </w:hyperlink>
          </w:p>
        </w:tc>
        <w:tc>
          <w:tcPr>
            <w:tcW w:w="2122" w:type="dxa"/>
            <w:shd w:val="clear" w:color="auto" w:fill="DAE9F7" w:themeFill="text2" w:themeFillTint="1A"/>
          </w:tcPr>
          <w:p w14:paraId="19E27311" w14:textId="77777777" w:rsidR="00201003" w:rsidRPr="00F0608D" w:rsidRDefault="00201003" w:rsidP="006B411A">
            <w:pPr>
              <w:rPr>
                <w:sz w:val="24"/>
                <w:szCs w:val="24"/>
              </w:rPr>
            </w:pPr>
            <w:r w:rsidRPr="00F0608D">
              <w:rPr>
                <w:sz w:val="24"/>
                <w:szCs w:val="24"/>
              </w:rPr>
              <w:lastRenderedPageBreak/>
              <w:t>Weight management [in conjunction with dietary measures and increased physical activity in individuals with a BMI of 30 kg/m</w:t>
            </w:r>
            <w:r w:rsidRPr="00F0608D">
              <w:rPr>
                <w:sz w:val="24"/>
                <w:szCs w:val="24"/>
                <w:vertAlign w:val="superscript"/>
              </w:rPr>
              <w:t>2</w:t>
            </w:r>
            <w:r w:rsidRPr="00F0608D">
              <w:rPr>
                <w:sz w:val="24"/>
                <w:szCs w:val="24"/>
              </w:rPr>
              <w:t> or more, or in individuals with a BMI of 27 kg/m</w:t>
            </w:r>
            <w:r w:rsidRPr="00F0608D">
              <w:rPr>
                <w:sz w:val="24"/>
                <w:szCs w:val="24"/>
                <w:vertAlign w:val="superscript"/>
              </w:rPr>
              <w:t>2</w:t>
            </w:r>
            <w:r w:rsidRPr="00F0608D">
              <w:rPr>
                <w:sz w:val="24"/>
                <w:szCs w:val="24"/>
              </w:rPr>
              <w:t> or more in the presence of at least one weight-related co-morbidity</w:t>
            </w:r>
          </w:p>
        </w:tc>
        <w:tc>
          <w:tcPr>
            <w:tcW w:w="4848" w:type="dxa"/>
            <w:shd w:val="clear" w:color="auto" w:fill="DAE9F7" w:themeFill="text2" w:themeFillTint="1A"/>
          </w:tcPr>
          <w:p w14:paraId="101FDBC5" w14:textId="77777777" w:rsidR="00201003" w:rsidRPr="0084418F" w:rsidRDefault="00201003" w:rsidP="006B411A">
            <w:pPr>
              <w:rPr>
                <w:sz w:val="24"/>
                <w:szCs w:val="24"/>
              </w:rPr>
            </w:pPr>
            <w:r w:rsidRPr="0084418F">
              <w:rPr>
                <w:sz w:val="24"/>
                <w:szCs w:val="24"/>
              </w:rPr>
              <w:t xml:space="preserve">Do NOT prescribe on the NHS for overweight and obesity unless advised to do so by the ICB, as part of a commissioned service. </w:t>
            </w:r>
          </w:p>
          <w:p w14:paraId="50DABC2D" w14:textId="77777777" w:rsidR="0084418F" w:rsidRPr="0084418F" w:rsidRDefault="0084418F" w:rsidP="006B411A">
            <w:pPr>
              <w:rPr>
                <w:sz w:val="24"/>
                <w:szCs w:val="24"/>
              </w:rPr>
            </w:pPr>
          </w:p>
          <w:p w14:paraId="7271E78E" w14:textId="77777777" w:rsidR="0084418F" w:rsidRPr="0084418F" w:rsidRDefault="0084418F" w:rsidP="0084418F">
            <w:pPr>
              <w:pStyle w:val="ListParagraph"/>
              <w:numPr>
                <w:ilvl w:val="0"/>
                <w:numId w:val="12"/>
              </w:numPr>
              <w:rPr>
                <w:sz w:val="24"/>
                <w:szCs w:val="24"/>
              </w:rPr>
            </w:pPr>
            <w:r w:rsidRPr="0084418F">
              <w:rPr>
                <w:i/>
                <w:iCs/>
                <w:sz w:val="24"/>
                <w:szCs w:val="24"/>
              </w:rPr>
              <w:t>Tirzepatide (all strengths) pre-filled pen devices for subcutaneous injection for overweight and obesity is approved as '</w:t>
            </w:r>
            <w:proofErr w:type="gramStart"/>
            <w:r w:rsidRPr="0084418F">
              <w:rPr>
                <w:i/>
                <w:iCs/>
                <w:sz w:val="24"/>
                <w:szCs w:val="24"/>
              </w:rPr>
              <w:t>red-specialist</w:t>
            </w:r>
            <w:proofErr w:type="gramEnd"/>
            <w:r w:rsidRPr="0084418F">
              <w:rPr>
                <w:i/>
                <w:iCs/>
                <w:sz w:val="24"/>
                <w:szCs w:val="24"/>
              </w:rPr>
              <w:t xml:space="preserve"> use only', as part of an ICB approved commissioned service. Tirzepatide is only commissioned for patients, as per the </w:t>
            </w:r>
            <w:hyperlink r:id="rId9" w:history="1">
              <w:r w:rsidRPr="0084418F">
                <w:rPr>
                  <w:rStyle w:val="Hyperlink"/>
                  <w:i/>
                  <w:iCs/>
                  <w:sz w:val="24"/>
                  <w:szCs w:val="24"/>
                </w:rPr>
                <w:t>NHSE interim commissioning guidance</w:t>
              </w:r>
            </w:hyperlink>
            <w:r w:rsidRPr="0084418F">
              <w:rPr>
                <w:i/>
                <w:iCs/>
                <w:sz w:val="24"/>
                <w:szCs w:val="24"/>
              </w:rPr>
              <w:t xml:space="preserve"> in year 1 (until 23</w:t>
            </w:r>
            <w:r w:rsidRPr="0084418F">
              <w:rPr>
                <w:i/>
                <w:iCs/>
                <w:sz w:val="24"/>
                <w:szCs w:val="24"/>
                <w:vertAlign w:val="superscript"/>
              </w:rPr>
              <w:t>rd</w:t>
            </w:r>
            <w:r w:rsidRPr="0084418F">
              <w:rPr>
                <w:i/>
                <w:iCs/>
                <w:sz w:val="24"/>
                <w:szCs w:val="24"/>
              </w:rPr>
              <w:t xml:space="preserve"> June 2026), who have a BMI ≥ 40** and ≥ 4 'qualifying' comorbidities: hypertension, dyslipidaemia, obstructive sleep apnoea, </w:t>
            </w:r>
            <w:r w:rsidRPr="0084418F">
              <w:rPr>
                <w:i/>
                <w:iCs/>
                <w:sz w:val="24"/>
                <w:szCs w:val="24"/>
              </w:rPr>
              <w:lastRenderedPageBreak/>
              <w:t xml:space="preserve">cardiovascular disease, type 2 diabetes. </w:t>
            </w:r>
          </w:p>
          <w:p w14:paraId="16CD314B" w14:textId="77777777" w:rsidR="0084418F" w:rsidRPr="0084418F" w:rsidRDefault="0084418F" w:rsidP="0084418F">
            <w:pPr>
              <w:rPr>
                <w:sz w:val="24"/>
                <w:szCs w:val="24"/>
              </w:rPr>
            </w:pPr>
            <w:r w:rsidRPr="0084418F">
              <w:rPr>
                <w:i/>
                <w:iCs/>
                <w:sz w:val="24"/>
                <w:szCs w:val="24"/>
              </w:rPr>
              <w:t xml:space="preserve">Patients must qualify at the point of entry into NHS services. </w:t>
            </w:r>
          </w:p>
          <w:p w14:paraId="58E8C3B7" w14:textId="77777777" w:rsidR="0084418F" w:rsidRPr="0084418F" w:rsidRDefault="0084418F" w:rsidP="0084418F">
            <w:pPr>
              <w:rPr>
                <w:sz w:val="24"/>
                <w:szCs w:val="24"/>
              </w:rPr>
            </w:pPr>
            <w:r w:rsidRPr="0084418F">
              <w:rPr>
                <w:i/>
                <w:iCs/>
                <w:sz w:val="24"/>
                <w:szCs w:val="24"/>
              </w:rPr>
              <w:t>Patients should only be prescribed tirzepatide for overweight and obesity if they meet the above criteria, and it should only be prescribed by the approved commissioned service. It should not be prescribed for overweight and obesity outside the approved commissioned service.</w:t>
            </w:r>
          </w:p>
          <w:p w14:paraId="74A92988" w14:textId="7C78B307" w:rsidR="0084418F" w:rsidRPr="0084418F" w:rsidRDefault="0084418F" w:rsidP="0084418F">
            <w:pPr>
              <w:rPr>
                <w:sz w:val="24"/>
                <w:szCs w:val="24"/>
              </w:rPr>
            </w:pPr>
            <w:r w:rsidRPr="0084418F">
              <w:rPr>
                <w:i/>
                <w:iCs/>
                <w:sz w:val="24"/>
                <w:szCs w:val="24"/>
              </w:rPr>
              <w:t>** Use a lower BMI threshold (usually reduced by 2.5 kg/m2) for people from South Asian, Chinese, other Asian, Middle Eastern, Black African or African-Caribbean ethnic backgrounds**</w:t>
            </w:r>
          </w:p>
          <w:p w14:paraId="1F651E8E" w14:textId="77777777" w:rsidR="0084418F" w:rsidRPr="0084418F" w:rsidRDefault="0084418F" w:rsidP="006B411A">
            <w:pPr>
              <w:rPr>
                <w:sz w:val="24"/>
                <w:szCs w:val="24"/>
              </w:rPr>
            </w:pPr>
          </w:p>
        </w:tc>
      </w:tr>
      <w:tr w:rsidR="00201003" w:rsidRPr="00F0608D" w14:paraId="3D489EDA" w14:textId="77777777" w:rsidTr="006B411A">
        <w:tc>
          <w:tcPr>
            <w:tcW w:w="1523" w:type="dxa"/>
            <w:shd w:val="clear" w:color="auto" w:fill="B3E5A1" w:themeFill="accent6" w:themeFillTint="66"/>
          </w:tcPr>
          <w:p w14:paraId="3567041E" w14:textId="77777777" w:rsidR="00201003" w:rsidRPr="00F0608D" w:rsidRDefault="00201003" w:rsidP="006B411A">
            <w:pPr>
              <w:rPr>
                <w:sz w:val="24"/>
                <w:szCs w:val="24"/>
              </w:rPr>
            </w:pPr>
            <w:r w:rsidRPr="00F0608D">
              <w:rPr>
                <w:b/>
                <w:bCs/>
                <w:sz w:val="24"/>
                <w:szCs w:val="24"/>
              </w:rPr>
              <w:lastRenderedPageBreak/>
              <w:t>Drug</w:t>
            </w:r>
          </w:p>
        </w:tc>
        <w:tc>
          <w:tcPr>
            <w:tcW w:w="4389" w:type="dxa"/>
            <w:shd w:val="clear" w:color="auto" w:fill="B3E5A1" w:themeFill="accent6" w:themeFillTint="66"/>
          </w:tcPr>
          <w:p w14:paraId="4C15C58B" w14:textId="77777777" w:rsidR="00201003" w:rsidRDefault="00201003" w:rsidP="006B411A">
            <w:r w:rsidRPr="00F0608D">
              <w:rPr>
                <w:b/>
                <w:bCs/>
                <w:sz w:val="24"/>
                <w:szCs w:val="24"/>
              </w:rPr>
              <w:t>NICE T</w:t>
            </w:r>
            <w:r>
              <w:rPr>
                <w:b/>
                <w:bCs/>
                <w:sz w:val="24"/>
                <w:szCs w:val="24"/>
              </w:rPr>
              <w:t>echnology Appraisal and/or NICE Guidelines</w:t>
            </w:r>
          </w:p>
        </w:tc>
        <w:tc>
          <w:tcPr>
            <w:tcW w:w="1925" w:type="dxa"/>
            <w:shd w:val="clear" w:color="auto" w:fill="B3E5A1" w:themeFill="accent6" w:themeFillTint="66"/>
          </w:tcPr>
          <w:p w14:paraId="7A484CBE" w14:textId="77777777" w:rsidR="00201003" w:rsidRPr="00F0608D" w:rsidRDefault="00201003" w:rsidP="006B411A">
            <w:pPr>
              <w:rPr>
                <w:sz w:val="24"/>
                <w:szCs w:val="24"/>
              </w:rPr>
            </w:pPr>
            <w:r w:rsidRPr="00F0608D">
              <w:rPr>
                <w:b/>
                <w:bCs/>
                <w:sz w:val="24"/>
                <w:szCs w:val="24"/>
              </w:rPr>
              <w:t>NHSE Commissioning</w:t>
            </w:r>
          </w:p>
        </w:tc>
        <w:tc>
          <w:tcPr>
            <w:tcW w:w="2122" w:type="dxa"/>
            <w:shd w:val="clear" w:color="auto" w:fill="B3E5A1" w:themeFill="accent6" w:themeFillTint="66"/>
          </w:tcPr>
          <w:p w14:paraId="42B520C4" w14:textId="77777777" w:rsidR="00201003" w:rsidRPr="00E2133F" w:rsidRDefault="00201003" w:rsidP="006B411A">
            <w:pPr>
              <w:rPr>
                <w:sz w:val="24"/>
                <w:szCs w:val="24"/>
              </w:rPr>
            </w:pPr>
            <w:r w:rsidRPr="00F0608D">
              <w:rPr>
                <w:b/>
                <w:bCs/>
                <w:sz w:val="24"/>
                <w:szCs w:val="24"/>
              </w:rPr>
              <w:t>Licence</w:t>
            </w:r>
          </w:p>
        </w:tc>
        <w:tc>
          <w:tcPr>
            <w:tcW w:w="4848" w:type="dxa"/>
            <w:shd w:val="clear" w:color="auto" w:fill="B3E5A1" w:themeFill="accent6" w:themeFillTint="66"/>
          </w:tcPr>
          <w:p w14:paraId="39B6CFE7" w14:textId="77777777" w:rsidR="00201003" w:rsidRDefault="00201003" w:rsidP="006B411A">
            <w:pPr>
              <w:rPr>
                <w:b/>
                <w:bCs/>
                <w:sz w:val="24"/>
                <w:szCs w:val="24"/>
              </w:rPr>
            </w:pPr>
            <w:r>
              <w:rPr>
                <w:b/>
                <w:bCs/>
                <w:sz w:val="24"/>
                <w:szCs w:val="24"/>
              </w:rPr>
              <w:t>Humber and North Yorkshire ICB</w:t>
            </w:r>
          </w:p>
          <w:p w14:paraId="35529C72" w14:textId="77777777" w:rsidR="00201003" w:rsidRPr="00F0608D" w:rsidRDefault="00201003" w:rsidP="006B411A">
            <w:pPr>
              <w:rPr>
                <w:sz w:val="24"/>
                <w:szCs w:val="24"/>
              </w:rPr>
            </w:pPr>
            <w:r w:rsidRPr="00F0608D">
              <w:rPr>
                <w:b/>
                <w:bCs/>
                <w:sz w:val="24"/>
                <w:szCs w:val="24"/>
              </w:rPr>
              <w:t>Summary for NHS Clinicians</w:t>
            </w:r>
          </w:p>
        </w:tc>
      </w:tr>
      <w:tr w:rsidR="00201003" w:rsidRPr="00F0608D" w14:paraId="3F399C25" w14:textId="77777777" w:rsidTr="006B411A">
        <w:tc>
          <w:tcPr>
            <w:tcW w:w="1523" w:type="dxa"/>
            <w:shd w:val="clear" w:color="auto" w:fill="E8E8E8" w:themeFill="background2"/>
          </w:tcPr>
          <w:p w14:paraId="2602D814" w14:textId="77777777" w:rsidR="00201003" w:rsidRPr="00F0608D" w:rsidRDefault="00201003" w:rsidP="006B411A">
            <w:pPr>
              <w:rPr>
                <w:sz w:val="24"/>
                <w:szCs w:val="24"/>
              </w:rPr>
            </w:pPr>
            <w:r w:rsidRPr="00F0608D">
              <w:rPr>
                <w:sz w:val="24"/>
                <w:szCs w:val="24"/>
              </w:rPr>
              <w:t>Tirzepatide (Mounjaro®)</w:t>
            </w:r>
          </w:p>
          <w:p w14:paraId="56284AA9" w14:textId="77777777" w:rsidR="00201003" w:rsidRPr="00F0608D" w:rsidRDefault="00201003" w:rsidP="006B411A">
            <w:pPr>
              <w:rPr>
                <w:sz w:val="24"/>
                <w:szCs w:val="24"/>
              </w:rPr>
            </w:pPr>
          </w:p>
          <w:p w14:paraId="62C5159A" w14:textId="77777777" w:rsidR="00201003" w:rsidRPr="00F0608D" w:rsidRDefault="00201003" w:rsidP="006B411A">
            <w:pPr>
              <w:rPr>
                <w:sz w:val="24"/>
                <w:szCs w:val="24"/>
              </w:rPr>
            </w:pPr>
            <w:r w:rsidRPr="00F0608D">
              <w:rPr>
                <w:sz w:val="24"/>
                <w:szCs w:val="24"/>
              </w:rPr>
              <w:t>For Type-2 diabetes</w:t>
            </w:r>
          </w:p>
        </w:tc>
        <w:tc>
          <w:tcPr>
            <w:tcW w:w="4389" w:type="dxa"/>
            <w:shd w:val="clear" w:color="auto" w:fill="E8E8E8" w:themeFill="background2"/>
          </w:tcPr>
          <w:p w14:paraId="3DDA977A" w14:textId="77777777" w:rsidR="00201003" w:rsidRPr="00F0608D" w:rsidRDefault="00201003" w:rsidP="006B411A">
            <w:pPr>
              <w:rPr>
                <w:sz w:val="24"/>
                <w:szCs w:val="24"/>
              </w:rPr>
            </w:pPr>
            <w:hyperlink r:id="rId10" w:history="1">
              <w:r w:rsidRPr="00F0608D">
                <w:rPr>
                  <w:rStyle w:val="Hyperlink"/>
                  <w:sz w:val="24"/>
                  <w:szCs w:val="24"/>
                </w:rPr>
                <w:t>NICE TA 924 – Tirzepatide for treating type 2 diabetes</w:t>
              </w:r>
            </w:hyperlink>
            <w:r w:rsidRPr="00F0608D">
              <w:rPr>
                <w:sz w:val="24"/>
                <w:szCs w:val="24"/>
              </w:rPr>
              <w:t xml:space="preserve"> – published in October 2023, recommended tirzepatide as an adjunct to diet and exercise for adults with type 2 diabetes when:</w:t>
            </w:r>
          </w:p>
          <w:p w14:paraId="05F1F7B2" w14:textId="77777777" w:rsidR="00201003" w:rsidRPr="00F0608D" w:rsidRDefault="00201003" w:rsidP="006B411A">
            <w:pPr>
              <w:rPr>
                <w:sz w:val="24"/>
                <w:szCs w:val="24"/>
              </w:rPr>
            </w:pPr>
          </w:p>
          <w:p w14:paraId="2EB80902" w14:textId="77777777" w:rsidR="00201003" w:rsidRPr="00F0608D" w:rsidRDefault="00201003" w:rsidP="006B411A">
            <w:pPr>
              <w:rPr>
                <w:sz w:val="24"/>
                <w:szCs w:val="24"/>
              </w:rPr>
            </w:pPr>
            <w:r w:rsidRPr="00F0608D">
              <w:rPr>
                <w:sz w:val="24"/>
                <w:szCs w:val="24"/>
              </w:rPr>
              <w:t>Triple therapy with metformin and two other oral antidiabetic drugs is ineffective, not tolerated, or contraindicated, and</w:t>
            </w:r>
          </w:p>
          <w:p w14:paraId="653E650B" w14:textId="77777777" w:rsidR="00201003" w:rsidRPr="00F0608D" w:rsidRDefault="00201003" w:rsidP="006B411A">
            <w:pPr>
              <w:rPr>
                <w:sz w:val="24"/>
                <w:szCs w:val="24"/>
              </w:rPr>
            </w:pPr>
            <w:r w:rsidRPr="00F0608D">
              <w:rPr>
                <w:sz w:val="24"/>
                <w:szCs w:val="24"/>
              </w:rPr>
              <w:t>They have a body mass index (BMI) of 35 kg/m² or more with specific psychological or other medical problems associated with obesity, or</w:t>
            </w:r>
          </w:p>
          <w:p w14:paraId="25B7569A" w14:textId="77777777" w:rsidR="00201003" w:rsidRPr="00F0608D" w:rsidRDefault="00201003" w:rsidP="006B411A">
            <w:pPr>
              <w:rPr>
                <w:sz w:val="24"/>
                <w:szCs w:val="24"/>
              </w:rPr>
            </w:pPr>
            <w:r w:rsidRPr="00F0608D">
              <w:rPr>
                <w:sz w:val="24"/>
                <w:szCs w:val="24"/>
              </w:rPr>
              <w:lastRenderedPageBreak/>
              <w:t>They have a BMI less than 35 kg/m², and:</w:t>
            </w:r>
          </w:p>
          <w:p w14:paraId="0582123D" w14:textId="77777777" w:rsidR="00201003" w:rsidRPr="00F0608D" w:rsidRDefault="00201003" w:rsidP="006B411A">
            <w:pPr>
              <w:rPr>
                <w:sz w:val="24"/>
                <w:szCs w:val="24"/>
              </w:rPr>
            </w:pPr>
            <w:r w:rsidRPr="00F0608D">
              <w:rPr>
                <w:sz w:val="24"/>
                <w:szCs w:val="24"/>
              </w:rPr>
              <w:t xml:space="preserve">Insulin therapy would have significant occupational implications, </w:t>
            </w:r>
          </w:p>
          <w:p w14:paraId="6A025BCA" w14:textId="77777777" w:rsidR="00201003" w:rsidRPr="00F0608D" w:rsidRDefault="00201003" w:rsidP="006B411A">
            <w:pPr>
              <w:rPr>
                <w:sz w:val="24"/>
                <w:szCs w:val="24"/>
              </w:rPr>
            </w:pPr>
            <w:r w:rsidRPr="00F0608D">
              <w:rPr>
                <w:sz w:val="24"/>
                <w:szCs w:val="24"/>
              </w:rPr>
              <w:t>or</w:t>
            </w:r>
          </w:p>
          <w:p w14:paraId="778845F9" w14:textId="77777777" w:rsidR="00201003" w:rsidRPr="00F0608D" w:rsidRDefault="00201003" w:rsidP="006B411A">
            <w:pPr>
              <w:rPr>
                <w:sz w:val="24"/>
                <w:szCs w:val="24"/>
              </w:rPr>
            </w:pPr>
            <w:r w:rsidRPr="00F0608D">
              <w:rPr>
                <w:sz w:val="24"/>
                <w:szCs w:val="24"/>
              </w:rPr>
              <w:t>Weight loss would benefit other significant obesity-related complications.</w:t>
            </w:r>
          </w:p>
          <w:p w14:paraId="41F14962" w14:textId="77777777" w:rsidR="00201003" w:rsidRPr="00F0608D" w:rsidRDefault="00201003" w:rsidP="006B411A">
            <w:pPr>
              <w:rPr>
                <w:sz w:val="24"/>
                <w:szCs w:val="24"/>
              </w:rPr>
            </w:pPr>
          </w:p>
          <w:p w14:paraId="60990C0B" w14:textId="77777777" w:rsidR="00201003" w:rsidRPr="00F0608D" w:rsidRDefault="00201003" w:rsidP="006B411A">
            <w:pPr>
              <w:rPr>
                <w:sz w:val="24"/>
                <w:szCs w:val="24"/>
              </w:rPr>
            </w:pPr>
            <w:r w:rsidRPr="00F0608D">
              <w:rPr>
                <w:sz w:val="24"/>
                <w:szCs w:val="24"/>
              </w:rPr>
              <w:t xml:space="preserve">For individuals from South Asian, Chinese, other Asian, Middle Eastern, Black African, or African-Caribbean family backgrounds, lower BMI thresholds (usually reduced by 2.5 kg/m²) should be considered. </w:t>
            </w:r>
          </w:p>
          <w:p w14:paraId="6A6FDADC" w14:textId="77777777" w:rsidR="00201003" w:rsidRDefault="00201003" w:rsidP="006B411A">
            <w:pPr>
              <w:rPr>
                <w:sz w:val="24"/>
                <w:szCs w:val="24"/>
              </w:rPr>
            </w:pPr>
          </w:p>
          <w:p w14:paraId="602C1418" w14:textId="77777777" w:rsidR="00201003" w:rsidRDefault="00201003" w:rsidP="006B411A">
            <w:pPr>
              <w:rPr>
                <w:sz w:val="24"/>
                <w:szCs w:val="24"/>
              </w:rPr>
            </w:pPr>
          </w:p>
          <w:p w14:paraId="160BC552" w14:textId="77777777" w:rsidR="00201003" w:rsidRPr="00F0608D" w:rsidRDefault="00201003" w:rsidP="006B411A">
            <w:pPr>
              <w:rPr>
                <w:sz w:val="24"/>
                <w:szCs w:val="24"/>
              </w:rPr>
            </w:pPr>
          </w:p>
          <w:p w14:paraId="5C9DA424" w14:textId="77777777" w:rsidR="00201003" w:rsidRPr="00F0608D" w:rsidRDefault="00201003" w:rsidP="006B411A">
            <w:pPr>
              <w:rPr>
                <w:sz w:val="24"/>
                <w:szCs w:val="24"/>
              </w:rPr>
            </w:pPr>
          </w:p>
        </w:tc>
        <w:tc>
          <w:tcPr>
            <w:tcW w:w="1925" w:type="dxa"/>
            <w:shd w:val="clear" w:color="auto" w:fill="E8E8E8" w:themeFill="background2"/>
          </w:tcPr>
          <w:p w14:paraId="26AEF29D" w14:textId="77777777" w:rsidR="00201003" w:rsidRPr="00F0608D" w:rsidRDefault="00201003" w:rsidP="006B411A">
            <w:pPr>
              <w:rPr>
                <w:sz w:val="24"/>
                <w:szCs w:val="24"/>
              </w:rPr>
            </w:pPr>
            <w:r w:rsidRPr="00F0608D">
              <w:rPr>
                <w:sz w:val="24"/>
                <w:szCs w:val="24"/>
              </w:rPr>
              <w:lastRenderedPageBreak/>
              <w:t>N/A</w:t>
            </w:r>
          </w:p>
        </w:tc>
        <w:tc>
          <w:tcPr>
            <w:tcW w:w="2122" w:type="dxa"/>
            <w:shd w:val="clear" w:color="auto" w:fill="E8E8E8" w:themeFill="background2"/>
          </w:tcPr>
          <w:p w14:paraId="209E3C57" w14:textId="77777777" w:rsidR="00201003" w:rsidRPr="00E2133F" w:rsidRDefault="00201003" w:rsidP="006B411A">
            <w:pPr>
              <w:rPr>
                <w:sz w:val="24"/>
                <w:szCs w:val="24"/>
              </w:rPr>
            </w:pPr>
            <w:r w:rsidRPr="00E2133F">
              <w:rPr>
                <w:sz w:val="24"/>
                <w:szCs w:val="24"/>
              </w:rPr>
              <w:t>Mounjaro is indicated:</w:t>
            </w:r>
          </w:p>
          <w:p w14:paraId="717D9E22" w14:textId="77777777" w:rsidR="00201003" w:rsidRPr="00E2133F" w:rsidRDefault="00201003" w:rsidP="006B411A">
            <w:pPr>
              <w:rPr>
                <w:sz w:val="24"/>
                <w:szCs w:val="24"/>
              </w:rPr>
            </w:pPr>
            <w:r w:rsidRPr="00E2133F">
              <w:rPr>
                <w:sz w:val="24"/>
                <w:szCs w:val="24"/>
              </w:rPr>
              <w:t>1. For the treatment of adults with insufficiently controlled type 2 diabetes mellitus as an adjunct to diet and exercise:</w:t>
            </w:r>
          </w:p>
          <w:p w14:paraId="7B2877F5" w14:textId="77777777" w:rsidR="00201003" w:rsidRPr="00E2133F" w:rsidRDefault="00201003" w:rsidP="006B411A">
            <w:pPr>
              <w:rPr>
                <w:sz w:val="24"/>
                <w:szCs w:val="24"/>
              </w:rPr>
            </w:pPr>
            <w:r w:rsidRPr="00E2133F">
              <w:rPr>
                <w:sz w:val="24"/>
                <w:szCs w:val="24"/>
              </w:rPr>
              <w:t xml:space="preserve">• as monotherapy when metformin is considered inappropriate due </w:t>
            </w:r>
            <w:r w:rsidRPr="00E2133F">
              <w:rPr>
                <w:sz w:val="24"/>
                <w:szCs w:val="24"/>
              </w:rPr>
              <w:lastRenderedPageBreak/>
              <w:t>to intolerance or contraindications</w:t>
            </w:r>
          </w:p>
          <w:p w14:paraId="5A8EEAB6" w14:textId="77777777" w:rsidR="00201003" w:rsidRPr="00E2133F" w:rsidRDefault="00201003" w:rsidP="006B411A">
            <w:pPr>
              <w:rPr>
                <w:sz w:val="24"/>
                <w:szCs w:val="24"/>
              </w:rPr>
            </w:pPr>
            <w:r w:rsidRPr="00E2133F">
              <w:rPr>
                <w:sz w:val="24"/>
                <w:szCs w:val="24"/>
              </w:rPr>
              <w:t>• in addition to other medicinal products for the treatment of diabetes.</w:t>
            </w:r>
          </w:p>
          <w:p w14:paraId="37CF39EF" w14:textId="77777777" w:rsidR="00201003" w:rsidRPr="00F0608D" w:rsidRDefault="00201003" w:rsidP="006B411A">
            <w:pPr>
              <w:rPr>
                <w:sz w:val="24"/>
                <w:szCs w:val="24"/>
              </w:rPr>
            </w:pPr>
          </w:p>
        </w:tc>
        <w:tc>
          <w:tcPr>
            <w:tcW w:w="4848" w:type="dxa"/>
            <w:shd w:val="clear" w:color="auto" w:fill="E8E8E8" w:themeFill="background2"/>
          </w:tcPr>
          <w:p w14:paraId="23EE5C4B" w14:textId="77777777" w:rsidR="00201003" w:rsidRPr="00F0608D" w:rsidRDefault="00201003" w:rsidP="006B411A">
            <w:pPr>
              <w:rPr>
                <w:sz w:val="24"/>
                <w:szCs w:val="24"/>
              </w:rPr>
            </w:pPr>
            <w:r w:rsidRPr="00F0608D">
              <w:rPr>
                <w:sz w:val="24"/>
                <w:szCs w:val="24"/>
              </w:rPr>
              <w:lastRenderedPageBreak/>
              <w:t xml:space="preserve">Can be prescribed -  classed as a 'green drug' for doses </w:t>
            </w:r>
            <w:r w:rsidRPr="00911FA4">
              <w:rPr>
                <w:b/>
                <w:bCs/>
                <w:sz w:val="24"/>
                <w:szCs w:val="24"/>
              </w:rPr>
              <w:t>≤</w:t>
            </w:r>
            <w:r w:rsidRPr="00F0608D">
              <w:rPr>
                <w:sz w:val="24"/>
                <w:szCs w:val="24"/>
              </w:rPr>
              <w:t xml:space="preserve"> 5mg, as part of the HNY local pathway - </w:t>
            </w:r>
            <w:hyperlink r:id="rId11" w:history="1">
              <w:r w:rsidRPr="00F0608D">
                <w:rPr>
                  <w:rStyle w:val="Hyperlink"/>
                  <w:sz w:val="24"/>
                  <w:szCs w:val="24"/>
                </w:rPr>
                <w:t>https://humberandnorthyorkshire.org.uk/wp-content/uploads/2024/02/HNY-Type-2-Diabetes-Algorithm-Final-Approved-by-IPMOC.pdf</w:t>
              </w:r>
            </w:hyperlink>
          </w:p>
          <w:p w14:paraId="0A577441" w14:textId="77777777" w:rsidR="00201003" w:rsidRPr="00F0608D" w:rsidRDefault="00201003" w:rsidP="006B411A">
            <w:pPr>
              <w:rPr>
                <w:sz w:val="24"/>
                <w:szCs w:val="24"/>
              </w:rPr>
            </w:pPr>
          </w:p>
          <w:p w14:paraId="58138E45" w14:textId="77777777" w:rsidR="00201003" w:rsidRPr="00F0608D" w:rsidRDefault="00201003" w:rsidP="006B411A">
            <w:pPr>
              <w:rPr>
                <w:sz w:val="24"/>
                <w:szCs w:val="24"/>
              </w:rPr>
            </w:pPr>
          </w:p>
          <w:p w14:paraId="0145D0CD" w14:textId="77777777" w:rsidR="00201003" w:rsidRDefault="00201003" w:rsidP="006B411A">
            <w:pPr>
              <w:rPr>
                <w:sz w:val="24"/>
                <w:szCs w:val="24"/>
              </w:rPr>
            </w:pPr>
            <w:r w:rsidRPr="00827E8C">
              <w:rPr>
                <w:sz w:val="24"/>
                <w:szCs w:val="24"/>
              </w:rPr>
              <w:t>Approved as an option for adult patients with type 2 diabetes mellitus who require intensification of treatment if use of a GLP1 agonist is clinically appropriate. In the local pathway this would be at STEP 3.</w:t>
            </w:r>
          </w:p>
          <w:p w14:paraId="6E67F2E1" w14:textId="77777777" w:rsidR="00201003" w:rsidRPr="00827E8C" w:rsidRDefault="00201003" w:rsidP="006B411A">
            <w:pPr>
              <w:rPr>
                <w:sz w:val="24"/>
                <w:szCs w:val="24"/>
              </w:rPr>
            </w:pPr>
          </w:p>
          <w:p w14:paraId="24DD9A9A" w14:textId="77777777" w:rsidR="00201003" w:rsidRPr="00827E8C" w:rsidRDefault="00201003" w:rsidP="006B411A">
            <w:pPr>
              <w:rPr>
                <w:sz w:val="24"/>
                <w:szCs w:val="24"/>
              </w:rPr>
            </w:pPr>
            <w:r w:rsidRPr="00827E8C">
              <w:rPr>
                <w:sz w:val="24"/>
                <w:szCs w:val="24"/>
              </w:rPr>
              <w:t>For use in those patients who would prefer a weekly preparation on GLP-1 receptor agonist and</w:t>
            </w:r>
          </w:p>
          <w:p w14:paraId="6480C482" w14:textId="77777777" w:rsidR="00201003" w:rsidRPr="008C6CA7" w:rsidRDefault="00201003" w:rsidP="006B411A">
            <w:pPr>
              <w:rPr>
                <w:sz w:val="24"/>
                <w:szCs w:val="24"/>
              </w:rPr>
            </w:pPr>
            <w:r>
              <w:rPr>
                <w:sz w:val="24"/>
                <w:szCs w:val="24"/>
              </w:rPr>
              <w:t>-</w:t>
            </w:r>
            <w:r w:rsidRPr="008C6CA7">
              <w:rPr>
                <w:sz w:val="24"/>
                <w:szCs w:val="24"/>
              </w:rPr>
              <w:t xml:space="preserve">have established cardiovascular </w:t>
            </w:r>
            <w:proofErr w:type="gramStart"/>
            <w:r w:rsidRPr="008C6CA7">
              <w:rPr>
                <w:sz w:val="24"/>
                <w:szCs w:val="24"/>
              </w:rPr>
              <w:t>disease  or</w:t>
            </w:r>
            <w:proofErr w:type="gramEnd"/>
          </w:p>
          <w:p w14:paraId="3AFFA2C4" w14:textId="77777777" w:rsidR="00201003" w:rsidRPr="00827E8C" w:rsidRDefault="00201003" w:rsidP="006B411A">
            <w:pPr>
              <w:rPr>
                <w:sz w:val="24"/>
                <w:szCs w:val="24"/>
              </w:rPr>
            </w:pPr>
            <w:r>
              <w:rPr>
                <w:sz w:val="24"/>
                <w:szCs w:val="24"/>
              </w:rPr>
              <w:t>-</w:t>
            </w:r>
            <w:r w:rsidRPr="00827E8C">
              <w:rPr>
                <w:sz w:val="24"/>
                <w:szCs w:val="24"/>
              </w:rPr>
              <w:t>the current GLP-1 receptor agonist has not achieved sufficient clinical response or</w:t>
            </w:r>
          </w:p>
          <w:p w14:paraId="7C14167C" w14:textId="77777777" w:rsidR="00201003" w:rsidRPr="00827E8C" w:rsidRDefault="00201003" w:rsidP="006B411A">
            <w:pPr>
              <w:rPr>
                <w:sz w:val="24"/>
                <w:szCs w:val="24"/>
              </w:rPr>
            </w:pPr>
            <w:r>
              <w:rPr>
                <w:sz w:val="24"/>
                <w:szCs w:val="24"/>
              </w:rPr>
              <w:t xml:space="preserve">- </w:t>
            </w:r>
            <w:r w:rsidRPr="00827E8C">
              <w:rPr>
                <w:sz w:val="24"/>
                <w:szCs w:val="24"/>
              </w:rPr>
              <w:t>another GLP-1 receptor agonist has caused local skin reactions at the side of the injection.</w:t>
            </w:r>
          </w:p>
          <w:p w14:paraId="29AF98B8" w14:textId="77777777" w:rsidR="00201003" w:rsidRDefault="00201003" w:rsidP="006B411A">
            <w:pPr>
              <w:rPr>
                <w:sz w:val="24"/>
                <w:szCs w:val="24"/>
              </w:rPr>
            </w:pPr>
          </w:p>
          <w:p w14:paraId="5082A67B" w14:textId="77777777" w:rsidR="00201003" w:rsidRPr="00F0608D" w:rsidRDefault="00201003" w:rsidP="006B411A">
            <w:pPr>
              <w:rPr>
                <w:sz w:val="24"/>
                <w:szCs w:val="24"/>
              </w:rPr>
            </w:pPr>
            <w:r>
              <w:rPr>
                <w:sz w:val="24"/>
                <w:szCs w:val="24"/>
              </w:rPr>
              <w:t>Only use for glycaemic control. Once glycaemic control is at desired target and stable DO NOT titrate to manage overweight/obesity.</w:t>
            </w:r>
          </w:p>
        </w:tc>
      </w:tr>
      <w:tr w:rsidR="00201003" w:rsidRPr="00F0608D" w14:paraId="05B76981" w14:textId="77777777" w:rsidTr="006B411A">
        <w:tc>
          <w:tcPr>
            <w:tcW w:w="1523" w:type="dxa"/>
            <w:shd w:val="clear" w:color="auto" w:fill="B3E5A1" w:themeFill="accent6" w:themeFillTint="66"/>
          </w:tcPr>
          <w:p w14:paraId="2027FAA8" w14:textId="77777777" w:rsidR="00201003" w:rsidRPr="00F0608D" w:rsidRDefault="00201003" w:rsidP="006B411A">
            <w:pPr>
              <w:rPr>
                <w:sz w:val="24"/>
                <w:szCs w:val="24"/>
              </w:rPr>
            </w:pPr>
            <w:r w:rsidRPr="00F0608D">
              <w:rPr>
                <w:b/>
                <w:bCs/>
                <w:sz w:val="24"/>
                <w:szCs w:val="24"/>
              </w:rPr>
              <w:lastRenderedPageBreak/>
              <w:t>Drug</w:t>
            </w:r>
          </w:p>
        </w:tc>
        <w:tc>
          <w:tcPr>
            <w:tcW w:w="4389" w:type="dxa"/>
            <w:shd w:val="clear" w:color="auto" w:fill="B3E5A1" w:themeFill="accent6" w:themeFillTint="66"/>
          </w:tcPr>
          <w:p w14:paraId="38C7AFE3" w14:textId="77777777" w:rsidR="00201003" w:rsidRPr="00F0608D" w:rsidRDefault="00201003" w:rsidP="006B411A">
            <w:pPr>
              <w:rPr>
                <w:sz w:val="24"/>
                <w:szCs w:val="24"/>
              </w:rPr>
            </w:pPr>
            <w:r w:rsidRPr="00F0608D">
              <w:rPr>
                <w:b/>
                <w:bCs/>
                <w:sz w:val="24"/>
                <w:szCs w:val="24"/>
              </w:rPr>
              <w:t>NICE T</w:t>
            </w:r>
            <w:r>
              <w:rPr>
                <w:b/>
                <w:bCs/>
                <w:sz w:val="24"/>
                <w:szCs w:val="24"/>
              </w:rPr>
              <w:t>echnology Appraisal and/or NICE Guidelines</w:t>
            </w:r>
          </w:p>
        </w:tc>
        <w:tc>
          <w:tcPr>
            <w:tcW w:w="1925" w:type="dxa"/>
            <w:shd w:val="clear" w:color="auto" w:fill="B3E5A1" w:themeFill="accent6" w:themeFillTint="66"/>
          </w:tcPr>
          <w:p w14:paraId="5FB35B6C" w14:textId="77777777" w:rsidR="00201003" w:rsidRDefault="00201003" w:rsidP="006B411A">
            <w:pPr>
              <w:rPr>
                <w:sz w:val="24"/>
                <w:szCs w:val="24"/>
              </w:rPr>
            </w:pPr>
            <w:r w:rsidRPr="00F0608D">
              <w:rPr>
                <w:b/>
                <w:bCs/>
                <w:sz w:val="24"/>
                <w:szCs w:val="24"/>
              </w:rPr>
              <w:t>NHSE Commissioning</w:t>
            </w:r>
          </w:p>
        </w:tc>
        <w:tc>
          <w:tcPr>
            <w:tcW w:w="2122" w:type="dxa"/>
            <w:shd w:val="clear" w:color="auto" w:fill="B3E5A1" w:themeFill="accent6" w:themeFillTint="66"/>
          </w:tcPr>
          <w:p w14:paraId="7EC734C4" w14:textId="77777777" w:rsidR="00201003" w:rsidRPr="00F0608D" w:rsidRDefault="00201003" w:rsidP="006B411A">
            <w:pPr>
              <w:rPr>
                <w:sz w:val="24"/>
                <w:szCs w:val="24"/>
              </w:rPr>
            </w:pPr>
            <w:r w:rsidRPr="00F0608D">
              <w:rPr>
                <w:b/>
                <w:bCs/>
                <w:sz w:val="24"/>
                <w:szCs w:val="24"/>
              </w:rPr>
              <w:t>Licence</w:t>
            </w:r>
          </w:p>
        </w:tc>
        <w:tc>
          <w:tcPr>
            <w:tcW w:w="4848" w:type="dxa"/>
            <w:shd w:val="clear" w:color="auto" w:fill="B3E5A1" w:themeFill="accent6" w:themeFillTint="66"/>
          </w:tcPr>
          <w:p w14:paraId="3B40510B" w14:textId="77777777" w:rsidR="00201003" w:rsidRDefault="00201003" w:rsidP="006B411A">
            <w:pPr>
              <w:rPr>
                <w:b/>
                <w:bCs/>
                <w:sz w:val="24"/>
                <w:szCs w:val="24"/>
              </w:rPr>
            </w:pPr>
            <w:r>
              <w:rPr>
                <w:b/>
                <w:bCs/>
                <w:sz w:val="24"/>
                <w:szCs w:val="24"/>
              </w:rPr>
              <w:t>Humber and North Yorkshire ICB</w:t>
            </w:r>
          </w:p>
          <w:p w14:paraId="2D71E6FE" w14:textId="77777777" w:rsidR="00201003" w:rsidRPr="00F0608D" w:rsidRDefault="00201003" w:rsidP="006B411A">
            <w:pPr>
              <w:rPr>
                <w:sz w:val="24"/>
                <w:szCs w:val="24"/>
              </w:rPr>
            </w:pPr>
            <w:r w:rsidRPr="00F0608D">
              <w:rPr>
                <w:b/>
                <w:bCs/>
                <w:sz w:val="24"/>
                <w:szCs w:val="24"/>
              </w:rPr>
              <w:t>Summary for NHS Clinicians</w:t>
            </w:r>
          </w:p>
        </w:tc>
      </w:tr>
      <w:tr w:rsidR="00201003" w:rsidRPr="00F0608D" w14:paraId="33AD52F2" w14:textId="77777777" w:rsidTr="006B411A">
        <w:tc>
          <w:tcPr>
            <w:tcW w:w="1523" w:type="dxa"/>
            <w:shd w:val="clear" w:color="auto" w:fill="DAE9F7" w:themeFill="text2" w:themeFillTint="1A"/>
          </w:tcPr>
          <w:p w14:paraId="68573B6C" w14:textId="77777777" w:rsidR="00201003" w:rsidRPr="00F0608D" w:rsidRDefault="00201003" w:rsidP="006B411A">
            <w:pPr>
              <w:rPr>
                <w:sz w:val="24"/>
                <w:szCs w:val="24"/>
              </w:rPr>
            </w:pPr>
            <w:r w:rsidRPr="00F0608D">
              <w:rPr>
                <w:sz w:val="24"/>
                <w:szCs w:val="24"/>
              </w:rPr>
              <w:t>Semaglutide (</w:t>
            </w:r>
            <w:proofErr w:type="spellStart"/>
            <w:r w:rsidRPr="00F0608D">
              <w:rPr>
                <w:sz w:val="24"/>
                <w:szCs w:val="24"/>
              </w:rPr>
              <w:t>Wegovy</w:t>
            </w:r>
            <w:proofErr w:type="spellEnd"/>
            <w:r w:rsidRPr="00F0608D">
              <w:rPr>
                <w:sz w:val="24"/>
                <w:szCs w:val="24"/>
              </w:rPr>
              <w:t>®)</w:t>
            </w:r>
          </w:p>
        </w:tc>
        <w:tc>
          <w:tcPr>
            <w:tcW w:w="4389" w:type="dxa"/>
            <w:shd w:val="clear" w:color="auto" w:fill="DAE9F7" w:themeFill="text2" w:themeFillTint="1A"/>
          </w:tcPr>
          <w:p w14:paraId="758F9BF6" w14:textId="77777777" w:rsidR="00201003" w:rsidRPr="00353795" w:rsidRDefault="00201003" w:rsidP="006B411A">
            <w:pPr>
              <w:rPr>
                <w:rStyle w:val="Hyperlink"/>
                <w:sz w:val="24"/>
                <w:szCs w:val="24"/>
              </w:rPr>
            </w:pPr>
            <w:r w:rsidRPr="00353795">
              <w:rPr>
                <w:sz w:val="24"/>
                <w:szCs w:val="24"/>
              </w:rPr>
              <w:fldChar w:fldCharType="begin"/>
            </w:r>
            <w:r w:rsidRPr="00353795">
              <w:rPr>
                <w:sz w:val="24"/>
                <w:szCs w:val="24"/>
              </w:rPr>
              <w:instrText>HYPERLINK "https://www.nice.org.uk/guidance/ta875"</w:instrText>
            </w:r>
            <w:r w:rsidRPr="00353795">
              <w:rPr>
                <w:sz w:val="24"/>
                <w:szCs w:val="24"/>
              </w:rPr>
            </w:r>
            <w:r w:rsidRPr="00353795">
              <w:rPr>
                <w:sz w:val="24"/>
                <w:szCs w:val="24"/>
              </w:rPr>
              <w:fldChar w:fldCharType="separate"/>
            </w:r>
            <w:r w:rsidRPr="00353795">
              <w:rPr>
                <w:rStyle w:val="Hyperlink"/>
                <w:sz w:val="24"/>
                <w:szCs w:val="24"/>
              </w:rPr>
              <w:t>Semaglutide for managing overweight and obesity - NICE TA 875</w:t>
            </w:r>
          </w:p>
          <w:p w14:paraId="585C5BCA" w14:textId="72B3720F" w:rsidR="00353795" w:rsidRPr="00353795" w:rsidRDefault="00201003" w:rsidP="00353795">
            <w:pPr>
              <w:rPr>
                <w:sz w:val="24"/>
                <w:szCs w:val="24"/>
              </w:rPr>
            </w:pPr>
            <w:r w:rsidRPr="00353795">
              <w:rPr>
                <w:sz w:val="24"/>
                <w:szCs w:val="24"/>
              </w:rPr>
              <w:fldChar w:fldCharType="end"/>
            </w:r>
            <w:r w:rsidR="00353795" w:rsidRPr="00353795">
              <w:rPr>
                <w:sz w:val="24"/>
                <w:szCs w:val="24"/>
              </w:rPr>
              <w:t>Semaglutide is recommended as an option for weight management, including weight loss and weight maintenance, alongside a reduced-calorie diet and increased physical activity in adults, only if:</w:t>
            </w:r>
          </w:p>
          <w:p w14:paraId="6A3A418D" w14:textId="77777777" w:rsidR="00353795" w:rsidRPr="00353795" w:rsidRDefault="00353795" w:rsidP="00353795">
            <w:pPr>
              <w:numPr>
                <w:ilvl w:val="0"/>
                <w:numId w:val="11"/>
              </w:numPr>
              <w:rPr>
                <w:sz w:val="24"/>
                <w:szCs w:val="24"/>
              </w:rPr>
            </w:pPr>
            <w:r w:rsidRPr="00353795">
              <w:rPr>
                <w:sz w:val="24"/>
                <w:szCs w:val="24"/>
              </w:rPr>
              <w:t xml:space="preserve">it is used for a maximum of 2 years, and within a specialist weight management service providing multidisciplinary management of overweight or </w:t>
            </w:r>
            <w:r w:rsidRPr="00353795">
              <w:rPr>
                <w:sz w:val="24"/>
                <w:szCs w:val="24"/>
              </w:rPr>
              <w:lastRenderedPageBreak/>
              <w:t>obesity (including but not limited to tiers 3 and 4), and</w:t>
            </w:r>
          </w:p>
          <w:p w14:paraId="57F1B103" w14:textId="77777777" w:rsidR="00353795" w:rsidRPr="00353795" w:rsidRDefault="00353795" w:rsidP="00353795">
            <w:pPr>
              <w:numPr>
                <w:ilvl w:val="0"/>
                <w:numId w:val="11"/>
              </w:numPr>
              <w:rPr>
                <w:sz w:val="24"/>
                <w:szCs w:val="24"/>
              </w:rPr>
            </w:pPr>
            <w:r w:rsidRPr="00353795">
              <w:rPr>
                <w:sz w:val="24"/>
                <w:szCs w:val="24"/>
              </w:rPr>
              <w:t>they have at least 1 weight-related comorbidity and:</w:t>
            </w:r>
          </w:p>
          <w:p w14:paraId="6E20A46B" w14:textId="77777777" w:rsidR="00353795" w:rsidRPr="00353795" w:rsidRDefault="00353795" w:rsidP="00353795">
            <w:pPr>
              <w:numPr>
                <w:ilvl w:val="1"/>
                <w:numId w:val="11"/>
              </w:numPr>
              <w:rPr>
                <w:sz w:val="24"/>
                <w:szCs w:val="24"/>
              </w:rPr>
            </w:pPr>
            <w:r w:rsidRPr="00353795">
              <w:rPr>
                <w:sz w:val="24"/>
                <w:szCs w:val="24"/>
              </w:rPr>
              <w:t>a body mass index (BMI) of at least 35.0 kg/m</w:t>
            </w:r>
            <w:r w:rsidRPr="00353795">
              <w:rPr>
                <w:sz w:val="24"/>
                <w:szCs w:val="24"/>
                <w:vertAlign w:val="superscript"/>
              </w:rPr>
              <w:t>2</w:t>
            </w:r>
            <w:r w:rsidRPr="00353795">
              <w:rPr>
                <w:sz w:val="24"/>
                <w:szCs w:val="24"/>
              </w:rPr>
              <w:t>, or</w:t>
            </w:r>
          </w:p>
          <w:p w14:paraId="4BACAAE8" w14:textId="41D456FD" w:rsidR="00201003" w:rsidRPr="00353795" w:rsidRDefault="00353795" w:rsidP="006B411A">
            <w:pPr>
              <w:numPr>
                <w:ilvl w:val="1"/>
                <w:numId w:val="11"/>
              </w:numPr>
              <w:rPr>
                <w:sz w:val="24"/>
                <w:szCs w:val="24"/>
              </w:rPr>
            </w:pPr>
            <w:r w:rsidRPr="00353795">
              <w:rPr>
                <w:sz w:val="24"/>
                <w:szCs w:val="24"/>
              </w:rPr>
              <w:t>a BMI of 30.0 kg/m</w:t>
            </w:r>
            <w:r w:rsidRPr="00353795">
              <w:rPr>
                <w:sz w:val="24"/>
                <w:szCs w:val="24"/>
                <w:vertAlign w:val="superscript"/>
              </w:rPr>
              <w:t>2</w:t>
            </w:r>
            <w:r w:rsidRPr="00353795">
              <w:rPr>
                <w:sz w:val="24"/>
                <w:szCs w:val="24"/>
              </w:rPr>
              <w:t> to 34.9 kg/m</w:t>
            </w:r>
            <w:r w:rsidRPr="00353795">
              <w:rPr>
                <w:sz w:val="24"/>
                <w:szCs w:val="24"/>
                <w:vertAlign w:val="superscript"/>
              </w:rPr>
              <w:t>2</w:t>
            </w:r>
            <w:r w:rsidRPr="00353795">
              <w:rPr>
                <w:sz w:val="24"/>
                <w:szCs w:val="24"/>
              </w:rPr>
              <w:t> and meet the criteria for referral to specialist overweight and obesity management services in </w:t>
            </w:r>
            <w:hyperlink r:id="rId12" w:tgtFrame="_top" w:history="1">
              <w:r w:rsidRPr="00353795">
                <w:rPr>
                  <w:rStyle w:val="Hyperlink"/>
                  <w:sz w:val="24"/>
                  <w:szCs w:val="24"/>
                </w:rPr>
                <w:t>NICE's guideline on overweight and obesity management</w:t>
              </w:r>
            </w:hyperlink>
          </w:p>
          <w:p w14:paraId="3A256331" w14:textId="77777777" w:rsidR="00201003" w:rsidRPr="00353795" w:rsidRDefault="00201003" w:rsidP="006B411A">
            <w:pPr>
              <w:rPr>
                <w:sz w:val="24"/>
                <w:szCs w:val="24"/>
              </w:rPr>
            </w:pPr>
          </w:p>
        </w:tc>
        <w:tc>
          <w:tcPr>
            <w:tcW w:w="1925" w:type="dxa"/>
            <w:shd w:val="clear" w:color="auto" w:fill="DAE9F7" w:themeFill="text2" w:themeFillTint="1A"/>
          </w:tcPr>
          <w:p w14:paraId="475B31A2" w14:textId="77777777" w:rsidR="00201003" w:rsidRPr="00F0608D" w:rsidRDefault="00201003" w:rsidP="006B411A">
            <w:pPr>
              <w:rPr>
                <w:sz w:val="24"/>
                <w:szCs w:val="24"/>
              </w:rPr>
            </w:pPr>
            <w:r>
              <w:rPr>
                <w:sz w:val="24"/>
                <w:szCs w:val="24"/>
              </w:rPr>
              <w:lastRenderedPageBreak/>
              <w:t>N/A</w:t>
            </w:r>
          </w:p>
        </w:tc>
        <w:tc>
          <w:tcPr>
            <w:tcW w:w="2122" w:type="dxa"/>
            <w:shd w:val="clear" w:color="auto" w:fill="DAE9F7" w:themeFill="text2" w:themeFillTint="1A"/>
          </w:tcPr>
          <w:p w14:paraId="108BDDBC" w14:textId="77777777" w:rsidR="00201003" w:rsidRPr="00F0608D" w:rsidRDefault="00201003" w:rsidP="006B411A">
            <w:pPr>
              <w:rPr>
                <w:sz w:val="24"/>
                <w:szCs w:val="24"/>
              </w:rPr>
            </w:pPr>
            <w:r w:rsidRPr="00F0608D">
              <w:rPr>
                <w:sz w:val="24"/>
                <w:szCs w:val="24"/>
              </w:rPr>
              <w:t xml:space="preserve">licensed as an adjunct to a reduced-calorie diet and increased physical activity for weight management, including weight loss and weight maintenance, in adults with an </w:t>
            </w:r>
            <w:r w:rsidRPr="00F0608D">
              <w:rPr>
                <w:sz w:val="24"/>
                <w:szCs w:val="24"/>
              </w:rPr>
              <w:lastRenderedPageBreak/>
              <w:t>initial Body Mass Index (BMI) of</w:t>
            </w:r>
          </w:p>
          <w:p w14:paraId="60C62C84" w14:textId="77777777" w:rsidR="00201003" w:rsidRPr="00F0608D" w:rsidRDefault="00201003" w:rsidP="006B411A">
            <w:pPr>
              <w:rPr>
                <w:sz w:val="24"/>
                <w:szCs w:val="24"/>
              </w:rPr>
            </w:pPr>
            <w:r w:rsidRPr="00F0608D">
              <w:rPr>
                <w:sz w:val="24"/>
                <w:szCs w:val="24"/>
              </w:rPr>
              <w:t>• ≥30 kg/m</w:t>
            </w:r>
            <w:r w:rsidRPr="00F0608D">
              <w:rPr>
                <w:sz w:val="24"/>
                <w:szCs w:val="24"/>
                <w:vertAlign w:val="superscript"/>
              </w:rPr>
              <w:t>2</w:t>
            </w:r>
            <w:r w:rsidRPr="00F0608D">
              <w:rPr>
                <w:sz w:val="24"/>
                <w:szCs w:val="24"/>
              </w:rPr>
              <w:t> (obesity), or</w:t>
            </w:r>
          </w:p>
          <w:p w14:paraId="2661C8F0" w14:textId="77777777" w:rsidR="00201003" w:rsidRDefault="00201003" w:rsidP="006B411A">
            <w:pPr>
              <w:rPr>
                <w:sz w:val="24"/>
                <w:szCs w:val="24"/>
              </w:rPr>
            </w:pPr>
            <w:r w:rsidRPr="00F0608D">
              <w:rPr>
                <w:sz w:val="24"/>
                <w:szCs w:val="24"/>
              </w:rPr>
              <w:t>• ≥27 kg/m</w:t>
            </w:r>
            <w:r w:rsidRPr="00F0608D">
              <w:rPr>
                <w:sz w:val="24"/>
                <w:szCs w:val="24"/>
                <w:vertAlign w:val="superscript"/>
              </w:rPr>
              <w:t>2</w:t>
            </w:r>
            <w:r w:rsidRPr="00F0608D">
              <w:rPr>
                <w:sz w:val="24"/>
                <w:szCs w:val="24"/>
              </w:rPr>
              <w:t> to &lt;30 kg/m</w:t>
            </w:r>
            <w:r w:rsidRPr="00F0608D">
              <w:rPr>
                <w:sz w:val="24"/>
                <w:szCs w:val="24"/>
                <w:vertAlign w:val="superscript"/>
              </w:rPr>
              <w:t>2</w:t>
            </w:r>
            <w:r w:rsidRPr="00F0608D">
              <w:rPr>
                <w:sz w:val="24"/>
                <w:szCs w:val="24"/>
              </w:rPr>
              <w:t> (overweight) in the presence of at least one weight-related comorbidity.</w:t>
            </w:r>
          </w:p>
          <w:p w14:paraId="70FF6CDE" w14:textId="33FFA022" w:rsidR="00574BB7" w:rsidRPr="00574BB7" w:rsidRDefault="00574BB7" w:rsidP="00574BB7">
            <w:pPr>
              <w:rPr>
                <w:sz w:val="24"/>
                <w:szCs w:val="24"/>
              </w:rPr>
            </w:pPr>
          </w:p>
        </w:tc>
        <w:tc>
          <w:tcPr>
            <w:tcW w:w="4848" w:type="dxa"/>
            <w:shd w:val="clear" w:color="auto" w:fill="DAE9F7" w:themeFill="text2" w:themeFillTint="1A"/>
          </w:tcPr>
          <w:p w14:paraId="1200619C" w14:textId="77777777" w:rsidR="00201003" w:rsidRPr="00F0608D" w:rsidRDefault="00201003" w:rsidP="006B411A">
            <w:pPr>
              <w:rPr>
                <w:sz w:val="24"/>
                <w:szCs w:val="24"/>
              </w:rPr>
            </w:pPr>
            <w:r w:rsidRPr="00F0608D">
              <w:rPr>
                <w:sz w:val="24"/>
                <w:szCs w:val="24"/>
              </w:rPr>
              <w:lastRenderedPageBreak/>
              <w:t xml:space="preserve">Do NOT prescribe on the NHS for overweight and obesity unless advised to do so by the ICB, as part of a commissioned service. </w:t>
            </w:r>
          </w:p>
        </w:tc>
      </w:tr>
      <w:tr w:rsidR="00201003" w:rsidRPr="00F0608D" w14:paraId="45B0856B" w14:textId="77777777" w:rsidTr="006B411A">
        <w:tc>
          <w:tcPr>
            <w:tcW w:w="1523" w:type="dxa"/>
            <w:shd w:val="clear" w:color="auto" w:fill="B3E5A1" w:themeFill="accent6" w:themeFillTint="66"/>
          </w:tcPr>
          <w:p w14:paraId="1B53ED60" w14:textId="77777777" w:rsidR="00201003" w:rsidRPr="00F0608D" w:rsidRDefault="00201003" w:rsidP="006B411A">
            <w:pPr>
              <w:rPr>
                <w:sz w:val="24"/>
                <w:szCs w:val="24"/>
              </w:rPr>
            </w:pPr>
            <w:r w:rsidRPr="00F0608D">
              <w:rPr>
                <w:b/>
                <w:bCs/>
                <w:sz w:val="24"/>
                <w:szCs w:val="24"/>
              </w:rPr>
              <w:t>Drug</w:t>
            </w:r>
          </w:p>
        </w:tc>
        <w:tc>
          <w:tcPr>
            <w:tcW w:w="4389" w:type="dxa"/>
            <w:shd w:val="clear" w:color="auto" w:fill="B3E5A1" w:themeFill="accent6" w:themeFillTint="66"/>
          </w:tcPr>
          <w:p w14:paraId="7DC63F15" w14:textId="77777777" w:rsidR="00201003" w:rsidRPr="00F0608D" w:rsidRDefault="00201003" w:rsidP="006B411A">
            <w:pPr>
              <w:rPr>
                <w:sz w:val="24"/>
                <w:szCs w:val="24"/>
              </w:rPr>
            </w:pPr>
            <w:r w:rsidRPr="00F0608D">
              <w:rPr>
                <w:b/>
                <w:bCs/>
                <w:sz w:val="24"/>
                <w:szCs w:val="24"/>
              </w:rPr>
              <w:t>NICE T</w:t>
            </w:r>
            <w:r>
              <w:rPr>
                <w:b/>
                <w:bCs/>
                <w:sz w:val="24"/>
                <w:szCs w:val="24"/>
              </w:rPr>
              <w:t>echnology Appraisal and/or NICE Guidelines</w:t>
            </w:r>
          </w:p>
        </w:tc>
        <w:tc>
          <w:tcPr>
            <w:tcW w:w="1925" w:type="dxa"/>
            <w:shd w:val="clear" w:color="auto" w:fill="B3E5A1" w:themeFill="accent6" w:themeFillTint="66"/>
          </w:tcPr>
          <w:p w14:paraId="396F0636" w14:textId="77777777" w:rsidR="00201003" w:rsidRPr="00F0608D" w:rsidRDefault="00201003" w:rsidP="006B411A">
            <w:pPr>
              <w:rPr>
                <w:sz w:val="24"/>
                <w:szCs w:val="24"/>
              </w:rPr>
            </w:pPr>
            <w:r w:rsidRPr="00F0608D">
              <w:rPr>
                <w:b/>
                <w:bCs/>
                <w:sz w:val="24"/>
                <w:szCs w:val="24"/>
              </w:rPr>
              <w:t>NHSE Commissioning</w:t>
            </w:r>
          </w:p>
        </w:tc>
        <w:tc>
          <w:tcPr>
            <w:tcW w:w="2122" w:type="dxa"/>
            <w:shd w:val="clear" w:color="auto" w:fill="B3E5A1" w:themeFill="accent6" w:themeFillTint="66"/>
          </w:tcPr>
          <w:p w14:paraId="734E0993" w14:textId="77777777" w:rsidR="00201003" w:rsidRPr="00F0608D" w:rsidRDefault="00201003" w:rsidP="006B411A">
            <w:pPr>
              <w:rPr>
                <w:sz w:val="24"/>
                <w:szCs w:val="24"/>
              </w:rPr>
            </w:pPr>
            <w:r w:rsidRPr="00F0608D">
              <w:rPr>
                <w:b/>
                <w:bCs/>
                <w:sz w:val="24"/>
                <w:szCs w:val="24"/>
              </w:rPr>
              <w:t>Licence</w:t>
            </w:r>
          </w:p>
        </w:tc>
        <w:tc>
          <w:tcPr>
            <w:tcW w:w="4848" w:type="dxa"/>
            <w:shd w:val="clear" w:color="auto" w:fill="B3E5A1" w:themeFill="accent6" w:themeFillTint="66"/>
          </w:tcPr>
          <w:p w14:paraId="13D242F1" w14:textId="77777777" w:rsidR="00201003" w:rsidRDefault="00201003" w:rsidP="006B411A">
            <w:pPr>
              <w:rPr>
                <w:b/>
                <w:bCs/>
                <w:sz w:val="24"/>
                <w:szCs w:val="24"/>
              </w:rPr>
            </w:pPr>
            <w:r>
              <w:rPr>
                <w:b/>
                <w:bCs/>
                <w:sz w:val="24"/>
                <w:szCs w:val="24"/>
              </w:rPr>
              <w:t>Humber and North Yorkshire ICB</w:t>
            </w:r>
          </w:p>
          <w:p w14:paraId="045ED8D1" w14:textId="77777777" w:rsidR="00201003" w:rsidRPr="004D5C69" w:rsidRDefault="00201003" w:rsidP="006B411A">
            <w:pPr>
              <w:rPr>
                <w:sz w:val="24"/>
                <w:szCs w:val="24"/>
              </w:rPr>
            </w:pPr>
            <w:r w:rsidRPr="00F0608D">
              <w:rPr>
                <w:b/>
                <w:bCs/>
                <w:sz w:val="24"/>
                <w:szCs w:val="24"/>
              </w:rPr>
              <w:t>Summary for NHS Clinicians</w:t>
            </w:r>
          </w:p>
        </w:tc>
      </w:tr>
      <w:tr w:rsidR="00201003" w:rsidRPr="00F0608D" w14:paraId="6AFB57D0" w14:textId="77777777" w:rsidTr="006B411A">
        <w:tc>
          <w:tcPr>
            <w:tcW w:w="1523" w:type="dxa"/>
            <w:shd w:val="clear" w:color="auto" w:fill="E8E8E8" w:themeFill="background2"/>
          </w:tcPr>
          <w:p w14:paraId="1FFB3C41" w14:textId="77777777" w:rsidR="00201003" w:rsidRPr="00F0608D" w:rsidRDefault="00201003" w:rsidP="006B411A">
            <w:pPr>
              <w:rPr>
                <w:sz w:val="24"/>
                <w:szCs w:val="24"/>
              </w:rPr>
            </w:pPr>
            <w:r w:rsidRPr="00F0608D">
              <w:rPr>
                <w:sz w:val="24"/>
                <w:szCs w:val="24"/>
              </w:rPr>
              <w:t>Semaglutide (Ozempic®) For Type-2 diabetes</w:t>
            </w:r>
          </w:p>
        </w:tc>
        <w:tc>
          <w:tcPr>
            <w:tcW w:w="4389" w:type="dxa"/>
            <w:shd w:val="clear" w:color="auto" w:fill="E8E8E8" w:themeFill="background2"/>
          </w:tcPr>
          <w:p w14:paraId="0443500D" w14:textId="77777777" w:rsidR="00201003" w:rsidRDefault="00201003" w:rsidP="006B411A">
            <w:pPr>
              <w:rPr>
                <w:sz w:val="24"/>
                <w:szCs w:val="24"/>
              </w:rPr>
            </w:pPr>
            <w:r w:rsidRPr="00F0608D">
              <w:rPr>
                <w:sz w:val="24"/>
                <w:szCs w:val="24"/>
              </w:rPr>
              <w:t>N/A</w:t>
            </w:r>
          </w:p>
          <w:p w14:paraId="2562AC4F" w14:textId="77777777" w:rsidR="00201003" w:rsidRDefault="00201003" w:rsidP="006B411A">
            <w:pPr>
              <w:rPr>
                <w:sz w:val="24"/>
                <w:szCs w:val="24"/>
              </w:rPr>
            </w:pPr>
          </w:p>
          <w:p w14:paraId="55792545" w14:textId="77777777" w:rsidR="00201003" w:rsidRPr="00F0608D" w:rsidRDefault="00201003" w:rsidP="006B411A">
            <w:pPr>
              <w:rPr>
                <w:sz w:val="24"/>
                <w:szCs w:val="24"/>
              </w:rPr>
            </w:pPr>
          </w:p>
        </w:tc>
        <w:tc>
          <w:tcPr>
            <w:tcW w:w="1925" w:type="dxa"/>
            <w:shd w:val="clear" w:color="auto" w:fill="E8E8E8" w:themeFill="background2"/>
          </w:tcPr>
          <w:p w14:paraId="2397A85A" w14:textId="77777777" w:rsidR="00201003" w:rsidRPr="00F0608D" w:rsidRDefault="00201003" w:rsidP="006B411A">
            <w:pPr>
              <w:rPr>
                <w:sz w:val="24"/>
                <w:szCs w:val="24"/>
              </w:rPr>
            </w:pPr>
            <w:r w:rsidRPr="00F0608D">
              <w:rPr>
                <w:sz w:val="24"/>
                <w:szCs w:val="24"/>
              </w:rPr>
              <w:t>N/A</w:t>
            </w:r>
          </w:p>
        </w:tc>
        <w:tc>
          <w:tcPr>
            <w:tcW w:w="2122" w:type="dxa"/>
            <w:shd w:val="clear" w:color="auto" w:fill="E8E8E8" w:themeFill="background2"/>
          </w:tcPr>
          <w:p w14:paraId="0C2247D6" w14:textId="77777777" w:rsidR="00201003" w:rsidRPr="00F0608D" w:rsidRDefault="00201003" w:rsidP="006B411A">
            <w:pPr>
              <w:rPr>
                <w:sz w:val="24"/>
                <w:szCs w:val="24"/>
              </w:rPr>
            </w:pPr>
            <w:r w:rsidRPr="00F0608D">
              <w:rPr>
                <w:sz w:val="24"/>
                <w:szCs w:val="24"/>
              </w:rPr>
              <w:t>Type 2 diabetes mellitus as monotherapy (if metformin inappropriate), or in combination with other antidiabetic drugs (including insulin) if existing treatment fails to achieve adequate glycaemic control</w:t>
            </w:r>
          </w:p>
        </w:tc>
        <w:tc>
          <w:tcPr>
            <w:tcW w:w="4848" w:type="dxa"/>
            <w:shd w:val="clear" w:color="auto" w:fill="E8E8E8" w:themeFill="background2"/>
          </w:tcPr>
          <w:p w14:paraId="1A2A86A1" w14:textId="77777777" w:rsidR="00201003" w:rsidRPr="00F0608D" w:rsidRDefault="00201003" w:rsidP="006B411A">
            <w:pPr>
              <w:rPr>
                <w:sz w:val="24"/>
                <w:szCs w:val="24"/>
              </w:rPr>
            </w:pPr>
            <w:r w:rsidRPr="004D5C69">
              <w:rPr>
                <w:sz w:val="24"/>
                <w:szCs w:val="24"/>
              </w:rPr>
              <w:t>Approved as an option for adult patients with type 2 diabetes mellitus who require intensification of treatment if use of a GLP1 agonist is clinically appropriate.</w:t>
            </w:r>
          </w:p>
          <w:p w14:paraId="6C7B9691" w14:textId="77777777" w:rsidR="00201003" w:rsidRPr="00F0608D" w:rsidRDefault="00201003" w:rsidP="006B411A">
            <w:pPr>
              <w:rPr>
                <w:sz w:val="24"/>
                <w:szCs w:val="24"/>
              </w:rPr>
            </w:pPr>
          </w:p>
          <w:p w14:paraId="5C4C2ED6" w14:textId="77777777" w:rsidR="00201003" w:rsidRPr="004D5C69" w:rsidRDefault="00201003" w:rsidP="006B411A">
            <w:pPr>
              <w:rPr>
                <w:sz w:val="24"/>
                <w:szCs w:val="24"/>
              </w:rPr>
            </w:pPr>
            <w:r w:rsidRPr="004D5C69">
              <w:rPr>
                <w:sz w:val="24"/>
                <w:szCs w:val="24"/>
              </w:rPr>
              <w:t xml:space="preserve">In the </w:t>
            </w:r>
            <w:hyperlink r:id="rId13" w:history="1">
              <w:r w:rsidRPr="004D5C69">
                <w:rPr>
                  <w:rStyle w:val="Hyperlink"/>
                  <w:sz w:val="24"/>
                  <w:szCs w:val="24"/>
                </w:rPr>
                <w:t>local pathway </w:t>
              </w:r>
            </w:hyperlink>
            <w:r w:rsidRPr="004D5C69">
              <w:rPr>
                <w:sz w:val="24"/>
                <w:szCs w:val="24"/>
              </w:rPr>
              <w:t>this would be at STEP 3.</w:t>
            </w:r>
          </w:p>
          <w:p w14:paraId="71ADB2D0" w14:textId="77777777" w:rsidR="00201003" w:rsidRPr="004D5C69" w:rsidRDefault="00201003" w:rsidP="006B411A">
            <w:pPr>
              <w:rPr>
                <w:sz w:val="24"/>
                <w:szCs w:val="24"/>
              </w:rPr>
            </w:pPr>
            <w:r w:rsidRPr="004D5C69">
              <w:rPr>
                <w:sz w:val="24"/>
                <w:szCs w:val="24"/>
              </w:rPr>
              <w:t>For use in those patients who would prefer a weekly preparation on GLP-1 receptor agonist and</w:t>
            </w:r>
          </w:p>
          <w:p w14:paraId="2FB1C50F" w14:textId="77777777" w:rsidR="00201003" w:rsidRPr="004D5C69" w:rsidRDefault="00201003" w:rsidP="00201003">
            <w:pPr>
              <w:numPr>
                <w:ilvl w:val="0"/>
                <w:numId w:val="6"/>
              </w:numPr>
              <w:rPr>
                <w:sz w:val="24"/>
                <w:szCs w:val="24"/>
              </w:rPr>
            </w:pPr>
            <w:r w:rsidRPr="004D5C69">
              <w:rPr>
                <w:sz w:val="24"/>
                <w:szCs w:val="24"/>
              </w:rPr>
              <w:t xml:space="preserve">have established cardiovascular </w:t>
            </w:r>
            <w:proofErr w:type="gramStart"/>
            <w:r w:rsidRPr="004D5C69">
              <w:rPr>
                <w:sz w:val="24"/>
                <w:szCs w:val="24"/>
              </w:rPr>
              <w:t>disease  or</w:t>
            </w:r>
            <w:proofErr w:type="gramEnd"/>
          </w:p>
          <w:p w14:paraId="51E18EB7" w14:textId="77777777" w:rsidR="00201003" w:rsidRPr="004D5C69" w:rsidRDefault="00201003" w:rsidP="00201003">
            <w:pPr>
              <w:numPr>
                <w:ilvl w:val="0"/>
                <w:numId w:val="6"/>
              </w:numPr>
              <w:rPr>
                <w:sz w:val="24"/>
                <w:szCs w:val="24"/>
              </w:rPr>
            </w:pPr>
            <w:r w:rsidRPr="004D5C69">
              <w:rPr>
                <w:sz w:val="24"/>
                <w:szCs w:val="24"/>
              </w:rPr>
              <w:t>the current GLP-1 receptor agonist has not achieved sufficient clinical response or</w:t>
            </w:r>
          </w:p>
          <w:p w14:paraId="552CDA25" w14:textId="77777777" w:rsidR="00201003" w:rsidRDefault="00201003" w:rsidP="00201003">
            <w:pPr>
              <w:numPr>
                <w:ilvl w:val="0"/>
                <w:numId w:val="6"/>
              </w:numPr>
              <w:rPr>
                <w:sz w:val="24"/>
                <w:szCs w:val="24"/>
              </w:rPr>
            </w:pPr>
            <w:r w:rsidRPr="004D5C69">
              <w:rPr>
                <w:sz w:val="24"/>
                <w:szCs w:val="24"/>
              </w:rPr>
              <w:lastRenderedPageBreak/>
              <w:t>another GLP-1 receptor agonist has caused local skin reactions at the side of the injection.</w:t>
            </w:r>
          </w:p>
          <w:p w14:paraId="34B9AB36" w14:textId="77777777" w:rsidR="00201003" w:rsidRDefault="00201003" w:rsidP="006B411A">
            <w:pPr>
              <w:rPr>
                <w:sz w:val="24"/>
                <w:szCs w:val="24"/>
              </w:rPr>
            </w:pPr>
          </w:p>
          <w:p w14:paraId="1D227BDC" w14:textId="75A389F8" w:rsidR="00201003" w:rsidRDefault="00201003" w:rsidP="006B411A">
            <w:pPr>
              <w:rPr>
                <w:sz w:val="24"/>
                <w:szCs w:val="24"/>
              </w:rPr>
            </w:pPr>
            <w:r>
              <w:rPr>
                <w:sz w:val="24"/>
                <w:szCs w:val="24"/>
              </w:rPr>
              <w:t>Only use for glycaemic control. Once glycaemic control is at desired target and stable DO NOT titrate to manage overweight/obesity.</w:t>
            </w:r>
          </w:p>
          <w:p w14:paraId="2FF5278F" w14:textId="77777777" w:rsidR="00201003" w:rsidRPr="00F0608D" w:rsidRDefault="00201003" w:rsidP="006B411A">
            <w:pPr>
              <w:rPr>
                <w:sz w:val="24"/>
                <w:szCs w:val="24"/>
              </w:rPr>
            </w:pPr>
          </w:p>
        </w:tc>
      </w:tr>
      <w:tr w:rsidR="00201003" w:rsidRPr="00F0608D" w14:paraId="0156E7E2" w14:textId="77777777" w:rsidTr="006B411A">
        <w:tc>
          <w:tcPr>
            <w:tcW w:w="1523" w:type="dxa"/>
            <w:shd w:val="clear" w:color="auto" w:fill="B3E5A1" w:themeFill="accent6" w:themeFillTint="66"/>
          </w:tcPr>
          <w:p w14:paraId="4764AF9D" w14:textId="77777777" w:rsidR="00201003" w:rsidRPr="00F0608D" w:rsidRDefault="00201003" w:rsidP="006B411A">
            <w:pPr>
              <w:rPr>
                <w:sz w:val="24"/>
                <w:szCs w:val="24"/>
              </w:rPr>
            </w:pPr>
            <w:r w:rsidRPr="00F0608D">
              <w:rPr>
                <w:b/>
                <w:bCs/>
                <w:sz w:val="24"/>
                <w:szCs w:val="24"/>
              </w:rPr>
              <w:lastRenderedPageBreak/>
              <w:t>Drug</w:t>
            </w:r>
          </w:p>
        </w:tc>
        <w:tc>
          <w:tcPr>
            <w:tcW w:w="4389" w:type="dxa"/>
            <w:shd w:val="clear" w:color="auto" w:fill="B3E5A1" w:themeFill="accent6" w:themeFillTint="66"/>
          </w:tcPr>
          <w:p w14:paraId="7CB1E6FC" w14:textId="77777777" w:rsidR="00201003" w:rsidRPr="00F0608D" w:rsidRDefault="00201003" w:rsidP="006B411A">
            <w:pPr>
              <w:rPr>
                <w:sz w:val="24"/>
                <w:szCs w:val="24"/>
              </w:rPr>
            </w:pPr>
            <w:r w:rsidRPr="00F0608D">
              <w:rPr>
                <w:b/>
                <w:bCs/>
                <w:sz w:val="24"/>
                <w:szCs w:val="24"/>
              </w:rPr>
              <w:t>NICE T</w:t>
            </w:r>
            <w:r>
              <w:rPr>
                <w:b/>
                <w:bCs/>
                <w:sz w:val="24"/>
                <w:szCs w:val="24"/>
              </w:rPr>
              <w:t>echnology Appraisal and/or NICE Guidelines</w:t>
            </w:r>
          </w:p>
        </w:tc>
        <w:tc>
          <w:tcPr>
            <w:tcW w:w="1925" w:type="dxa"/>
            <w:shd w:val="clear" w:color="auto" w:fill="B3E5A1" w:themeFill="accent6" w:themeFillTint="66"/>
          </w:tcPr>
          <w:p w14:paraId="4FF7404A" w14:textId="77777777" w:rsidR="00201003" w:rsidRPr="00F0608D" w:rsidRDefault="00201003" w:rsidP="006B411A">
            <w:pPr>
              <w:rPr>
                <w:sz w:val="24"/>
                <w:szCs w:val="24"/>
              </w:rPr>
            </w:pPr>
            <w:r w:rsidRPr="00F0608D">
              <w:rPr>
                <w:b/>
                <w:bCs/>
                <w:sz w:val="24"/>
                <w:szCs w:val="24"/>
              </w:rPr>
              <w:t>NHSE Commissioning</w:t>
            </w:r>
          </w:p>
        </w:tc>
        <w:tc>
          <w:tcPr>
            <w:tcW w:w="2122" w:type="dxa"/>
            <w:shd w:val="clear" w:color="auto" w:fill="B3E5A1" w:themeFill="accent6" w:themeFillTint="66"/>
          </w:tcPr>
          <w:p w14:paraId="5B6A42B4" w14:textId="77777777" w:rsidR="00201003" w:rsidRPr="00F0608D" w:rsidRDefault="00201003" w:rsidP="006B411A">
            <w:pPr>
              <w:rPr>
                <w:sz w:val="24"/>
                <w:szCs w:val="24"/>
              </w:rPr>
            </w:pPr>
            <w:r w:rsidRPr="00F0608D">
              <w:rPr>
                <w:b/>
                <w:bCs/>
                <w:sz w:val="24"/>
                <w:szCs w:val="24"/>
              </w:rPr>
              <w:t>Licence</w:t>
            </w:r>
          </w:p>
        </w:tc>
        <w:tc>
          <w:tcPr>
            <w:tcW w:w="4848" w:type="dxa"/>
            <w:shd w:val="clear" w:color="auto" w:fill="B3E5A1" w:themeFill="accent6" w:themeFillTint="66"/>
          </w:tcPr>
          <w:p w14:paraId="168DDBD8" w14:textId="77777777" w:rsidR="00201003" w:rsidRDefault="00201003" w:rsidP="006B411A">
            <w:pPr>
              <w:rPr>
                <w:b/>
                <w:bCs/>
                <w:sz w:val="24"/>
                <w:szCs w:val="24"/>
              </w:rPr>
            </w:pPr>
            <w:r>
              <w:rPr>
                <w:b/>
                <w:bCs/>
                <w:sz w:val="24"/>
                <w:szCs w:val="24"/>
              </w:rPr>
              <w:t>Humber and North Yorkshire ICB</w:t>
            </w:r>
          </w:p>
          <w:p w14:paraId="5B37A8E3" w14:textId="77777777" w:rsidR="00201003" w:rsidRPr="004D5C69" w:rsidRDefault="00201003" w:rsidP="006B411A">
            <w:pPr>
              <w:rPr>
                <w:sz w:val="24"/>
                <w:szCs w:val="24"/>
              </w:rPr>
            </w:pPr>
            <w:r w:rsidRPr="00F0608D">
              <w:rPr>
                <w:b/>
                <w:bCs/>
                <w:sz w:val="24"/>
                <w:szCs w:val="24"/>
              </w:rPr>
              <w:t>Summary for NHS Clinicians</w:t>
            </w:r>
          </w:p>
        </w:tc>
      </w:tr>
      <w:tr w:rsidR="00201003" w:rsidRPr="00F0608D" w14:paraId="1F4F2FBC" w14:textId="77777777" w:rsidTr="006B411A">
        <w:tc>
          <w:tcPr>
            <w:tcW w:w="1523" w:type="dxa"/>
            <w:shd w:val="clear" w:color="auto" w:fill="E8E8E8" w:themeFill="background2"/>
          </w:tcPr>
          <w:p w14:paraId="7E0A6D4A" w14:textId="77777777" w:rsidR="00201003" w:rsidRPr="00F0608D" w:rsidRDefault="00201003" w:rsidP="006B411A">
            <w:pPr>
              <w:rPr>
                <w:sz w:val="24"/>
                <w:szCs w:val="24"/>
              </w:rPr>
            </w:pPr>
            <w:r w:rsidRPr="00F0608D">
              <w:rPr>
                <w:sz w:val="24"/>
                <w:szCs w:val="24"/>
              </w:rPr>
              <w:t>Semaglutide (</w:t>
            </w:r>
            <w:proofErr w:type="spellStart"/>
            <w:r w:rsidRPr="00F0608D">
              <w:rPr>
                <w:sz w:val="24"/>
                <w:szCs w:val="24"/>
              </w:rPr>
              <w:t>Rybelsus</w:t>
            </w:r>
            <w:proofErr w:type="spellEnd"/>
            <w:r w:rsidRPr="00F0608D">
              <w:rPr>
                <w:sz w:val="24"/>
                <w:szCs w:val="24"/>
              </w:rPr>
              <w:t>®) for Type-2 diabetes</w:t>
            </w:r>
          </w:p>
        </w:tc>
        <w:tc>
          <w:tcPr>
            <w:tcW w:w="4389" w:type="dxa"/>
            <w:shd w:val="clear" w:color="auto" w:fill="E8E8E8" w:themeFill="background2"/>
          </w:tcPr>
          <w:p w14:paraId="710FA5D2" w14:textId="77777777" w:rsidR="00201003" w:rsidRPr="00F0608D" w:rsidRDefault="00201003" w:rsidP="006B411A">
            <w:pPr>
              <w:rPr>
                <w:sz w:val="24"/>
                <w:szCs w:val="24"/>
              </w:rPr>
            </w:pPr>
            <w:r w:rsidRPr="00F0608D">
              <w:rPr>
                <w:sz w:val="24"/>
                <w:szCs w:val="24"/>
              </w:rPr>
              <w:t>N/A</w:t>
            </w:r>
          </w:p>
        </w:tc>
        <w:tc>
          <w:tcPr>
            <w:tcW w:w="1925" w:type="dxa"/>
            <w:shd w:val="clear" w:color="auto" w:fill="E8E8E8" w:themeFill="background2"/>
          </w:tcPr>
          <w:p w14:paraId="00594AED" w14:textId="77777777" w:rsidR="00201003" w:rsidRPr="00F0608D" w:rsidRDefault="00201003" w:rsidP="006B411A">
            <w:pPr>
              <w:rPr>
                <w:sz w:val="24"/>
                <w:szCs w:val="24"/>
              </w:rPr>
            </w:pPr>
            <w:r w:rsidRPr="00F0608D">
              <w:rPr>
                <w:sz w:val="24"/>
                <w:szCs w:val="24"/>
              </w:rPr>
              <w:t>N/A</w:t>
            </w:r>
          </w:p>
        </w:tc>
        <w:tc>
          <w:tcPr>
            <w:tcW w:w="2122" w:type="dxa"/>
            <w:shd w:val="clear" w:color="auto" w:fill="E8E8E8" w:themeFill="background2"/>
          </w:tcPr>
          <w:p w14:paraId="7C9C0D48" w14:textId="77777777" w:rsidR="00201003" w:rsidRPr="00F0608D" w:rsidRDefault="00201003" w:rsidP="006B411A">
            <w:pPr>
              <w:rPr>
                <w:sz w:val="24"/>
                <w:szCs w:val="24"/>
              </w:rPr>
            </w:pPr>
            <w:r w:rsidRPr="00F0608D">
              <w:rPr>
                <w:sz w:val="24"/>
                <w:szCs w:val="24"/>
              </w:rPr>
              <w:t>Type 2 diabetes mellitus as monotherapy (if metformin inappropriate), or in combination with other antidiabetic drugs (including insulin) if existing treatment fails to achieve adequate glycaemic control</w:t>
            </w:r>
          </w:p>
        </w:tc>
        <w:tc>
          <w:tcPr>
            <w:tcW w:w="4848" w:type="dxa"/>
            <w:shd w:val="clear" w:color="auto" w:fill="E8E8E8" w:themeFill="background2"/>
          </w:tcPr>
          <w:p w14:paraId="09B6834A" w14:textId="77777777" w:rsidR="00201003" w:rsidRPr="004D5C69" w:rsidRDefault="00201003" w:rsidP="006B411A">
            <w:pPr>
              <w:rPr>
                <w:sz w:val="24"/>
                <w:szCs w:val="24"/>
              </w:rPr>
            </w:pPr>
            <w:r w:rsidRPr="004D5C69">
              <w:rPr>
                <w:sz w:val="24"/>
                <w:szCs w:val="24"/>
              </w:rPr>
              <w:t>Oral GLP1 receptor agonist</w:t>
            </w:r>
          </w:p>
          <w:p w14:paraId="39D7609C" w14:textId="77777777" w:rsidR="00201003" w:rsidRPr="004D5C69" w:rsidRDefault="00201003" w:rsidP="006B411A">
            <w:pPr>
              <w:rPr>
                <w:sz w:val="24"/>
                <w:szCs w:val="24"/>
              </w:rPr>
            </w:pPr>
            <w:r w:rsidRPr="004D5C69">
              <w:rPr>
                <w:sz w:val="24"/>
                <w:szCs w:val="24"/>
              </w:rPr>
              <w:t xml:space="preserve">Approved as an option for adult patients with type 2 diabetes mellitus who require intensification of treatment if use of a GLP1 agonist is clinically </w:t>
            </w:r>
            <w:proofErr w:type="gramStart"/>
            <w:r w:rsidRPr="004D5C69">
              <w:rPr>
                <w:sz w:val="24"/>
                <w:szCs w:val="24"/>
              </w:rPr>
              <w:t>appropriate  and</w:t>
            </w:r>
            <w:proofErr w:type="gramEnd"/>
            <w:r w:rsidRPr="004D5C69">
              <w:rPr>
                <w:sz w:val="24"/>
                <w:szCs w:val="24"/>
              </w:rPr>
              <w:t xml:space="preserve"> when an oral option is preferred. In the </w:t>
            </w:r>
            <w:hyperlink r:id="rId14" w:history="1">
              <w:r w:rsidRPr="004D5C69">
                <w:rPr>
                  <w:rStyle w:val="Hyperlink"/>
                  <w:sz w:val="24"/>
                  <w:szCs w:val="24"/>
                </w:rPr>
                <w:t>local pathway </w:t>
              </w:r>
            </w:hyperlink>
            <w:r w:rsidRPr="004D5C69">
              <w:rPr>
                <w:sz w:val="24"/>
                <w:szCs w:val="24"/>
              </w:rPr>
              <w:t xml:space="preserve"> this would be at STEP 3.</w:t>
            </w:r>
          </w:p>
          <w:p w14:paraId="16A21964" w14:textId="77777777" w:rsidR="00201003" w:rsidRDefault="00201003" w:rsidP="006B411A">
            <w:pPr>
              <w:rPr>
                <w:sz w:val="24"/>
                <w:szCs w:val="24"/>
              </w:rPr>
            </w:pPr>
          </w:p>
          <w:p w14:paraId="63B4C733" w14:textId="77777777" w:rsidR="00201003" w:rsidRDefault="00201003" w:rsidP="006B411A">
            <w:pPr>
              <w:rPr>
                <w:sz w:val="24"/>
                <w:szCs w:val="24"/>
              </w:rPr>
            </w:pPr>
            <w:r>
              <w:rPr>
                <w:sz w:val="24"/>
                <w:szCs w:val="24"/>
              </w:rPr>
              <w:t>Only use for glycaemic control. Once glycaemic control is at desired target and stable DO NOT titrate to manage overweight/obesity.</w:t>
            </w:r>
          </w:p>
          <w:p w14:paraId="294AE05F" w14:textId="77777777" w:rsidR="00201003" w:rsidRDefault="00201003" w:rsidP="006B411A">
            <w:pPr>
              <w:rPr>
                <w:sz w:val="24"/>
                <w:szCs w:val="24"/>
              </w:rPr>
            </w:pPr>
          </w:p>
          <w:p w14:paraId="388E651E" w14:textId="77777777" w:rsidR="00201003" w:rsidRDefault="00201003" w:rsidP="006B411A">
            <w:pPr>
              <w:rPr>
                <w:sz w:val="24"/>
                <w:szCs w:val="24"/>
              </w:rPr>
            </w:pPr>
          </w:p>
          <w:p w14:paraId="49CA0A1D" w14:textId="77777777" w:rsidR="00201003" w:rsidRDefault="00201003" w:rsidP="006B411A">
            <w:pPr>
              <w:rPr>
                <w:sz w:val="24"/>
                <w:szCs w:val="24"/>
              </w:rPr>
            </w:pPr>
          </w:p>
          <w:p w14:paraId="66F2C8AF" w14:textId="77777777" w:rsidR="00201003" w:rsidRDefault="00201003" w:rsidP="006B411A">
            <w:pPr>
              <w:rPr>
                <w:sz w:val="24"/>
                <w:szCs w:val="24"/>
              </w:rPr>
            </w:pPr>
          </w:p>
          <w:p w14:paraId="0B09CCBA" w14:textId="77777777" w:rsidR="00201003" w:rsidRDefault="00201003" w:rsidP="006B411A">
            <w:pPr>
              <w:rPr>
                <w:sz w:val="24"/>
                <w:szCs w:val="24"/>
              </w:rPr>
            </w:pPr>
          </w:p>
          <w:p w14:paraId="11FFA54F" w14:textId="77777777" w:rsidR="00201003" w:rsidRDefault="00201003" w:rsidP="006B411A">
            <w:pPr>
              <w:rPr>
                <w:sz w:val="24"/>
                <w:szCs w:val="24"/>
              </w:rPr>
            </w:pPr>
          </w:p>
          <w:p w14:paraId="177581D9" w14:textId="77777777" w:rsidR="00201003" w:rsidRDefault="00201003" w:rsidP="006B411A">
            <w:pPr>
              <w:rPr>
                <w:sz w:val="24"/>
                <w:szCs w:val="24"/>
              </w:rPr>
            </w:pPr>
          </w:p>
          <w:p w14:paraId="12031383" w14:textId="77777777" w:rsidR="00201003" w:rsidRDefault="00201003" w:rsidP="006B411A">
            <w:pPr>
              <w:rPr>
                <w:sz w:val="24"/>
                <w:szCs w:val="24"/>
              </w:rPr>
            </w:pPr>
          </w:p>
          <w:p w14:paraId="1B104C7A" w14:textId="77777777" w:rsidR="00201003" w:rsidRDefault="00201003" w:rsidP="006B411A">
            <w:pPr>
              <w:rPr>
                <w:sz w:val="24"/>
                <w:szCs w:val="24"/>
              </w:rPr>
            </w:pPr>
          </w:p>
          <w:p w14:paraId="5B52AD86" w14:textId="77777777" w:rsidR="00201003" w:rsidRDefault="00201003" w:rsidP="006B411A">
            <w:pPr>
              <w:rPr>
                <w:sz w:val="24"/>
                <w:szCs w:val="24"/>
              </w:rPr>
            </w:pPr>
          </w:p>
          <w:p w14:paraId="0DD7D948" w14:textId="77777777" w:rsidR="00201003" w:rsidRDefault="00201003" w:rsidP="006B411A">
            <w:pPr>
              <w:rPr>
                <w:sz w:val="24"/>
                <w:szCs w:val="24"/>
              </w:rPr>
            </w:pPr>
          </w:p>
          <w:p w14:paraId="2CB74C57" w14:textId="77777777" w:rsidR="00201003" w:rsidRDefault="00201003" w:rsidP="006B411A">
            <w:pPr>
              <w:rPr>
                <w:sz w:val="24"/>
                <w:szCs w:val="24"/>
              </w:rPr>
            </w:pPr>
          </w:p>
          <w:p w14:paraId="0EF86D64" w14:textId="77777777" w:rsidR="00201003" w:rsidRDefault="00201003" w:rsidP="006B411A">
            <w:pPr>
              <w:rPr>
                <w:sz w:val="24"/>
                <w:szCs w:val="24"/>
              </w:rPr>
            </w:pPr>
          </w:p>
          <w:p w14:paraId="6B894940" w14:textId="77777777" w:rsidR="00201003" w:rsidRDefault="00201003" w:rsidP="006B411A">
            <w:pPr>
              <w:rPr>
                <w:sz w:val="24"/>
                <w:szCs w:val="24"/>
              </w:rPr>
            </w:pPr>
          </w:p>
          <w:p w14:paraId="0CCC17BC" w14:textId="77777777" w:rsidR="00201003" w:rsidRDefault="00201003" w:rsidP="006B411A">
            <w:pPr>
              <w:rPr>
                <w:sz w:val="24"/>
                <w:szCs w:val="24"/>
              </w:rPr>
            </w:pPr>
          </w:p>
          <w:p w14:paraId="0CB747F7" w14:textId="77777777" w:rsidR="00201003" w:rsidRDefault="00201003" w:rsidP="006B411A">
            <w:pPr>
              <w:rPr>
                <w:sz w:val="24"/>
                <w:szCs w:val="24"/>
              </w:rPr>
            </w:pPr>
          </w:p>
          <w:p w14:paraId="6E5078D6" w14:textId="77777777" w:rsidR="00201003" w:rsidRDefault="00201003" w:rsidP="006B411A">
            <w:pPr>
              <w:rPr>
                <w:sz w:val="24"/>
                <w:szCs w:val="24"/>
              </w:rPr>
            </w:pPr>
          </w:p>
          <w:p w14:paraId="2038AD18" w14:textId="77777777" w:rsidR="00201003" w:rsidRDefault="00201003" w:rsidP="006B411A">
            <w:pPr>
              <w:rPr>
                <w:sz w:val="24"/>
                <w:szCs w:val="24"/>
              </w:rPr>
            </w:pPr>
          </w:p>
          <w:p w14:paraId="3955353B" w14:textId="77777777" w:rsidR="00201003" w:rsidRDefault="00201003" w:rsidP="006B411A">
            <w:pPr>
              <w:rPr>
                <w:sz w:val="24"/>
                <w:szCs w:val="24"/>
              </w:rPr>
            </w:pPr>
          </w:p>
          <w:p w14:paraId="14E7E52A" w14:textId="77777777" w:rsidR="00201003" w:rsidRPr="00F0608D" w:rsidRDefault="00201003" w:rsidP="006B411A">
            <w:pPr>
              <w:rPr>
                <w:sz w:val="24"/>
                <w:szCs w:val="24"/>
              </w:rPr>
            </w:pPr>
          </w:p>
        </w:tc>
      </w:tr>
      <w:tr w:rsidR="00201003" w:rsidRPr="00F0608D" w14:paraId="43709CB9" w14:textId="77777777" w:rsidTr="006B411A">
        <w:tc>
          <w:tcPr>
            <w:tcW w:w="1523" w:type="dxa"/>
            <w:shd w:val="clear" w:color="auto" w:fill="B3E5A1" w:themeFill="accent6" w:themeFillTint="66"/>
          </w:tcPr>
          <w:p w14:paraId="3BE710F8" w14:textId="77777777" w:rsidR="00201003" w:rsidRPr="00F0608D" w:rsidRDefault="00201003" w:rsidP="006B411A">
            <w:pPr>
              <w:rPr>
                <w:sz w:val="24"/>
                <w:szCs w:val="24"/>
              </w:rPr>
            </w:pPr>
            <w:r w:rsidRPr="00F0608D">
              <w:rPr>
                <w:b/>
                <w:bCs/>
                <w:sz w:val="24"/>
                <w:szCs w:val="24"/>
              </w:rPr>
              <w:lastRenderedPageBreak/>
              <w:t>Drug</w:t>
            </w:r>
          </w:p>
        </w:tc>
        <w:tc>
          <w:tcPr>
            <w:tcW w:w="4389" w:type="dxa"/>
            <w:shd w:val="clear" w:color="auto" w:fill="B3E5A1" w:themeFill="accent6" w:themeFillTint="66"/>
          </w:tcPr>
          <w:p w14:paraId="2A82D37C" w14:textId="77777777" w:rsidR="00201003" w:rsidRDefault="00201003" w:rsidP="006B411A">
            <w:r w:rsidRPr="00F0608D">
              <w:rPr>
                <w:b/>
                <w:bCs/>
                <w:sz w:val="24"/>
                <w:szCs w:val="24"/>
              </w:rPr>
              <w:t>NICE T</w:t>
            </w:r>
            <w:r>
              <w:rPr>
                <w:b/>
                <w:bCs/>
                <w:sz w:val="24"/>
                <w:szCs w:val="24"/>
              </w:rPr>
              <w:t>echnology Appraisal and/or NICE Guidelines</w:t>
            </w:r>
          </w:p>
        </w:tc>
        <w:tc>
          <w:tcPr>
            <w:tcW w:w="1925" w:type="dxa"/>
            <w:shd w:val="clear" w:color="auto" w:fill="B3E5A1" w:themeFill="accent6" w:themeFillTint="66"/>
          </w:tcPr>
          <w:p w14:paraId="77F80A45" w14:textId="77777777" w:rsidR="00201003" w:rsidRPr="00F0608D" w:rsidRDefault="00201003" w:rsidP="006B411A">
            <w:pPr>
              <w:rPr>
                <w:sz w:val="24"/>
                <w:szCs w:val="24"/>
              </w:rPr>
            </w:pPr>
            <w:r w:rsidRPr="00F0608D">
              <w:rPr>
                <w:b/>
                <w:bCs/>
                <w:sz w:val="24"/>
                <w:szCs w:val="24"/>
              </w:rPr>
              <w:t>NHSE Commissioning</w:t>
            </w:r>
          </w:p>
        </w:tc>
        <w:tc>
          <w:tcPr>
            <w:tcW w:w="2122" w:type="dxa"/>
            <w:shd w:val="clear" w:color="auto" w:fill="B3E5A1" w:themeFill="accent6" w:themeFillTint="66"/>
          </w:tcPr>
          <w:p w14:paraId="01AEEB30" w14:textId="77777777" w:rsidR="00201003" w:rsidRPr="00F0608D" w:rsidRDefault="00201003" w:rsidP="006B411A">
            <w:pPr>
              <w:rPr>
                <w:sz w:val="24"/>
                <w:szCs w:val="24"/>
              </w:rPr>
            </w:pPr>
            <w:r w:rsidRPr="00F0608D">
              <w:rPr>
                <w:b/>
                <w:bCs/>
                <w:sz w:val="24"/>
                <w:szCs w:val="24"/>
              </w:rPr>
              <w:t>Licence</w:t>
            </w:r>
          </w:p>
        </w:tc>
        <w:tc>
          <w:tcPr>
            <w:tcW w:w="4848" w:type="dxa"/>
            <w:shd w:val="clear" w:color="auto" w:fill="B3E5A1" w:themeFill="accent6" w:themeFillTint="66"/>
          </w:tcPr>
          <w:p w14:paraId="2E813621" w14:textId="77777777" w:rsidR="00201003" w:rsidRDefault="00201003" w:rsidP="006B411A">
            <w:pPr>
              <w:rPr>
                <w:b/>
                <w:bCs/>
                <w:sz w:val="24"/>
                <w:szCs w:val="24"/>
              </w:rPr>
            </w:pPr>
            <w:r>
              <w:rPr>
                <w:b/>
                <w:bCs/>
                <w:sz w:val="24"/>
                <w:szCs w:val="24"/>
              </w:rPr>
              <w:t>Humber and North Yorkshire ICB</w:t>
            </w:r>
          </w:p>
          <w:p w14:paraId="2E06517B" w14:textId="77777777" w:rsidR="00201003" w:rsidRPr="00F0608D" w:rsidRDefault="00201003" w:rsidP="006B411A">
            <w:pPr>
              <w:rPr>
                <w:sz w:val="24"/>
                <w:szCs w:val="24"/>
              </w:rPr>
            </w:pPr>
            <w:r w:rsidRPr="00F0608D">
              <w:rPr>
                <w:b/>
                <w:bCs/>
                <w:sz w:val="24"/>
                <w:szCs w:val="24"/>
              </w:rPr>
              <w:t>Summary for NHS Clinicians</w:t>
            </w:r>
          </w:p>
        </w:tc>
      </w:tr>
      <w:tr w:rsidR="00201003" w:rsidRPr="00F0608D" w14:paraId="6788D8D6" w14:textId="77777777" w:rsidTr="006B411A">
        <w:tc>
          <w:tcPr>
            <w:tcW w:w="1523" w:type="dxa"/>
            <w:shd w:val="clear" w:color="auto" w:fill="DAE9F7" w:themeFill="text2" w:themeFillTint="1A"/>
          </w:tcPr>
          <w:p w14:paraId="52393228" w14:textId="77777777" w:rsidR="00201003" w:rsidRPr="00F0608D" w:rsidRDefault="00201003" w:rsidP="006B411A">
            <w:pPr>
              <w:rPr>
                <w:sz w:val="24"/>
                <w:szCs w:val="24"/>
              </w:rPr>
            </w:pPr>
            <w:r w:rsidRPr="00F0608D">
              <w:rPr>
                <w:sz w:val="24"/>
                <w:szCs w:val="24"/>
              </w:rPr>
              <w:t>Liraglutide (Saxenda®) for overweight and obesity</w:t>
            </w:r>
          </w:p>
        </w:tc>
        <w:tc>
          <w:tcPr>
            <w:tcW w:w="4389" w:type="dxa"/>
            <w:shd w:val="clear" w:color="auto" w:fill="DAE9F7" w:themeFill="text2" w:themeFillTint="1A"/>
          </w:tcPr>
          <w:p w14:paraId="77461746" w14:textId="77777777" w:rsidR="00201003" w:rsidRPr="00F0608D" w:rsidRDefault="00201003" w:rsidP="006B411A">
            <w:pPr>
              <w:rPr>
                <w:sz w:val="24"/>
                <w:szCs w:val="24"/>
              </w:rPr>
            </w:pPr>
            <w:hyperlink r:id="rId15" w:history="1">
              <w:r w:rsidRPr="00F0608D">
                <w:rPr>
                  <w:rStyle w:val="Hyperlink"/>
                  <w:sz w:val="24"/>
                  <w:szCs w:val="24"/>
                </w:rPr>
                <w:t>https://www.nice.org.uk/guidance/ta664</w:t>
              </w:r>
            </w:hyperlink>
          </w:p>
          <w:p w14:paraId="56F7C41A" w14:textId="77777777" w:rsidR="00201003" w:rsidRPr="009E670F" w:rsidRDefault="00201003" w:rsidP="006B411A">
            <w:pPr>
              <w:rPr>
                <w:sz w:val="24"/>
                <w:szCs w:val="24"/>
              </w:rPr>
            </w:pPr>
            <w:r w:rsidRPr="009E670F">
              <w:rPr>
                <w:sz w:val="24"/>
                <w:szCs w:val="24"/>
              </w:rPr>
              <w:t>Liraglutide is recommended as an option for managing overweight and obesity alongside a reduced-calorie diet and increased physical activity in adults, only if:</w:t>
            </w:r>
          </w:p>
          <w:p w14:paraId="7A2AF408" w14:textId="77777777" w:rsidR="00201003" w:rsidRPr="009E670F" w:rsidRDefault="00201003" w:rsidP="00201003">
            <w:pPr>
              <w:numPr>
                <w:ilvl w:val="0"/>
                <w:numId w:val="7"/>
              </w:numPr>
              <w:rPr>
                <w:sz w:val="24"/>
                <w:szCs w:val="24"/>
              </w:rPr>
            </w:pPr>
            <w:r w:rsidRPr="009E670F">
              <w:rPr>
                <w:sz w:val="24"/>
                <w:szCs w:val="24"/>
              </w:rPr>
              <w:t>they have a body mass index (BMI) of at least 35 kg/m</w:t>
            </w:r>
            <w:r w:rsidRPr="009E670F">
              <w:rPr>
                <w:sz w:val="24"/>
                <w:szCs w:val="24"/>
                <w:vertAlign w:val="superscript"/>
              </w:rPr>
              <w:t>2</w:t>
            </w:r>
            <w:r w:rsidRPr="009E670F">
              <w:rPr>
                <w:sz w:val="24"/>
                <w:szCs w:val="24"/>
              </w:rPr>
              <w:t> (or at least 32.5 kg/m</w:t>
            </w:r>
            <w:r w:rsidRPr="009E670F">
              <w:rPr>
                <w:sz w:val="24"/>
                <w:szCs w:val="24"/>
                <w:vertAlign w:val="superscript"/>
              </w:rPr>
              <w:t>2</w:t>
            </w:r>
            <w:r w:rsidRPr="009E670F">
              <w:rPr>
                <w:sz w:val="24"/>
                <w:szCs w:val="24"/>
              </w:rPr>
              <w:t> for members of minority ethnic groups known to be at equivalent risk of the consequences of obesity at a lower BMI than the white population) and</w:t>
            </w:r>
          </w:p>
          <w:p w14:paraId="5CE0C7E6" w14:textId="77777777" w:rsidR="00201003" w:rsidRPr="009E670F" w:rsidRDefault="00201003" w:rsidP="00201003">
            <w:pPr>
              <w:numPr>
                <w:ilvl w:val="0"/>
                <w:numId w:val="7"/>
              </w:numPr>
              <w:rPr>
                <w:sz w:val="24"/>
                <w:szCs w:val="24"/>
              </w:rPr>
            </w:pPr>
            <w:r w:rsidRPr="009E670F">
              <w:rPr>
                <w:sz w:val="24"/>
                <w:szCs w:val="24"/>
              </w:rPr>
              <w:t xml:space="preserve">they have non-diabetic hyperglycaemia (defined as a haemoglobin A1c level of 42 mmol/mol to 47 mmol/mol [6.0% to 6.4%] or a fasting plasma glucose level of </w:t>
            </w:r>
            <w:r w:rsidRPr="009E670F">
              <w:rPr>
                <w:sz w:val="24"/>
                <w:szCs w:val="24"/>
              </w:rPr>
              <w:lastRenderedPageBreak/>
              <w:t>5.5 mmol/litre to 6.9 mmol/litre) and</w:t>
            </w:r>
          </w:p>
          <w:p w14:paraId="36619919" w14:textId="77777777" w:rsidR="00201003" w:rsidRPr="009E670F" w:rsidRDefault="00201003" w:rsidP="00201003">
            <w:pPr>
              <w:numPr>
                <w:ilvl w:val="0"/>
                <w:numId w:val="7"/>
              </w:numPr>
              <w:rPr>
                <w:sz w:val="24"/>
                <w:szCs w:val="24"/>
              </w:rPr>
            </w:pPr>
            <w:r w:rsidRPr="009E670F">
              <w:rPr>
                <w:sz w:val="24"/>
                <w:szCs w:val="24"/>
              </w:rPr>
              <w:t>they have a high risk of cardiovascular disease based on risk factors such as hypertension and dyslipidaemia and</w:t>
            </w:r>
          </w:p>
          <w:p w14:paraId="593B260D" w14:textId="77777777" w:rsidR="00201003" w:rsidRPr="009E670F" w:rsidRDefault="00201003" w:rsidP="00201003">
            <w:pPr>
              <w:numPr>
                <w:ilvl w:val="0"/>
                <w:numId w:val="7"/>
              </w:numPr>
              <w:rPr>
                <w:sz w:val="24"/>
                <w:szCs w:val="24"/>
              </w:rPr>
            </w:pPr>
            <w:r w:rsidRPr="009E670F">
              <w:rPr>
                <w:sz w:val="24"/>
                <w:szCs w:val="24"/>
              </w:rPr>
              <w:t>it is prescribed in secondary care by a specialist multidisciplinary tier 3 weight management service and</w:t>
            </w:r>
          </w:p>
          <w:p w14:paraId="4D2FB5FC" w14:textId="77777777" w:rsidR="00201003" w:rsidRPr="005358F5" w:rsidRDefault="00201003" w:rsidP="00201003">
            <w:pPr>
              <w:numPr>
                <w:ilvl w:val="0"/>
                <w:numId w:val="7"/>
              </w:numPr>
              <w:rPr>
                <w:sz w:val="24"/>
                <w:szCs w:val="24"/>
              </w:rPr>
            </w:pPr>
            <w:r w:rsidRPr="009E670F">
              <w:rPr>
                <w:sz w:val="24"/>
                <w:szCs w:val="24"/>
              </w:rPr>
              <w:t>the company provides it according to the </w:t>
            </w:r>
            <w:hyperlink r:id="rId16" w:tgtFrame="_top" w:history="1">
              <w:r w:rsidRPr="009E670F">
                <w:rPr>
                  <w:rStyle w:val="Hyperlink"/>
                  <w:sz w:val="24"/>
                  <w:szCs w:val="24"/>
                </w:rPr>
                <w:t>commercial arrangement</w:t>
              </w:r>
            </w:hyperlink>
            <w:r w:rsidRPr="009E670F">
              <w:rPr>
                <w:sz w:val="24"/>
                <w:szCs w:val="24"/>
              </w:rPr>
              <w:t>.</w:t>
            </w:r>
          </w:p>
        </w:tc>
        <w:tc>
          <w:tcPr>
            <w:tcW w:w="1925" w:type="dxa"/>
            <w:shd w:val="clear" w:color="auto" w:fill="DAE9F7" w:themeFill="text2" w:themeFillTint="1A"/>
          </w:tcPr>
          <w:p w14:paraId="3A6568A7" w14:textId="77777777" w:rsidR="00201003" w:rsidRPr="00F0608D" w:rsidRDefault="00201003" w:rsidP="006B411A">
            <w:pPr>
              <w:rPr>
                <w:sz w:val="24"/>
                <w:szCs w:val="24"/>
              </w:rPr>
            </w:pPr>
            <w:r w:rsidRPr="00F0608D">
              <w:rPr>
                <w:sz w:val="24"/>
                <w:szCs w:val="24"/>
              </w:rPr>
              <w:lastRenderedPageBreak/>
              <w:t>N/A</w:t>
            </w:r>
          </w:p>
        </w:tc>
        <w:tc>
          <w:tcPr>
            <w:tcW w:w="2122" w:type="dxa"/>
            <w:shd w:val="clear" w:color="auto" w:fill="DAE9F7" w:themeFill="text2" w:themeFillTint="1A"/>
          </w:tcPr>
          <w:p w14:paraId="5F6C9BEB" w14:textId="77777777" w:rsidR="00201003" w:rsidRPr="00F0608D" w:rsidRDefault="00201003" w:rsidP="006B411A">
            <w:pPr>
              <w:rPr>
                <w:sz w:val="24"/>
                <w:szCs w:val="24"/>
              </w:rPr>
            </w:pPr>
            <w:r w:rsidRPr="00F0608D">
              <w:rPr>
                <w:sz w:val="24"/>
                <w:szCs w:val="24"/>
              </w:rPr>
              <w:t>Adjunct in weight management [in conjunction with dietary measures and increased physical activity in individuals with a body mass index (BMI) of 30 kg/m</w:t>
            </w:r>
            <w:r w:rsidRPr="00F0608D">
              <w:rPr>
                <w:sz w:val="24"/>
                <w:szCs w:val="24"/>
                <w:vertAlign w:val="superscript"/>
              </w:rPr>
              <w:t>2</w:t>
            </w:r>
            <w:r w:rsidRPr="00F0608D">
              <w:rPr>
                <w:sz w:val="24"/>
                <w:szCs w:val="24"/>
              </w:rPr>
              <w:t> or more, or in individuals with a BMI of 27 kg/m</w:t>
            </w:r>
            <w:r w:rsidRPr="00F0608D">
              <w:rPr>
                <w:sz w:val="24"/>
                <w:szCs w:val="24"/>
                <w:vertAlign w:val="superscript"/>
              </w:rPr>
              <w:t>2</w:t>
            </w:r>
            <w:r w:rsidRPr="00F0608D">
              <w:rPr>
                <w:sz w:val="24"/>
                <w:szCs w:val="24"/>
              </w:rPr>
              <w:t> or more in the presence of at least one weight-related co-morbidity]</w:t>
            </w:r>
          </w:p>
        </w:tc>
        <w:tc>
          <w:tcPr>
            <w:tcW w:w="4848" w:type="dxa"/>
            <w:shd w:val="clear" w:color="auto" w:fill="DAE9F7" w:themeFill="text2" w:themeFillTint="1A"/>
          </w:tcPr>
          <w:p w14:paraId="64A66AA0" w14:textId="77777777" w:rsidR="00201003" w:rsidRPr="00F0608D" w:rsidRDefault="00201003" w:rsidP="006B411A">
            <w:pPr>
              <w:rPr>
                <w:sz w:val="24"/>
                <w:szCs w:val="24"/>
              </w:rPr>
            </w:pPr>
            <w:r w:rsidRPr="00F0608D">
              <w:rPr>
                <w:sz w:val="24"/>
                <w:szCs w:val="24"/>
              </w:rPr>
              <w:t xml:space="preserve">Do not prescribe in primary care setting. </w:t>
            </w:r>
          </w:p>
          <w:p w14:paraId="5F555750" w14:textId="77777777" w:rsidR="00201003" w:rsidRPr="00F0608D" w:rsidRDefault="00201003" w:rsidP="006B411A">
            <w:pPr>
              <w:rPr>
                <w:sz w:val="24"/>
                <w:szCs w:val="24"/>
              </w:rPr>
            </w:pPr>
          </w:p>
          <w:p w14:paraId="68037413" w14:textId="77777777" w:rsidR="00201003" w:rsidRPr="00F0608D" w:rsidRDefault="00201003" w:rsidP="006B411A">
            <w:pPr>
              <w:rPr>
                <w:sz w:val="24"/>
                <w:szCs w:val="24"/>
              </w:rPr>
            </w:pPr>
            <w:r w:rsidRPr="00F0608D">
              <w:rPr>
                <w:sz w:val="24"/>
                <w:szCs w:val="24"/>
              </w:rPr>
              <w:t xml:space="preserve">Only to be used </w:t>
            </w:r>
            <w:r w:rsidRPr="009E670F">
              <w:rPr>
                <w:sz w:val="24"/>
                <w:szCs w:val="24"/>
              </w:rPr>
              <w:t>by a specialist multidisciplinary tier 3 weight management service</w:t>
            </w:r>
            <w:r w:rsidRPr="00F0608D">
              <w:rPr>
                <w:sz w:val="24"/>
                <w:szCs w:val="24"/>
              </w:rPr>
              <w:t>, as per NICE TA 664.</w:t>
            </w:r>
          </w:p>
        </w:tc>
      </w:tr>
      <w:tr w:rsidR="00201003" w:rsidRPr="00F0608D" w14:paraId="152B1695" w14:textId="77777777" w:rsidTr="006B411A">
        <w:tc>
          <w:tcPr>
            <w:tcW w:w="1523" w:type="dxa"/>
            <w:shd w:val="clear" w:color="auto" w:fill="B3E5A1" w:themeFill="accent6" w:themeFillTint="66"/>
          </w:tcPr>
          <w:p w14:paraId="07F38514" w14:textId="77777777" w:rsidR="00201003" w:rsidRPr="00F0608D" w:rsidRDefault="00201003" w:rsidP="006B411A">
            <w:pPr>
              <w:rPr>
                <w:sz w:val="24"/>
                <w:szCs w:val="24"/>
              </w:rPr>
            </w:pPr>
            <w:r w:rsidRPr="00F0608D">
              <w:rPr>
                <w:b/>
                <w:bCs/>
                <w:sz w:val="24"/>
                <w:szCs w:val="24"/>
              </w:rPr>
              <w:t>Drug</w:t>
            </w:r>
          </w:p>
        </w:tc>
        <w:tc>
          <w:tcPr>
            <w:tcW w:w="4389" w:type="dxa"/>
            <w:shd w:val="clear" w:color="auto" w:fill="B3E5A1" w:themeFill="accent6" w:themeFillTint="66"/>
          </w:tcPr>
          <w:p w14:paraId="244502FE" w14:textId="77777777" w:rsidR="00201003" w:rsidRDefault="00201003" w:rsidP="006B411A">
            <w:r w:rsidRPr="00F0608D">
              <w:rPr>
                <w:b/>
                <w:bCs/>
                <w:sz w:val="24"/>
                <w:szCs w:val="24"/>
              </w:rPr>
              <w:t>NICE T</w:t>
            </w:r>
            <w:r>
              <w:rPr>
                <w:b/>
                <w:bCs/>
                <w:sz w:val="24"/>
                <w:szCs w:val="24"/>
              </w:rPr>
              <w:t>echnology Appraisal and/or NICE Guidelines</w:t>
            </w:r>
          </w:p>
        </w:tc>
        <w:tc>
          <w:tcPr>
            <w:tcW w:w="1925" w:type="dxa"/>
            <w:shd w:val="clear" w:color="auto" w:fill="B3E5A1" w:themeFill="accent6" w:themeFillTint="66"/>
          </w:tcPr>
          <w:p w14:paraId="0690A2FE" w14:textId="77777777" w:rsidR="00201003" w:rsidRPr="00F0608D" w:rsidRDefault="00201003" w:rsidP="006B411A">
            <w:pPr>
              <w:rPr>
                <w:sz w:val="24"/>
                <w:szCs w:val="24"/>
              </w:rPr>
            </w:pPr>
            <w:r w:rsidRPr="00F0608D">
              <w:rPr>
                <w:b/>
                <w:bCs/>
                <w:sz w:val="24"/>
                <w:szCs w:val="24"/>
              </w:rPr>
              <w:t>NHSE Commissioning</w:t>
            </w:r>
          </w:p>
        </w:tc>
        <w:tc>
          <w:tcPr>
            <w:tcW w:w="2122" w:type="dxa"/>
            <w:shd w:val="clear" w:color="auto" w:fill="B3E5A1" w:themeFill="accent6" w:themeFillTint="66"/>
          </w:tcPr>
          <w:p w14:paraId="75C9A025" w14:textId="77777777" w:rsidR="00201003" w:rsidRPr="00F0608D" w:rsidRDefault="00201003" w:rsidP="006B411A">
            <w:pPr>
              <w:rPr>
                <w:sz w:val="24"/>
                <w:szCs w:val="24"/>
              </w:rPr>
            </w:pPr>
            <w:r w:rsidRPr="00F0608D">
              <w:rPr>
                <w:b/>
                <w:bCs/>
                <w:sz w:val="24"/>
                <w:szCs w:val="24"/>
              </w:rPr>
              <w:t>Licence</w:t>
            </w:r>
          </w:p>
        </w:tc>
        <w:tc>
          <w:tcPr>
            <w:tcW w:w="4848" w:type="dxa"/>
            <w:shd w:val="clear" w:color="auto" w:fill="B3E5A1" w:themeFill="accent6" w:themeFillTint="66"/>
          </w:tcPr>
          <w:p w14:paraId="53119C48" w14:textId="77777777" w:rsidR="00201003" w:rsidRDefault="00201003" w:rsidP="006B411A">
            <w:pPr>
              <w:rPr>
                <w:b/>
                <w:bCs/>
                <w:sz w:val="24"/>
                <w:szCs w:val="24"/>
              </w:rPr>
            </w:pPr>
            <w:r>
              <w:rPr>
                <w:b/>
                <w:bCs/>
                <w:sz w:val="24"/>
                <w:szCs w:val="24"/>
              </w:rPr>
              <w:t>Humber and North Yorkshire ICB</w:t>
            </w:r>
          </w:p>
          <w:p w14:paraId="65A56546" w14:textId="77777777" w:rsidR="00201003" w:rsidRPr="009E670F" w:rsidRDefault="00201003" w:rsidP="006B411A">
            <w:pPr>
              <w:rPr>
                <w:sz w:val="24"/>
                <w:szCs w:val="24"/>
              </w:rPr>
            </w:pPr>
            <w:r w:rsidRPr="00F0608D">
              <w:rPr>
                <w:b/>
                <w:bCs/>
                <w:sz w:val="24"/>
                <w:szCs w:val="24"/>
              </w:rPr>
              <w:t>Summary for NHS Clinicians</w:t>
            </w:r>
          </w:p>
        </w:tc>
      </w:tr>
      <w:tr w:rsidR="00201003" w:rsidRPr="00F0608D" w14:paraId="0DB5A516" w14:textId="77777777" w:rsidTr="006B411A">
        <w:tc>
          <w:tcPr>
            <w:tcW w:w="1523" w:type="dxa"/>
            <w:shd w:val="clear" w:color="auto" w:fill="E8E8E8" w:themeFill="background2"/>
          </w:tcPr>
          <w:p w14:paraId="310E180A" w14:textId="77777777" w:rsidR="00201003" w:rsidRPr="00F0608D" w:rsidRDefault="00201003" w:rsidP="006B411A">
            <w:pPr>
              <w:rPr>
                <w:sz w:val="24"/>
                <w:szCs w:val="24"/>
              </w:rPr>
            </w:pPr>
            <w:r w:rsidRPr="00F0608D">
              <w:rPr>
                <w:sz w:val="24"/>
                <w:szCs w:val="24"/>
              </w:rPr>
              <w:t>Liraglutide (Victoza®)</w:t>
            </w:r>
          </w:p>
          <w:p w14:paraId="04BCFD2C" w14:textId="77777777" w:rsidR="00201003" w:rsidRPr="00F0608D" w:rsidRDefault="00201003" w:rsidP="006B411A">
            <w:pPr>
              <w:rPr>
                <w:sz w:val="24"/>
                <w:szCs w:val="24"/>
              </w:rPr>
            </w:pPr>
          </w:p>
          <w:p w14:paraId="614923AD" w14:textId="77777777" w:rsidR="00201003" w:rsidRPr="00F0608D" w:rsidRDefault="00201003" w:rsidP="006B411A">
            <w:pPr>
              <w:rPr>
                <w:sz w:val="24"/>
                <w:szCs w:val="24"/>
              </w:rPr>
            </w:pPr>
            <w:r w:rsidRPr="00F0608D">
              <w:rPr>
                <w:sz w:val="24"/>
                <w:szCs w:val="24"/>
              </w:rPr>
              <w:t>For Type-2 diabetes</w:t>
            </w:r>
          </w:p>
        </w:tc>
        <w:tc>
          <w:tcPr>
            <w:tcW w:w="4389" w:type="dxa"/>
            <w:shd w:val="clear" w:color="auto" w:fill="E8E8E8" w:themeFill="background2"/>
          </w:tcPr>
          <w:p w14:paraId="4DEA8182" w14:textId="77777777" w:rsidR="00201003" w:rsidRPr="00F0608D" w:rsidRDefault="00201003" w:rsidP="006B411A">
            <w:pPr>
              <w:rPr>
                <w:sz w:val="24"/>
                <w:szCs w:val="24"/>
              </w:rPr>
            </w:pPr>
            <w:hyperlink r:id="rId17" w:history="1">
              <w:r w:rsidRPr="00F0608D">
                <w:rPr>
                  <w:rStyle w:val="Hyperlink"/>
                  <w:sz w:val="24"/>
                  <w:szCs w:val="24"/>
                </w:rPr>
                <w:t>https://www.nice.org.uk/guidance/ta203</w:t>
              </w:r>
            </w:hyperlink>
          </w:p>
          <w:p w14:paraId="38773404" w14:textId="77777777" w:rsidR="00201003" w:rsidRPr="00F0608D" w:rsidRDefault="00201003" w:rsidP="006B411A">
            <w:pPr>
              <w:rPr>
                <w:sz w:val="24"/>
                <w:szCs w:val="24"/>
              </w:rPr>
            </w:pPr>
          </w:p>
          <w:p w14:paraId="5013447C" w14:textId="77777777" w:rsidR="00201003" w:rsidRPr="00F0608D" w:rsidRDefault="00201003" w:rsidP="006B411A">
            <w:pPr>
              <w:rPr>
                <w:sz w:val="24"/>
                <w:szCs w:val="24"/>
              </w:rPr>
            </w:pPr>
            <w:r w:rsidRPr="00F0608D">
              <w:rPr>
                <w:sz w:val="24"/>
                <w:szCs w:val="24"/>
              </w:rPr>
              <w:t xml:space="preserve">Superseded by: </w:t>
            </w:r>
            <w:hyperlink r:id="rId18" w:history="1">
              <w:r w:rsidRPr="00F0608D">
                <w:rPr>
                  <w:rStyle w:val="Hyperlink"/>
                  <w:sz w:val="24"/>
                  <w:szCs w:val="24"/>
                </w:rPr>
                <w:t>https://www.nice.org.uk/guidance/ng28</w:t>
              </w:r>
            </w:hyperlink>
          </w:p>
          <w:p w14:paraId="0E372A62" w14:textId="77777777" w:rsidR="00201003" w:rsidRPr="00F0608D" w:rsidRDefault="00201003" w:rsidP="006B411A">
            <w:pPr>
              <w:rPr>
                <w:sz w:val="24"/>
                <w:szCs w:val="24"/>
              </w:rPr>
            </w:pPr>
          </w:p>
          <w:p w14:paraId="7561A333" w14:textId="77777777" w:rsidR="00201003" w:rsidRPr="00F0608D" w:rsidRDefault="00201003" w:rsidP="006B411A">
            <w:pPr>
              <w:rPr>
                <w:sz w:val="24"/>
                <w:szCs w:val="24"/>
              </w:rPr>
            </w:pPr>
            <w:r w:rsidRPr="00F0608D">
              <w:rPr>
                <w:sz w:val="24"/>
                <w:szCs w:val="24"/>
              </w:rPr>
              <w:t xml:space="preserve">And </w:t>
            </w:r>
          </w:p>
        </w:tc>
        <w:tc>
          <w:tcPr>
            <w:tcW w:w="1925" w:type="dxa"/>
            <w:shd w:val="clear" w:color="auto" w:fill="E8E8E8" w:themeFill="background2"/>
          </w:tcPr>
          <w:p w14:paraId="3DBEE52C" w14:textId="77777777" w:rsidR="00201003" w:rsidRPr="00F0608D" w:rsidRDefault="00201003" w:rsidP="006B411A">
            <w:pPr>
              <w:rPr>
                <w:sz w:val="24"/>
                <w:szCs w:val="24"/>
              </w:rPr>
            </w:pPr>
            <w:r w:rsidRPr="00F0608D">
              <w:rPr>
                <w:sz w:val="24"/>
                <w:szCs w:val="24"/>
              </w:rPr>
              <w:t>N/A</w:t>
            </w:r>
          </w:p>
        </w:tc>
        <w:tc>
          <w:tcPr>
            <w:tcW w:w="2122" w:type="dxa"/>
            <w:shd w:val="clear" w:color="auto" w:fill="E8E8E8" w:themeFill="background2"/>
          </w:tcPr>
          <w:p w14:paraId="5F6A9662" w14:textId="77777777" w:rsidR="00201003" w:rsidRPr="00F0608D" w:rsidRDefault="00201003" w:rsidP="006B411A">
            <w:pPr>
              <w:rPr>
                <w:sz w:val="24"/>
                <w:szCs w:val="24"/>
              </w:rPr>
            </w:pPr>
            <w:r w:rsidRPr="00F0608D">
              <w:rPr>
                <w:sz w:val="24"/>
                <w:szCs w:val="24"/>
              </w:rPr>
              <w:t>Type 2 diabetes mellitus as monotherapy (if metformin inappropriate), or in combination with other antidiabetic drugs, (including insulin) if existing treatment fails to achieve adequate glycaemic control</w:t>
            </w:r>
          </w:p>
        </w:tc>
        <w:tc>
          <w:tcPr>
            <w:tcW w:w="4848" w:type="dxa"/>
            <w:shd w:val="clear" w:color="auto" w:fill="E8E8E8" w:themeFill="background2"/>
          </w:tcPr>
          <w:p w14:paraId="17181FCC" w14:textId="77777777" w:rsidR="00201003" w:rsidRPr="009E670F" w:rsidRDefault="00201003" w:rsidP="006B411A">
            <w:pPr>
              <w:rPr>
                <w:sz w:val="24"/>
                <w:szCs w:val="24"/>
              </w:rPr>
            </w:pPr>
            <w:r w:rsidRPr="009E670F">
              <w:rPr>
                <w:sz w:val="24"/>
                <w:szCs w:val="24"/>
              </w:rPr>
              <w:t>6mg per ml injection prefilled pens</w:t>
            </w:r>
          </w:p>
          <w:p w14:paraId="138881B2" w14:textId="77777777" w:rsidR="00201003" w:rsidRPr="00F0608D" w:rsidRDefault="00201003" w:rsidP="006B411A">
            <w:pPr>
              <w:rPr>
                <w:sz w:val="24"/>
                <w:szCs w:val="24"/>
              </w:rPr>
            </w:pPr>
          </w:p>
          <w:p w14:paraId="76E4400F" w14:textId="77777777" w:rsidR="00201003" w:rsidRPr="009E670F" w:rsidRDefault="00201003" w:rsidP="006B411A">
            <w:pPr>
              <w:rPr>
                <w:sz w:val="24"/>
                <w:szCs w:val="24"/>
              </w:rPr>
            </w:pPr>
            <w:r w:rsidRPr="009E670F">
              <w:rPr>
                <w:sz w:val="24"/>
                <w:szCs w:val="24"/>
              </w:rPr>
              <w:t xml:space="preserve">Approved as an option for adult patients with type 2 diabetes mellitus who require intensification of treatment if use of a GLP1 agonist is clinically appropriate. In the </w:t>
            </w:r>
            <w:hyperlink r:id="rId19" w:history="1">
              <w:r w:rsidRPr="009E670F">
                <w:rPr>
                  <w:rStyle w:val="Hyperlink"/>
                  <w:sz w:val="24"/>
                  <w:szCs w:val="24"/>
                </w:rPr>
                <w:t>local pathway</w:t>
              </w:r>
            </w:hyperlink>
            <w:r w:rsidRPr="009E670F">
              <w:rPr>
                <w:sz w:val="24"/>
                <w:szCs w:val="24"/>
              </w:rPr>
              <w:t> this would be at STEP 3.</w:t>
            </w:r>
          </w:p>
          <w:p w14:paraId="2D7A7AB5" w14:textId="77777777" w:rsidR="00201003" w:rsidRDefault="00201003" w:rsidP="006B411A">
            <w:pPr>
              <w:rPr>
                <w:sz w:val="24"/>
                <w:szCs w:val="24"/>
              </w:rPr>
            </w:pPr>
          </w:p>
          <w:p w14:paraId="4EC243F3" w14:textId="77777777" w:rsidR="00201003" w:rsidRPr="00F0608D" w:rsidRDefault="00201003" w:rsidP="006B411A">
            <w:pPr>
              <w:rPr>
                <w:sz w:val="24"/>
                <w:szCs w:val="24"/>
              </w:rPr>
            </w:pPr>
            <w:r>
              <w:rPr>
                <w:sz w:val="24"/>
                <w:szCs w:val="24"/>
              </w:rPr>
              <w:t>Only use for glycaemic control. Once glycaemic control is at desired target and stable DO NOT titrate to manage overweight/obesity.</w:t>
            </w:r>
          </w:p>
        </w:tc>
      </w:tr>
      <w:tr w:rsidR="00201003" w:rsidRPr="00F0608D" w14:paraId="74485E27" w14:textId="77777777" w:rsidTr="006B411A">
        <w:tc>
          <w:tcPr>
            <w:tcW w:w="1523" w:type="dxa"/>
            <w:shd w:val="clear" w:color="auto" w:fill="B3E5A1" w:themeFill="accent6" w:themeFillTint="66"/>
          </w:tcPr>
          <w:p w14:paraId="0C8AEE60" w14:textId="77777777" w:rsidR="00201003" w:rsidRPr="00F0608D" w:rsidRDefault="00201003" w:rsidP="006B411A">
            <w:pPr>
              <w:rPr>
                <w:sz w:val="24"/>
                <w:szCs w:val="24"/>
              </w:rPr>
            </w:pPr>
          </w:p>
        </w:tc>
        <w:tc>
          <w:tcPr>
            <w:tcW w:w="13284" w:type="dxa"/>
            <w:gridSpan w:val="4"/>
            <w:shd w:val="clear" w:color="auto" w:fill="B3E5A1" w:themeFill="accent6" w:themeFillTint="66"/>
          </w:tcPr>
          <w:p w14:paraId="48E780E3" w14:textId="77777777" w:rsidR="00201003" w:rsidRPr="00F0608D" w:rsidRDefault="00201003" w:rsidP="006B411A">
            <w:pPr>
              <w:rPr>
                <w:sz w:val="24"/>
                <w:szCs w:val="24"/>
              </w:rPr>
            </w:pPr>
          </w:p>
        </w:tc>
      </w:tr>
      <w:tr w:rsidR="00201003" w:rsidRPr="00F0608D" w14:paraId="1C2E341F" w14:textId="77777777" w:rsidTr="006B411A">
        <w:tc>
          <w:tcPr>
            <w:tcW w:w="1523" w:type="dxa"/>
            <w:shd w:val="clear" w:color="auto" w:fill="E8E8E8" w:themeFill="background2"/>
          </w:tcPr>
          <w:p w14:paraId="1750E845" w14:textId="77777777" w:rsidR="00201003" w:rsidRPr="00F0608D" w:rsidRDefault="00201003" w:rsidP="006B411A">
            <w:pPr>
              <w:rPr>
                <w:sz w:val="24"/>
                <w:szCs w:val="24"/>
              </w:rPr>
            </w:pPr>
            <w:r w:rsidRPr="00F0608D">
              <w:rPr>
                <w:sz w:val="24"/>
                <w:szCs w:val="24"/>
              </w:rPr>
              <w:t>Other GLP-1s:</w:t>
            </w:r>
          </w:p>
          <w:p w14:paraId="15EB5A56" w14:textId="77777777" w:rsidR="00201003" w:rsidRPr="00F0608D" w:rsidRDefault="00201003" w:rsidP="006B411A">
            <w:pPr>
              <w:rPr>
                <w:sz w:val="24"/>
                <w:szCs w:val="24"/>
              </w:rPr>
            </w:pPr>
          </w:p>
          <w:p w14:paraId="00F562B9" w14:textId="77777777" w:rsidR="00201003" w:rsidRPr="00F0608D" w:rsidRDefault="00201003" w:rsidP="006B411A">
            <w:pPr>
              <w:rPr>
                <w:sz w:val="24"/>
                <w:szCs w:val="24"/>
              </w:rPr>
            </w:pPr>
            <w:r w:rsidRPr="00F0608D">
              <w:rPr>
                <w:sz w:val="24"/>
                <w:szCs w:val="24"/>
              </w:rPr>
              <w:t>Dulaglutide</w:t>
            </w:r>
          </w:p>
          <w:p w14:paraId="60D8FFA3" w14:textId="77777777" w:rsidR="00201003" w:rsidRPr="00F0608D" w:rsidRDefault="00201003" w:rsidP="006B411A">
            <w:pPr>
              <w:rPr>
                <w:sz w:val="24"/>
                <w:szCs w:val="24"/>
              </w:rPr>
            </w:pPr>
            <w:r w:rsidRPr="00F0608D">
              <w:rPr>
                <w:sz w:val="24"/>
                <w:szCs w:val="24"/>
              </w:rPr>
              <w:lastRenderedPageBreak/>
              <w:t>Exenatide</w:t>
            </w:r>
          </w:p>
          <w:p w14:paraId="7FD40566" w14:textId="77777777" w:rsidR="00201003" w:rsidRPr="00F0608D" w:rsidRDefault="00201003" w:rsidP="006B411A">
            <w:pPr>
              <w:rPr>
                <w:sz w:val="24"/>
                <w:szCs w:val="24"/>
              </w:rPr>
            </w:pPr>
            <w:proofErr w:type="spellStart"/>
            <w:r w:rsidRPr="00F0608D">
              <w:rPr>
                <w:sz w:val="24"/>
                <w:szCs w:val="24"/>
              </w:rPr>
              <w:t>Lixisenatide</w:t>
            </w:r>
            <w:proofErr w:type="spellEnd"/>
          </w:p>
          <w:p w14:paraId="03E02906" w14:textId="77777777" w:rsidR="00201003" w:rsidRPr="00F0608D" w:rsidRDefault="00201003" w:rsidP="006B411A">
            <w:pPr>
              <w:rPr>
                <w:sz w:val="24"/>
                <w:szCs w:val="24"/>
              </w:rPr>
            </w:pPr>
          </w:p>
          <w:p w14:paraId="27E00846" w14:textId="77777777" w:rsidR="00201003" w:rsidRPr="00F0608D" w:rsidRDefault="00201003" w:rsidP="006B411A">
            <w:pPr>
              <w:rPr>
                <w:sz w:val="24"/>
                <w:szCs w:val="24"/>
              </w:rPr>
            </w:pPr>
          </w:p>
        </w:tc>
        <w:tc>
          <w:tcPr>
            <w:tcW w:w="13284" w:type="dxa"/>
            <w:gridSpan w:val="4"/>
            <w:shd w:val="clear" w:color="auto" w:fill="E8E8E8" w:themeFill="background2"/>
          </w:tcPr>
          <w:p w14:paraId="58AA38AD" w14:textId="77777777" w:rsidR="00201003" w:rsidRPr="00F0608D" w:rsidRDefault="00201003" w:rsidP="006B411A">
            <w:pPr>
              <w:rPr>
                <w:sz w:val="24"/>
                <w:szCs w:val="24"/>
              </w:rPr>
            </w:pPr>
            <w:r w:rsidRPr="00F0608D">
              <w:rPr>
                <w:sz w:val="24"/>
                <w:szCs w:val="24"/>
              </w:rPr>
              <w:lastRenderedPageBreak/>
              <w:t>Licensed for type-2 diabetes ONLY.</w:t>
            </w:r>
          </w:p>
          <w:p w14:paraId="154D171F" w14:textId="77777777" w:rsidR="00201003" w:rsidRPr="00F0608D" w:rsidRDefault="00201003" w:rsidP="006B411A">
            <w:pPr>
              <w:rPr>
                <w:sz w:val="24"/>
                <w:szCs w:val="24"/>
              </w:rPr>
            </w:pPr>
          </w:p>
          <w:p w14:paraId="497CC4AC" w14:textId="77777777" w:rsidR="00201003" w:rsidRPr="00F0608D" w:rsidRDefault="00201003" w:rsidP="006B411A">
            <w:pPr>
              <w:rPr>
                <w:sz w:val="24"/>
                <w:szCs w:val="24"/>
              </w:rPr>
            </w:pPr>
            <w:r w:rsidRPr="00F0608D">
              <w:rPr>
                <w:sz w:val="24"/>
                <w:szCs w:val="24"/>
              </w:rPr>
              <w:t>Not licensed for overweight and obesity.</w:t>
            </w:r>
          </w:p>
          <w:p w14:paraId="5291CE1B" w14:textId="77777777" w:rsidR="00201003" w:rsidRPr="00F0608D" w:rsidRDefault="00201003" w:rsidP="006B411A">
            <w:pPr>
              <w:rPr>
                <w:sz w:val="24"/>
                <w:szCs w:val="24"/>
              </w:rPr>
            </w:pPr>
          </w:p>
          <w:p w14:paraId="3E9CB08F" w14:textId="77777777" w:rsidR="00201003" w:rsidRPr="00F0608D" w:rsidRDefault="00201003" w:rsidP="006B411A">
            <w:pPr>
              <w:rPr>
                <w:sz w:val="24"/>
                <w:szCs w:val="24"/>
              </w:rPr>
            </w:pPr>
            <w:r w:rsidRPr="00F0608D">
              <w:rPr>
                <w:sz w:val="24"/>
                <w:szCs w:val="24"/>
              </w:rPr>
              <w:lastRenderedPageBreak/>
              <w:t xml:space="preserve">Use in line with </w:t>
            </w:r>
            <w:hyperlink r:id="rId20" w:history="1">
              <w:r w:rsidRPr="00F0608D">
                <w:rPr>
                  <w:rStyle w:val="Hyperlink"/>
                  <w:sz w:val="24"/>
                  <w:szCs w:val="24"/>
                </w:rPr>
                <w:t>https://www.nice.org.uk/guidance/ng28</w:t>
              </w:r>
            </w:hyperlink>
            <w:r w:rsidRPr="00F0608D">
              <w:rPr>
                <w:sz w:val="24"/>
                <w:szCs w:val="24"/>
              </w:rPr>
              <w:t xml:space="preserve"> AND HNY </w:t>
            </w:r>
            <w:hyperlink r:id="rId21" w:history="1">
              <w:r w:rsidRPr="009E670F">
                <w:rPr>
                  <w:rStyle w:val="Hyperlink"/>
                  <w:sz w:val="24"/>
                  <w:szCs w:val="24"/>
                </w:rPr>
                <w:t>local pathway</w:t>
              </w:r>
            </w:hyperlink>
          </w:p>
        </w:tc>
      </w:tr>
    </w:tbl>
    <w:p w14:paraId="33923865" w14:textId="77777777" w:rsidR="00201003" w:rsidRPr="00F0608D" w:rsidRDefault="00201003" w:rsidP="00201003">
      <w:pPr>
        <w:rPr>
          <w:sz w:val="24"/>
          <w:szCs w:val="24"/>
        </w:rPr>
      </w:pPr>
    </w:p>
    <w:p w14:paraId="0B8A37D6" w14:textId="77777777" w:rsidR="00201003" w:rsidRDefault="00201003" w:rsidP="00201003"/>
    <w:p w14:paraId="1F90E07E" w14:textId="77777777" w:rsidR="00201003" w:rsidRPr="00201003" w:rsidRDefault="00201003" w:rsidP="00201003"/>
    <w:sectPr w:rsidR="00201003" w:rsidRPr="00201003" w:rsidSect="00C33546">
      <w:head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743B0" w14:textId="77777777" w:rsidR="00827E8C" w:rsidRDefault="00827E8C" w:rsidP="00827E8C">
      <w:pPr>
        <w:spacing w:after="0" w:line="240" w:lineRule="auto"/>
      </w:pPr>
      <w:r>
        <w:separator/>
      </w:r>
    </w:p>
  </w:endnote>
  <w:endnote w:type="continuationSeparator" w:id="0">
    <w:p w14:paraId="0FC51D42" w14:textId="77777777" w:rsidR="00827E8C" w:rsidRDefault="00827E8C" w:rsidP="0082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52467" w14:textId="77777777" w:rsidR="00827E8C" w:rsidRDefault="00827E8C" w:rsidP="00827E8C">
      <w:pPr>
        <w:spacing w:after="0" w:line="240" w:lineRule="auto"/>
      </w:pPr>
      <w:r>
        <w:separator/>
      </w:r>
    </w:p>
  </w:footnote>
  <w:footnote w:type="continuationSeparator" w:id="0">
    <w:p w14:paraId="08F30664" w14:textId="77777777" w:rsidR="00827E8C" w:rsidRDefault="00827E8C" w:rsidP="00827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5DD5" w14:textId="32481059" w:rsidR="00A14FA5" w:rsidRDefault="007D4CD9">
    <w:pPr>
      <w:pStyle w:val="Header"/>
    </w:pPr>
    <w:r w:rsidRPr="00EC13F4">
      <w:rPr>
        <w:noProof/>
        <w:lang w:eastAsia="en-GB"/>
      </w:rPr>
      <w:drawing>
        <wp:anchor distT="0" distB="0" distL="114300" distR="114300" simplePos="0" relativeHeight="251661312" behindDoc="1" locked="0" layoutInCell="1" allowOverlap="1" wp14:anchorId="574B28F0" wp14:editId="7F340C14">
          <wp:simplePos x="0" y="0"/>
          <wp:positionH relativeFrom="margin">
            <wp:posOffset>5736590</wp:posOffset>
          </wp:positionH>
          <wp:positionV relativeFrom="paragraph">
            <wp:posOffset>-366395</wp:posOffset>
          </wp:positionV>
          <wp:extent cx="1259840" cy="766445"/>
          <wp:effectExtent l="0" t="0" r="0" b="0"/>
          <wp:wrapTight wrapText="bothSides">
            <wp:wrapPolygon edited="0">
              <wp:start x="0" y="0"/>
              <wp:lineTo x="0" y="20938"/>
              <wp:lineTo x="21230" y="20938"/>
              <wp:lineTo x="21230" y="0"/>
              <wp:lineTo x="0" y="0"/>
            </wp:wrapPolygon>
          </wp:wrapTight>
          <wp:docPr id="1350699759" name="Picture 1350699759"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A14FA5" w:rsidRPr="00EC13F4">
      <w:rPr>
        <w:noProof/>
        <w:lang w:eastAsia="en-GB"/>
      </w:rPr>
      <w:drawing>
        <wp:anchor distT="0" distB="0" distL="114300" distR="114300" simplePos="0" relativeHeight="251655168" behindDoc="1" locked="0" layoutInCell="1" allowOverlap="1" wp14:anchorId="32C291CF" wp14:editId="66849AF2">
          <wp:simplePos x="0" y="0"/>
          <wp:positionH relativeFrom="column">
            <wp:posOffset>0</wp:posOffset>
          </wp:positionH>
          <wp:positionV relativeFrom="paragraph">
            <wp:posOffset>6985</wp:posOffset>
          </wp:positionV>
          <wp:extent cx="2209800" cy="466725"/>
          <wp:effectExtent l="0" t="0" r="0" b="9525"/>
          <wp:wrapTight wrapText="bothSides">
            <wp:wrapPolygon edited="0">
              <wp:start x="0" y="0"/>
              <wp:lineTo x="0" y="21159"/>
              <wp:lineTo x="21414" y="21159"/>
              <wp:lineTo x="21414" y="0"/>
              <wp:lineTo x="0" y="0"/>
            </wp:wrapPolygon>
          </wp:wrapTight>
          <wp:docPr id="1116124170" name="Picture 1116124170"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C9E9D2" w14:textId="01C2012B" w:rsidR="00A14FA5" w:rsidRDefault="00A14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4F1"/>
    <w:multiLevelType w:val="multilevel"/>
    <w:tmpl w:val="7DF6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B6531"/>
    <w:multiLevelType w:val="multilevel"/>
    <w:tmpl w:val="C742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A1995"/>
    <w:multiLevelType w:val="multilevel"/>
    <w:tmpl w:val="39D4F4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C4E77"/>
    <w:multiLevelType w:val="multilevel"/>
    <w:tmpl w:val="E714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730AE"/>
    <w:multiLevelType w:val="multilevel"/>
    <w:tmpl w:val="7056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24FE3"/>
    <w:multiLevelType w:val="multilevel"/>
    <w:tmpl w:val="F7A8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E6C44"/>
    <w:multiLevelType w:val="hybridMultilevel"/>
    <w:tmpl w:val="8D52117E"/>
    <w:lvl w:ilvl="0" w:tplc="99827C2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06E11"/>
    <w:multiLevelType w:val="hybridMultilevel"/>
    <w:tmpl w:val="3520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D1EA6"/>
    <w:multiLevelType w:val="hybridMultilevel"/>
    <w:tmpl w:val="7B28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4740F"/>
    <w:multiLevelType w:val="hybridMultilevel"/>
    <w:tmpl w:val="8024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D6CB4"/>
    <w:multiLevelType w:val="multilevel"/>
    <w:tmpl w:val="E8580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B54065"/>
    <w:multiLevelType w:val="hybridMultilevel"/>
    <w:tmpl w:val="E194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134374">
    <w:abstractNumId w:val="1"/>
  </w:num>
  <w:num w:numId="2" w16cid:durableId="380055923">
    <w:abstractNumId w:val="8"/>
  </w:num>
  <w:num w:numId="3" w16cid:durableId="861168059">
    <w:abstractNumId w:val="2"/>
  </w:num>
  <w:num w:numId="4" w16cid:durableId="230119957">
    <w:abstractNumId w:val="4"/>
  </w:num>
  <w:num w:numId="5" w16cid:durableId="526260150">
    <w:abstractNumId w:val="5"/>
  </w:num>
  <w:num w:numId="6" w16cid:durableId="1069499210">
    <w:abstractNumId w:val="0"/>
  </w:num>
  <w:num w:numId="7" w16cid:durableId="269705860">
    <w:abstractNumId w:val="3"/>
  </w:num>
  <w:num w:numId="8" w16cid:durableId="32197651">
    <w:abstractNumId w:val="6"/>
  </w:num>
  <w:num w:numId="9" w16cid:durableId="1207572002">
    <w:abstractNumId w:val="7"/>
  </w:num>
  <w:num w:numId="10" w16cid:durableId="12004203">
    <w:abstractNumId w:val="9"/>
  </w:num>
  <w:num w:numId="11" w16cid:durableId="1220164648">
    <w:abstractNumId w:val="10"/>
  </w:num>
  <w:num w:numId="12" w16cid:durableId="1404062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14"/>
    <w:rsid w:val="000A7621"/>
    <w:rsid w:val="000F7523"/>
    <w:rsid w:val="00134425"/>
    <w:rsid w:val="001A739F"/>
    <w:rsid w:val="001D6D56"/>
    <w:rsid w:val="00201003"/>
    <w:rsid w:val="0024163F"/>
    <w:rsid w:val="00353795"/>
    <w:rsid w:val="003A59CE"/>
    <w:rsid w:val="003E79BA"/>
    <w:rsid w:val="00411934"/>
    <w:rsid w:val="00412E76"/>
    <w:rsid w:val="00426B6B"/>
    <w:rsid w:val="0042758F"/>
    <w:rsid w:val="00432126"/>
    <w:rsid w:val="00436CDB"/>
    <w:rsid w:val="00460BF9"/>
    <w:rsid w:val="00483530"/>
    <w:rsid w:val="004C150C"/>
    <w:rsid w:val="004D5C69"/>
    <w:rsid w:val="00574BB7"/>
    <w:rsid w:val="005879F6"/>
    <w:rsid w:val="006D33C9"/>
    <w:rsid w:val="00774A7B"/>
    <w:rsid w:val="00793330"/>
    <w:rsid w:val="007D4CD9"/>
    <w:rsid w:val="007F29FB"/>
    <w:rsid w:val="00827E8C"/>
    <w:rsid w:val="0084418F"/>
    <w:rsid w:val="008C208B"/>
    <w:rsid w:val="008C6CA7"/>
    <w:rsid w:val="00911FA4"/>
    <w:rsid w:val="00962002"/>
    <w:rsid w:val="009736C6"/>
    <w:rsid w:val="00984EA8"/>
    <w:rsid w:val="009A51E6"/>
    <w:rsid w:val="009C45D4"/>
    <w:rsid w:val="009E670F"/>
    <w:rsid w:val="009F2F14"/>
    <w:rsid w:val="00A14FA5"/>
    <w:rsid w:val="00A231D3"/>
    <w:rsid w:val="00AB0630"/>
    <w:rsid w:val="00B20FEC"/>
    <w:rsid w:val="00B47EB9"/>
    <w:rsid w:val="00B62C36"/>
    <w:rsid w:val="00BB6431"/>
    <w:rsid w:val="00BE1A40"/>
    <w:rsid w:val="00C33546"/>
    <w:rsid w:val="00C97698"/>
    <w:rsid w:val="00CC5DC4"/>
    <w:rsid w:val="00CD4DC8"/>
    <w:rsid w:val="00D077D6"/>
    <w:rsid w:val="00D35B72"/>
    <w:rsid w:val="00D4617F"/>
    <w:rsid w:val="00D92A08"/>
    <w:rsid w:val="00DD3A50"/>
    <w:rsid w:val="00DE6361"/>
    <w:rsid w:val="00E2133F"/>
    <w:rsid w:val="00E30559"/>
    <w:rsid w:val="00EB7099"/>
    <w:rsid w:val="00EC3F7D"/>
    <w:rsid w:val="00EE2915"/>
    <w:rsid w:val="00F00093"/>
    <w:rsid w:val="00F05D0B"/>
    <w:rsid w:val="00F0608D"/>
    <w:rsid w:val="00F06E05"/>
    <w:rsid w:val="00F3404A"/>
    <w:rsid w:val="00F84602"/>
    <w:rsid w:val="00FA6B98"/>
    <w:rsid w:val="00FD111F"/>
    <w:rsid w:val="00FD2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C1B507"/>
  <w15:chartTrackingRefBased/>
  <w15:docId w15:val="{9BA9DD99-EA39-4455-AC31-31FBD0D8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C4"/>
  </w:style>
  <w:style w:type="paragraph" w:styleId="Heading1">
    <w:name w:val="heading 1"/>
    <w:basedOn w:val="Normal"/>
    <w:next w:val="Normal"/>
    <w:link w:val="Heading1Char"/>
    <w:qFormat/>
    <w:rsid w:val="009F2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2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F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F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F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F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2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F14"/>
    <w:rPr>
      <w:rFonts w:eastAsiaTheme="majorEastAsia" w:cstheme="majorBidi"/>
      <w:color w:val="272727" w:themeColor="text1" w:themeTint="D8"/>
    </w:rPr>
  </w:style>
  <w:style w:type="paragraph" w:styleId="Title">
    <w:name w:val="Title"/>
    <w:basedOn w:val="Normal"/>
    <w:next w:val="Normal"/>
    <w:link w:val="TitleChar"/>
    <w:uiPriority w:val="10"/>
    <w:qFormat/>
    <w:rsid w:val="009F2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F14"/>
    <w:pPr>
      <w:spacing w:before="160"/>
      <w:jc w:val="center"/>
    </w:pPr>
    <w:rPr>
      <w:i/>
      <w:iCs/>
      <w:color w:val="404040" w:themeColor="text1" w:themeTint="BF"/>
    </w:rPr>
  </w:style>
  <w:style w:type="character" w:customStyle="1" w:styleId="QuoteChar">
    <w:name w:val="Quote Char"/>
    <w:basedOn w:val="DefaultParagraphFont"/>
    <w:link w:val="Quote"/>
    <w:uiPriority w:val="29"/>
    <w:rsid w:val="009F2F14"/>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9F2F14"/>
    <w:pPr>
      <w:ind w:left="720"/>
      <w:contextualSpacing/>
    </w:pPr>
  </w:style>
  <w:style w:type="character" w:styleId="IntenseEmphasis">
    <w:name w:val="Intense Emphasis"/>
    <w:basedOn w:val="DefaultParagraphFont"/>
    <w:uiPriority w:val="21"/>
    <w:qFormat/>
    <w:rsid w:val="009F2F14"/>
    <w:rPr>
      <w:i/>
      <w:iCs/>
      <w:color w:val="0F4761" w:themeColor="accent1" w:themeShade="BF"/>
    </w:rPr>
  </w:style>
  <w:style w:type="paragraph" w:styleId="IntenseQuote">
    <w:name w:val="Intense Quote"/>
    <w:basedOn w:val="Normal"/>
    <w:next w:val="Normal"/>
    <w:link w:val="IntenseQuoteChar"/>
    <w:uiPriority w:val="30"/>
    <w:qFormat/>
    <w:rsid w:val="009F2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F14"/>
    <w:rPr>
      <w:i/>
      <w:iCs/>
      <w:color w:val="0F4761" w:themeColor="accent1" w:themeShade="BF"/>
    </w:rPr>
  </w:style>
  <w:style w:type="character" w:styleId="IntenseReference">
    <w:name w:val="Intense Reference"/>
    <w:basedOn w:val="DefaultParagraphFont"/>
    <w:uiPriority w:val="32"/>
    <w:qFormat/>
    <w:rsid w:val="009F2F14"/>
    <w:rPr>
      <w:b/>
      <w:bCs/>
      <w:smallCaps/>
      <w:color w:val="0F4761" w:themeColor="accent1" w:themeShade="BF"/>
      <w:spacing w:val="5"/>
    </w:rPr>
  </w:style>
  <w:style w:type="table" w:styleId="TableGrid">
    <w:name w:val="Table Grid"/>
    <w:basedOn w:val="TableNormal"/>
    <w:uiPriority w:val="39"/>
    <w:rsid w:val="009F2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6CDB"/>
    <w:rPr>
      <w:color w:val="467886" w:themeColor="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436CDB"/>
  </w:style>
  <w:style w:type="paragraph" w:styleId="Header">
    <w:name w:val="header"/>
    <w:basedOn w:val="Normal"/>
    <w:link w:val="HeaderChar"/>
    <w:uiPriority w:val="99"/>
    <w:unhideWhenUsed/>
    <w:rsid w:val="00827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E8C"/>
  </w:style>
  <w:style w:type="paragraph" w:styleId="Footer">
    <w:name w:val="footer"/>
    <w:basedOn w:val="Normal"/>
    <w:link w:val="FooterChar"/>
    <w:uiPriority w:val="99"/>
    <w:unhideWhenUsed/>
    <w:rsid w:val="00827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E8C"/>
  </w:style>
  <w:style w:type="character" w:styleId="UnresolvedMention">
    <w:name w:val="Unresolved Mention"/>
    <w:basedOn w:val="DefaultParagraphFont"/>
    <w:uiPriority w:val="99"/>
    <w:semiHidden/>
    <w:unhideWhenUsed/>
    <w:rsid w:val="00827E8C"/>
    <w:rPr>
      <w:color w:val="605E5C"/>
      <w:shd w:val="clear" w:color="auto" w:fill="E1DFDD"/>
    </w:rPr>
  </w:style>
  <w:style w:type="character" w:styleId="FollowedHyperlink">
    <w:name w:val="FollowedHyperlink"/>
    <w:basedOn w:val="DefaultParagraphFont"/>
    <w:uiPriority w:val="99"/>
    <w:semiHidden/>
    <w:unhideWhenUsed/>
    <w:rsid w:val="0024163F"/>
    <w:rPr>
      <w:color w:val="96607D" w:themeColor="followedHyperlink"/>
      <w:u w:val="single"/>
    </w:rPr>
  </w:style>
  <w:style w:type="paragraph" w:styleId="NoSpacing">
    <w:name w:val="No Spacing"/>
    <w:uiPriority w:val="1"/>
    <w:qFormat/>
    <w:rsid w:val="00F06E05"/>
    <w:pPr>
      <w:spacing w:after="0" w:line="240" w:lineRule="auto"/>
    </w:pPr>
  </w:style>
  <w:style w:type="paragraph" w:styleId="NormalWeb">
    <w:name w:val="Normal (Web)"/>
    <w:basedOn w:val="Normal"/>
    <w:uiPriority w:val="99"/>
    <w:semiHidden/>
    <w:unhideWhenUsed/>
    <w:rsid w:val="003537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8431">
      <w:bodyDiv w:val="1"/>
      <w:marLeft w:val="0"/>
      <w:marRight w:val="0"/>
      <w:marTop w:val="0"/>
      <w:marBottom w:val="0"/>
      <w:divBdr>
        <w:top w:val="none" w:sz="0" w:space="0" w:color="auto"/>
        <w:left w:val="none" w:sz="0" w:space="0" w:color="auto"/>
        <w:bottom w:val="none" w:sz="0" w:space="0" w:color="auto"/>
        <w:right w:val="none" w:sz="0" w:space="0" w:color="auto"/>
      </w:divBdr>
    </w:div>
    <w:div w:id="183371292">
      <w:bodyDiv w:val="1"/>
      <w:marLeft w:val="0"/>
      <w:marRight w:val="0"/>
      <w:marTop w:val="0"/>
      <w:marBottom w:val="0"/>
      <w:divBdr>
        <w:top w:val="none" w:sz="0" w:space="0" w:color="auto"/>
        <w:left w:val="none" w:sz="0" w:space="0" w:color="auto"/>
        <w:bottom w:val="none" w:sz="0" w:space="0" w:color="auto"/>
        <w:right w:val="none" w:sz="0" w:space="0" w:color="auto"/>
      </w:divBdr>
      <w:divsChild>
        <w:div w:id="2085299827">
          <w:marLeft w:val="0"/>
          <w:marRight w:val="0"/>
          <w:marTop w:val="0"/>
          <w:marBottom w:val="0"/>
          <w:divBdr>
            <w:top w:val="none" w:sz="0" w:space="0" w:color="auto"/>
            <w:left w:val="none" w:sz="0" w:space="0" w:color="auto"/>
            <w:bottom w:val="none" w:sz="0" w:space="0" w:color="auto"/>
            <w:right w:val="none" w:sz="0" w:space="0" w:color="auto"/>
          </w:divBdr>
        </w:div>
      </w:divsChild>
    </w:div>
    <w:div w:id="205988117">
      <w:bodyDiv w:val="1"/>
      <w:marLeft w:val="0"/>
      <w:marRight w:val="0"/>
      <w:marTop w:val="0"/>
      <w:marBottom w:val="0"/>
      <w:divBdr>
        <w:top w:val="none" w:sz="0" w:space="0" w:color="auto"/>
        <w:left w:val="none" w:sz="0" w:space="0" w:color="auto"/>
        <w:bottom w:val="none" w:sz="0" w:space="0" w:color="auto"/>
        <w:right w:val="none" w:sz="0" w:space="0" w:color="auto"/>
      </w:divBdr>
    </w:div>
    <w:div w:id="270089963">
      <w:bodyDiv w:val="1"/>
      <w:marLeft w:val="0"/>
      <w:marRight w:val="0"/>
      <w:marTop w:val="0"/>
      <w:marBottom w:val="0"/>
      <w:divBdr>
        <w:top w:val="none" w:sz="0" w:space="0" w:color="auto"/>
        <w:left w:val="none" w:sz="0" w:space="0" w:color="auto"/>
        <w:bottom w:val="none" w:sz="0" w:space="0" w:color="auto"/>
        <w:right w:val="none" w:sz="0" w:space="0" w:color="auto"/>
      </w:divBdr>
    </w:div>
    <w:div w:id="443308024">
      <w:bodyDiv w:val="1"/>
      <w:marLeft w:val="0"/>
      <w:marRight w:val="0"/>
      <w:marTop w:val="0"/>
      <w:marBottom w:val="0"/>
      <w:divBdr>
        <w:top w:val="none" w:sz="0" w:space="0" w:color="auto"/>
        <w:left w:val="none" w:sz="0" w:space="0" w:color="auto"/>
        <w:bottom w:val="none" w:sz="0" w:space="0" w:color="auto"/>
        <w:right w:val="none" w:sz="0" w:space="0" w:color="auto"/>
      </w:divBdr>
    </w:div>
    <w:div w:id="542446389">
      <w:bodyDiv w:val="1"/>
      <w:marLeft w:val="0"/>
      <w:marRight w:val="0"/>
      <w:marTop w:val="0"/>
      <w:marBottom w:val="0"/>
      <w:divBdr>
        <w:top w:val="none" w:sz="0" w:space="0" w:color="auto"/>
        <w:left w:val="none" w:sz="0" w:space="0" w:color="auto"/>
        <w:bottom w:val="none" w:sz="0" w:space="0" w:color="auto"/>
        <w:right w:val="none" w:sz="0" w:space="0" w:color="auto"/>
      </w:divBdr>
    </w:div>
    <w:div w:id="735929953">
      <w:bodyDiv w:val="1"/>
      <w:marLeft w:val="0"/>
      <w:marRight w:val="0"/>
      <w:marTop w:val="0"/>
      <w:marBottom w:val="0"/>
      <w:divBdr>
        <w:top w:val="none" w:sz="0" w:space="0" w:color="auto"/>
        <w:left w:val="none" w:sz="0" w:space="0" w:color="auto"/>
        <w:bottom w:val="none" w:sz="0" w:space="0" w:color="auto"/>
        <w:right w:val="none" w:sz="0" w:space="0" w:color="auto"/>
      </w:divBdr>
    </w:div>
    <w:div w:id="811218387">
      <w:bodyDiv w:val="1"/>
      <w:marLeft w:val="0"/>
      <w:marRight w:val="0"/>
      <w:marTop w:val="0"/>
      <w:marBottom w:val="0"/>
      <w:divBdr>
        <w:top w:val="none" w:sz="0" w:space="0" w:color="auto"/>
        <w:left w:val="none" w:sz="0" w:space="0" w:color="auto"/>
        <w:bottom w:val="none" w:sz="0" w:space="0" w:color="auto"/>
        <w:right w:val="none" w:sz="0" w:space="0" w:color="auto"/>
      </w:divBdr>
    </w:div>
    <w:div w:id="909465446">
      <w:bodyDiv w:val="1"/>
      <w:marLeft w:val="0"/>
      <w:marRight w:val="0"/>
      <w:marTop w:val="0"/>
      <w:marBottom w:val="0"/>
      <w:divBdr>
        <w:top w:val="none" w:sz="0" w:space="0" w:color="auto"/>
        <w:left w:val="none" w:sz="0" w:space="0" w:color="auto"/>
        <w:bottom w:val="none" w:sz="0" w:space="0" w:color="auto"/>
        <w:right w:val="none" w:sz="0" w:space="0" w:color="auto"/>
      </w:divBdr>
    </w:div>
    <w:div w:id="978343926">
      <w:bodyDiv w:val="1"/>
      <w:marLeft w:val="0"/>
      <w:marRight w:val="0"/>
      <w:marTop w:val="0"/>
      <w:marBottom w:val="0"/>
      <w:divBdr>
        <w:top w:val="none" w:sz="0" w:space="0" w:color="auto"/>
        <w:left w:val="none" w:sz="0" w:space="0" w:color="auto"/>
        <w:bottom w:val="none" w:sz="0" w:space="0" w:color="auto"/>
        <w:right w:val="none" w:sz="0" w:space="0" w:color="auto"/>
      </w:divBdr>
    </w:div>
    <w:div w:id="1042826233">
      <w:bodyDiv w:val="1"/>
      <w:marLeft w:val="0"/>
      <w:marRight w:val="0"/>
      <w:marTop w:val="0"/>
      <w:marBottom w:val="0"/>
      <w:divBdr>
        <w:top w:val="none" w:sz="0" w:space="0" w:color="auto"/>
        <w:left w:val="none" w:sz="0" w:space="0" w:color="auto"/>
        <w:bottom w:val="none" w:sz="0" w:space="0" w:color="auto"/>
        <w:right w:val="none" w:sz="0" w:space="0" w:color="auto"/>
      </w:divBdr>
    </w:div>
    <w:div w:id="1077945727">
      <w:bodyDiv w:val="1"/>
      <w:marLeft w:val="0"/>
      <w:marRight w:val="0"/>
      <w:marTop w:val="0"/>
      <w:marBottom w:val="0"/>
      <w:divBdr>
        <w:top w:val="none" w:sz="0" w:space="0" w:color="auto"/>
        <w:left w:val="none" w:sz="0" w:space="0" w:color="auto"/>
        <w:bottom w:val="none" w:sz="0" w:space="0" w:color="auto"/>
        <w:right w:val="none" w:sz="0" w:space="0" w:color="auto"/>
      </w:divBdr>
    </w:div>
    <w:div w:id="1090662845">
      <w:bodyDiv w:val="1"/>
      <w:marLeft w:val="0"/>
      <w:marRight w:val="0"/>
      <w:marTop w:val="0"/>
      <w:marBottom w:val="0"/>
      <w:divBdr>
        <w:top w:val="none" w:sz="0" w:space="0" w:color="auto"/>
        <w:left w:val="none" w:sz="0" w:space="0" w:color="auto"/>
        <w:bottom w:val="none" w:sz="0" w:space="0" w:color="auto"/>
        <w:right w:val="none" w:sz="0" w:space="0" w:color="auto"/>
      </w:divBdr>
    </w:div>
    <w:div w:id="1169717557">
      <w:bodyDiv w:val="1"/>
      <w:marLeft w:val="0"/>
      <w:marRight w:val="0"/>
      <w:marTop w:val="0"/>
      <w:marBottom w:val="0"/>
      <w:divBdr>
        <w:top w:val="none" w:sz="0" w:space="0" w:color="auto"/>
        <w:left w:val="none" w:sz="0" w:space="0" w:color="auto"/>
        <w:bottom w:val="none" w:sz="0" w:space="0" w:color="auto"/>
        <w:right w:val="none" w:sz="0" w:space="0" w:color="auto"/>
      </w:divBdr>
    </w:div>
    <w:div w:id="1242564218">
      <w:bodyDiv w:val="1"/>
      <w:marLeft w:val="0"/>
      <w:marRight w:val="0"/>
      <w:marTop w:val="0"/>
      <w:marBottom w:val="0"/>
      <w:divBdr>
        <w:top w:val="none" w:sz="0" w:space="0" w:color="auto"/>
        <w:left w:val="none" w:sz="0" w:space="0" w:color="auto"/>
        <w:bottom w:val="none" w:sz="0" w:space="0" w:color="auto"/>
        <w:right w:val="none" w:sz="0" w:space="0" w:color="auto"/>
      </w:divBdr>
    </w:div>
    <w:div w:id="1243446821">
      <w:bodyDiv w:val="1"/>
      <w:marLeft w:val="0"/>
      <w:marRight w:val="0"/>
      <w:marTop w:val="0"/>
      <w:marBottom w:val="0"/>
      <w:divBdr>
        <w:top w:val="none" w:sz="0" w:space="0" w:color="auto"/>
        <w:left w:val="none" w:sz="0" w:space="0" w:color="auto"/>
        <w:bottom w:val="none" w:sz="0" w:space="0" w:color="auto"/>
        <w:right w:val="none" w:sz="0" w:space="0" w:color="auto"/>
      </w:divBdr>
    </w:div>
    <w:div w:id="1246499698">
      <w:bodyDiv w:val="1"/>
      <w:marLeft w:val="0"/>
      <w:marRight w:val="0"/>
      <w:marTop w:val="0"/>
      <w:marBottom w:val="0"/>
      <w:divBdr>
        <w:top w:val="none" w:sz="0" w:space="0" w:color="auto"/>
        <w:left w:val="none" w:sz="0" w:space="0" w:color="auto"/>
        <w:bottom w:val="none" w:sz="0" w:space="0" w:color="auto"/>
        <w:right w:val="none" w:sz="0" w:space="0" w:color="auto"/>
      </w:divBdr>
    </w:div>
    <w:div w:id="1279220397">
      <w:bodyDiv w:val="1"/>
      <w:marLeft w:val="0"/>
      <w:marRight w:val="0"/>
      <w:marTop w:val="0"/>
      <w:marBottom w:val="0"/>
      <w:divBdr>
        <w:top w:val="none" w:sz="0" w:space="0" w:color="auto"/>
        <w:left w:val="none" w:sz="0" w:space="0" w:color="auto"/>
        <w:bottom w:val="none" w:sz="0" w:space="0" w:color="auto"/>
        <w:right w:val="none" w:sz="0" w:space="0" w:color="auto"/>
      </w:divBdr>
    </w:div>
    <w:div w:id="1356494361">
      <w:bodyDiv w:val="1"/>
      <w:marLeft w:val="0"/>
      <w:marRight w:val="0"/>
      <w:marTop w:val="0"/>
      <w:marBottom w:val="0"/>
      <w:divBdr>
        <w:top w:val="none" w:sz="0" w:space="0" w:color="auto"/>
        <w:left w:val="none" w:sz="0" w:space="0" w:color="auto"/>
        <w:bottom w:val="none" w:sz="0" w:space="0" w:color="auto"/>
        <w:right w:val="none" w:sz="0" w:space="0" w:color="auto"/>
      </w:divBdr>
    </w:div>
    <w:div w:id="1412922702">
      <w:bodyDiv w:val="1"/>
      <w:marLeft w:val="0"/>
      <w:marRight w:val="0"/>
      <w:marTop w:val="0"/>
      <w:marBottom w:val="0"/>
      <w:divBdr>
        <w:top w:val="none" w:sz="0" w:space="0" w:color="auto"/>
        <w:left w:val="none" w:sz="0" w:space="0" w:color="auto"/>
        <w:bottom w:val="none" w:sz="0" w:space="0" w:color="auto"/>
        <w:right w:val="none" w:sz="0" w:space="0" w:color="auto"/>
      </w:divBdr>
    </w:div>
    <w:div w:id="1452433067">
      <w:bodyDiv w:val="1"/>
      <w:marLeft w:val="0"/>
      <w:marRight w:val="0"/>
      <w:marTop w:val="0"/>
      <w:marBottom w:val="0"/>
      <w:divBdr>
        <w:top w:val="none" w:sz="0" w:space="0" w:color="auto"/>
        <w:left w:val="none" w:sz="0" w:space="0" w:color="auto"/>
        <w:bottom w:val="none" w:sz="0" w:space="0" w:color="auto"/>
        <w:right w:val="none" w:sz="0" w:space="0" w:color="auto"/>
      </w:divBdr>
    </w:div>
    <w:div w:id="1484195225">
      <w:bodyDiv w:val="1"/>
      <w:marLeft w:val="0"/>
      <w:marRight w:val="0"/>
      <w:marTop w:val="0"/>
      <w:marBottom w:val="0"/>
      <w:divBdr>
        <w:top w:val="none" w:sz="0" w:space="0" w:color="auto"/>
        <w:left w:val="none" w:sz="0" w:space="0" w:color="auto"/>
        <w:bottom w:val="none" w:sz="0" w:space="0" w:color="auto"/>
        <w:right w:val="none" w:sz="0" w:space="0" w:color="auto"/>
      </w:divBdr>
      <w:divsChild>
        <w:div w:id="750157782">
          <w:marLeft w:val="0"/>
          <w:marRight w:val="0"/>
          <w:marTop w:val="0"/>
          <w:marBottom w:val="0"/>
          <w:divBdr>
            <w:top w:val="none" w:sz="0" w:space="0" w:color="auto"/>
            <w:left w:val="none" w:sz="0" w:space="0" w:color="auto"/>
            <w:bottom w:val="none" w:sz="0" w:space="0" w:color="auto"/>
            <w:right w:val="none" w:sz="0" w:space="0" w:color="auto"/>
          </w:divBdr>
        </w:div>
      </w:divsChild>
    </w:div>
    <w:div w:id="1511217782">
      <w:bodyDiv w:val="1"/>
      <w:marLeft w:val="0"/>
      <w:marRight w:val="0"/>
      <w:marTop w:val="0"/>
      <w:marBottom w:val="0"/>
      <w:divBdr>
        <w:top w:val="none" w:sz="0" w:space="0" w:color="auto"/>
        <w:left w:val="none" w:sz="0" w:space="0" w:color="auto"/>
        <w:bottom w:val="none" w:sz="0" w:space="0" w:color="auto"/>
        <w:right w:val="none" w:sz="0" w:space="0" w:color="auto"/>
      </w:divBdr>
    </w:div>
    <w:div w:id="1566138039">
      <w:bodyDiv w:val="1"/>
      <w:marLeft w:val="0"/>
      <w:marRight w:val="0"/>
      <w:marTop w:val="0"/>
      <w:marBottom w:val="0"/>
      <w:divBdr>
        <w:top w:val="none" w:sz="0" w:space="0" w:color="auto"/>
        <w:left w:val="none" w:sz="0" w:space="0" w:color="auto"/>
        <w:bottom w:val="none" w:sz="0" w:space="0" w:color="auto"/>
        <w:right w:val="none" w:sz="0" w:space="0" w:color="auto"/>
      </w:divBdr>
    </w:div>
    <w:div w:id="1977560766">
      <w:bodyDiv w:val="1"/>
      <w:marLeft w:val="0"/>
      <w:marRight w:val="0"/>
      <w:marTop w:val="0"/>
      <w:marBottom w:val="0"/>
      <w:divBdr>
        <w:top w:val="none" w:sz="0" w:space="0" w:color="auto"/>
        <w:left w:val="none" w:sz="0" w:space="0" w:color="auto"/>
        <w:bottom w:val="none" w:sz="0" w:space="0" w:color="auto"/>
        <w:right w:val="none" w:sz="0" w:space="0" w:color="auto"/>
      </w:divBdr>
    </w:div>
    <w:div w:id="21022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5/03/PRN01879-interim-commissioning-guidance-implementation-of-the-nice-technology-appraisal-ta1026-and-the-NICE-fu.pdf" TargetMode="External"/><Relationship Id="rId13" Type="http://schemas.openxmlformats.org/officeDocument/2006/relationships/hyperlink" Target="https://humberandnorthyorkshire.org.uk/wp-content/uploads/2024/02/HNY-Type-2-Diabetes-Algorithm-Final-Approved-by-IPMOC.pdf" TargetMode="External"/><Relationship Id="rId18" Type="http://schemas.openxmlformats.org/officeDocument/2006/relationships/hyperlink" Target="https://www.nice.org.uk/guidance/ng28" TargetMode="External"/><Relationship Id="rId3" Type="http://schemas.openxmlformats.org/officeDocument/2006/relationships/settings" Target="settings.xml"/><Relationship Id="rId21" Type="http://schemas.openxmlformats.org/officeDocument/2006/relationships/hyperlink" Target="https://humberandnorthyorkshire.org.uk/wp-content/uploads/2024/02/HNY-Type-2-Diabetes-Algorithm-Final-Approved-by-IPMOC.pdf" TargetMode="External"/><Relationship Id="rId7" Type="http://schemas.openxmlformats.org/officeDocument/2006/relationships/hyperlink" Target="https://www.nice.org.uk/guidance/ta1026" TargetMode="External"/><Relationship Id="rId12" Type="http://schemas.openxmlformats.org/officeDocument/2006/relationships/hyperlink" Target="https://www.nice.org.uk/guidance/ng246/chapter/Discussing-results-and-referral" TargetMode="External"/><Relationship Id="rId17" Type="http://schemas.openxmlformats.org/officeDocument/2006/relationships/hyperlink" Target="https://www.nice.org.uk/guidance/ta203" TargetMode="External"/><Relationship Id="rId2" Type="http://schemas.openxmlformats.org/officeDocument/2006/relationships/styles" Target="styles.xml"/><Relationship Id="rId16" Type="http://schemas.openxmlformats.org/officeDocument/2006/relationships/hyperlink" Target="https://www.nice.org.uk/guidance/ta664" TargetMode="External"/><Relationship Id="rId20" Type="http://schemas.openxmlformats.org/officeDocument/2006/relationships/hyperlink" Target="https://www.nice.org.uk/guidance/ng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mberandnorthyorkshire.org.uk/wp-content/uploads/2024/02/HNY-Type-2-Diabetes-Algorithm-Final-Approved-by-IPMOC.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ice.org.uk/guidance/ta664" TargetMode="External"/><Relationship Id="rId23" Type="http://schemas.openxmlformats.org/officeDocument/2006/relationships/fontTable" Target="fontTable.xml"/><Relationship Id="rId10" Type="http://schemas.openxmlformats.org/officeDocument/2006/relationships/hyperlink" Target="https://www.nice.org.uk/guidance/ta924" TargetMode="External"/><Relationship Id="rId19" Type="http://schemas.openxmlformats.org/officeDocument/2006/relationships/hyperlink" Target="https://humberandnorthyorkshire.org.uk/wp-content/uploads/2024/02/HNY-Type-2-Diabetes-Algorithm-Final-Approved-by-IPMOC.pdf"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england.nhs.uk%2Fpublication%2Finterim-commissioning-guidance-implementation-of-the-nice-technology-appraisal-ta1026-and-the-nice-funding-variation-for-tirzepatide-mounjaro-for-the-management-of-obesity%2F&amp;data=05%7C02%7Cl.angus%40nhs.net%7C6428d72741f9450871df08ddaf1a358e%7C37c354b285b047f5b22207b48d774ee3%7C0%7C0%7C638859249293685899%7CUnknown%7CTWFpbGZsb3d8eyJFbXB0eU1hcGkiOnRydWUsIlYiOiIwLjAuMDAwMCIsIlAiOiJXaW4zMiIsIkFOIjoiTWFpbCIsIldUIjoyfQ%3D%3D%7C0%7C%7C%7C&amp;sdata=BTaH%2FsXI1kjwomOwW2qOWwS%2F0igj48HSl3Qn8bzLrPk%3D&amp;reserved=0" TargetMode="External"/><Relationship Id="rId14" Type="http://schemas.openxmlformats.org/officeDocument/2006/relationships/hyperlink" Target="https://humberandnorthyorkshire.org.uk/wp-content/uploads/2024/02/HNY-Type-2-Diabetes-Algorithm-Final-Approved-by-IPMOC.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1630</Words>
  <Characters>11370</Characters>
  <Application>Microsoft Office Word</Application>
  <DocSecurity>0</DocSecurity>
  <Lines>668</Lines>
  <Paragraphs>203</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Laura (NHS HUMBER AND NORTH YORKSHIRE ICB - 42D)</dc:creator>
  <cp:keywords/>
  <dc:description/>
  <cp:lastModifiedBy>ANGUS, Laura (NHS HUMBER AND NORTH YORKSHIRE ICB - 42D)</cp:lastModifiedBy>
  <cp:revision>3</cp:revision>
  <dcterms:created xsi:type="dcterms:W3CDTF">2025-06-23T08:40:00Z</dcterms:created>
  <dcterms:modified xsi:type="dcterms:W3CDTF">2025-06-23T08:40:00Z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cfe89915-b88c-4257-ab12-2e16c0ed2f4c</vt:lpwstr>
  </property>
</Properties>
</file>