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53BB" w14:textId="18561F58" w:rsidR="00373B72" w:rsidRPr="003B44AF" w:rsidRDefault="00C106C3" w:rsidP="003B44AF">
      <w:pPr>
        <w:pStyle w:val="Heading1"/>
      </w:pPr>
      <w:r w:rsidRPr="003B44AF">
        <w:t xml:space="preserve">GUIDANCE AND CRITERIA FOR APPLICATIONS FOR </w:t>
      </w:r>
      <w:r w:rsidR="00EC13F4" w:rsidRPr="003B44AF">
        <w:t xml:space="preserve">HUMBER &amp; NORTH YORKSHIRE </w:t>
      </w:r>
      <w:r w:rsidRPr="003B44AF">
        <w:t xml:space="preserve">ICB </w:t>
      </w:r>
      <w:r w:rsidR="00EC13F4" w:rsidRPr="003B44AF">
        <w:t>FORMULARY</w:t>
      </w:r>
    </w:p>
    <w:p w14:paraId="324DA177" w14:textId="071F2EE2" w:rsidR="00EC13F4" w:rsidRDefault="00EC13F4" w:rsidP="00EC13F4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1E633DB4" w14:textId="7791D81C" w:rsidR="00C106C3" w:rsidRDefault="00C106C3" w:rsidP="00C106C3">
      <w:pPr>
        <w:tabs>
          <w:tab w:val="left" w:pos="7938"/>
        </w:tabs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 provides guidance on submitting an application to the HNY ICB formulary, and criteria against which the application will be considered. </w:t>
      </w:r>
    </w:p>
    <w:p w14:paraId="311C9A1E" w14:textId="77777777" w:rsidR="00C106C3" w:rsidRDefault="00C106C3" w:rsidP="00C106C3">
      <w:pPr>
        <w:tabs>
          <w:tab w:val="left" w:pos="7938"/>
        </w:tabs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6BE8EA4A" w14:textId="1A607E5C" w:rsidR="00C106C3" w:rsidRPr="003B44AF" w:rsidRDefault="00C106C3" w:rsidP="003B44AF">
      <w:pPr>
        <w:pStyle w:val="Heading2"/>
      </w:pPr>
      <w:r w:rsidRPr="003B44AF">
        <w:t>Criteria for consideration</w:t>
      </w:r>
    </w:p>
    <w:p w14:paraId="7F0443BC" w14:textId="02B2F23D" w:rsidR="00AD539E" w:rsidRDefault="00AD539E" w:rsidP="00AD539E">
      <w:pPr>
        <w:tabs>
          <w:tab w:val="left" w:pos="7938"/>
        </w:tabs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criteria below determine whether an application will be accepted for consideration by the HNY formulary group. Applications which do not meet these criteria will not be accepted.</w:t>
      </w:r>
    </w:p>
    <w:p w14:paraId="300D7D3E" w14:textId="6C493CF6" w:rsidR="00C106C3" w:rsidRDefault="00C106C3" w:rsidP="003B44AF">
      <w:pPr>
        <w:tabs>
          <w:tab w:val="left" w:pos="7938"/>
        </w:tabs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C106C3">
        <w:rPr>
          <w:rFonts w:ascii="Arial" w:hAnsi="Arial" w:cs="Arial"/>
          <w:sz w:val="24"/>
          <w:szCs w:val="24"/>
        </w:rPr>
        <w:t xml:space="preserve">Points one to three </w:t>
      </w:r>
      <w:r>
        <w:rPr>
          <w:rFonts w:ascii="Arial" w:hAnsi="Arial" w:cs="Arial"/>
          <w:sz w:val="24"/>
          <w:szCs w:val="24"/>
        </w:rPr>
        <w:t>are</w:t>
      </w:r>
      <w:r w:rsidRPr="00C106C3">
        <w:rPr>
          <w:rFonts w:ascii="Arial" w:hAnsi="Arial" w:cs="Arial"/>
          <w:sz w:val="24"/>
          <w:szCs w:val="24"/>
        </w:rPr>
        <w:t xml:space="preserve"> the most applicable for considering </w:t>
      </w:r>
      <w:r w:rsidR="00AD539E">
        <w:rPr>
          <w:rFonts w:ascii="Arial" w:hAnsi="Arial" w:cs="Arial"/>
          <w:sz w:val="24"/>
          <w:szCs w:val="24"/>
        </w:rPr>
        <w:t>the managed entry of new medicines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02F6FD5" w14:textId="6587F28F" w:rsidR="00C106C3" w:rsidRDefault="00C106C3" w:rsidP="003B44AF">
      <w:pPr>
        <w:pStyle w:val="ListParagraph"/>
        <w:numPr>
          <w:ilvl w:val="0"/>
          <w:numId w:val="4"/>
        </w:numPr>
        <w:tabs>
          <w:tab w:val="left" w:pos="7938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106C3">
        <w:rPr>
          <w:rFonts w:ascii="Arial" w:hAnsi="Arial" w:cs="Arial"/>
          <w:sz w:val="24"/>
          <w:szCs w:val="24"/>
        </w:rPr>
        <w:t>The medicine will have a significant clinical and/or financial impact across the health economy of Humber and North Yorkshire, e.g.:</w:t>
      </w:r>
    </w:p>
    <w:p w14:paraId="69B20E3D" w14:textId="77777777" w:rsidR="00C106C3" w:rsidRPr="00C106C3" w:rsidRDefault="00C106C3" w:rsidP="003B44AF">
      <w:pPr>
        <w:pStyle w:val="ListParagraph"/>
        <w:numPr>
          <w:ilvl w:val="1"/>
          <w:numId w:val="4"/>
        </w:numPr>
        <w:tabs>
          <w:tab w:val="left" w:pos="7938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target population is large, or is a significant subset of a larger population</w:t>
      </w:r>
    </w:p>
    <w:p w14:paraId="2B714652" w14:textId="1CA7DE8D" w:rsidR="00C106C3" w:rsidRDefault="003B44AF" w:rsidP="003B44AF">
      <w:pPr>
        <w:pStyle w:val="ListParagraph"/>
        <w:numPr>
          <w:ilvl w:val="1"/>
          <w:numId w:val="4"/>
        </w:numPr>
        <w:tabs>
          <w:tab w:val="left" w:pos="7938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medicine</w:t>
      </w:r>
      <w:r w:rsidR="00C106C3">
        <w:rPr>
          <w:rFonts w:ascii="Arial" w:hAnsi="Arial" w:cs="Arial"/>
          <w:sz w:val="24"/>
          <w:szCs w:val="24"/>
        </w:rPr>
        <w:t xml:space="preserve"> is high cost</w:t>
      </w:r>
    </w:p>
    <w:p w14:paraId="02574A12" w14:textId="2645B74C" w:rsidR="00C106C3" w:rsidRPr="00C106C3" w:rsidRDefault="00C106C3" w:rsidP="003B44AF">
      <w:pPr>
        <w:tabs>
          <w:tab w:val="left" w:pos="7938"/>
        </w:tabs>
        <w:spacing w:before="120" w:after="120" w:line="240" w:lineRule="auto"/>
        <w:ind w:left="364"/>
        <w:contextualSpacing/>
        <w:rPr>
          <w:rFonts w:ascii="Arial" w:hAnsi="Arial" w:cs="Arial"/>
          <w:sz w:val="24"/>
          <w:szCs w:val="24"/>
        </w:rPr>
      </w:pPr>
      <w:r w:rsidRPr="00C106C3">
        <w:rPr>
          <w:rFonts w:ascii="Arial" w:hAnsi="Arial" w:cs="Arial"/>
          <w:sz w:val="24"/>
          <w:szCs w:val="24"/>
        </w:rPr>
        <w:t>The impact</w:t>
      </w:r>
      <w:r w:rsidR="009D734B">
        <w:rPr>
          <w:rFonts w:ascii="Arial" w:hAnsi="Arial" w:cs="Arial"/>
          <w:sz w:val="24"/>
          <w:szCs w:val="24"/>
        </w:rPr>
        <w:t xml:space="preserve"> may apply</w:t>
      </w:r>
      <w:r w:rsidRPr="00C106C3">
        <w:rPr>
          <w:rFonts w:ascii="Arial" w:hAnsi="Arial" w:cs="Arial"/>
          <w:sz w:val="24"/>
          <w:szCs w:val="24"/>
        </w:rPr>
        <w:t xml:space="preserve"> primary or secondary care alone or affect both sectors.</w:t>
      </w:r>
    </w:p>
    <w:p w14:paraId="10FD001D" w14:textId="454A0829" w:rsidR="00C106C3" w:rsidRPr="00C106C3" w:rsidRDefault="00C106C3" w:rsidP="003B44AF">
      <w:pPr>
        <w:pStyle w:val="ListParagraph"/>
        <w:numPr>
          <w:ilvl w:val="0"/>
          <w:numId w:val="4"/>
        </w:numPr>
        <w:tabs>
          <w:tab w:val="left" w:pos="7938"/>
        </w:tabs>
        <w:spacing w:before="24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106C3">
        <w:rPr>
          <w:rFonts w:ascii="Arial" w:hAnsi="Arial" w:cs="Arial"/>
          <w:sz w:val="24"/>
          <w:szCs w:val="24"/>
        </w:rPr>
        <w:t xml:space="preserve">The medicine requires a managed and co-ordinated approach to introduction, e.g. to </w:t>
      </w:r>
      <w:r>
        <w:rPr>
          <w:rFonts w:ascii="Arial" w:hAnsi="Arial" w:cs="Arial"/>
          <w:sz w:val="24"/>
          <w:szCs w:val="24"/>
        </w:rPr>
        <w:t xml:space="preserve">ensure equity of access or manage a safety issue. </w:t>
      </w:r>
    </w:p>
    <w:p w14:paraId="6E7B4CCD" w14:textId="77777777" w:rsidR="00C106C3" w:rsidRDefault="00C106C3" w:rsidP="003B44AF">
      <w:pPr>
        <w:pStyle w:val="ListParagraph"/>
        <w:numPr>
          <w:ilvl w:val="0"/>
          <w:numId w:val="4"/>
        </w:numPr>
        <w:tabs>
          <w:tab w:val="left" w:pos="7938"/>
        </w:tabs>
        <w:spacing w:before="24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106C3">
        <w:rPr>
          <w:rFonts w:ascii="Arial" w:hAnsi="Arial" w:cs="Arial"/>
          <w:sz w:val="24"/>
          <w:szCs w:val="24"/>
        </w:rPr>
        <w:t>The use of a medicine will significantly change the way that services are configured.</w:t>
      </w:r>
    </w:p>
    <w:p w14:paraId="7B231387" w14:textId="25EEFF0C" w:rsidR="00C106C3" w:rsidRDefault="00C106C3" w:rsidP="003B44AF">
      <w:pPr>
        <w:pStyle w:val="ListParagraph"/>
        <w:numPr>
          <w:ilvl w:val="0"/>
          <w:numId w:val="4"/>
        </w:numPr>
        <w:tabs>
          <w:tab w:val="left" w:pos="7938"/>
        </w:tabs>
        <w:spacing w:before="24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106C3">
        <w:rPr>
          <w:rFonts w:ascii="Arial" w:hAnsi="Arial" w:cs="Arial"/>
          <w:sz w:val="24"/>
          <w:szCs w:val="24"/>
        </w:rPr>
        <w:t>The use of the medicine is controversial. For example, the evidence base may not be fully developed and there may be a difference of clinical opinion as to the use of the medicine.</w:t>
      </w:r>
    </w:p>
    <w:p w14:paraId="6651286A" w14:textId="1EB2CBC7" w:rsidR="00C106C3" w:rsidRDefault="00C106C3" w:rsidP="003B44AF">
      <w:pPr>
        <w:pStyle w:val="ListParagraph"/>
        <w:numPr>
          <w:ilvl w:val="0"/>
          <w:numId w:val="4"/>
        </w:numPr>
        <w:tabs>
          <w:tab w:val="left" w:pos="7938"/>
        </w:tabs>
        <w:spacing w:before="24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106C3">
        <w:rPr>
          <w:rFonts w:ascii="Arial" w:hAnsi="Arial" w:cs="Arial"/>
          <w:sz w:val="24"/>
          <w:szCs w:val="24"/>
        </w:rPr>
        <w:t xml:space="preserve">There is evidence of differing approaches to managing access to an existing medicine which is adversely affecting equity of access or consistency of service </w:t>
      </w:r>
      <w:r>
        <w:rPr>
          <w:rFonts w:ascii="Arial" w:hAnsi="Arial" w:cs="Arial"/>
          <w:sz w:val="24"/>
          <w:szCs w:val="24"/>
        </w:rPr>
        <w:t>provision</w:t>
      </w:r>
      <w:r w:rsidRPr="00C106C3">
        <w:rPr>
          <w:rFonts w:ascii="Arial" w:hAnsi="Arial" w:cs="Arial"/>
          <w:sz w:val="24"/>
          <w:szCs w:val="24"/>
        </w:rPr>
        <w:t>.</w:t>
      </w:r>
    </w:p>
    <w:p w14:paraId="08014E3E" w14:textId="4A7FDE80" w:rsidR="00C106C3" w:rsidRDefault="00C106C3" w:rsidP="003B44AF">
      <w:pPr>
        <w:pStyle w:val="ListParagraph"/>
        <w:numPr>
          <w:ilvl w:val="0"/>
          <w:numId w:val="4"/>
        </w:numPr>
        <w:tabs>
          <w:tab w:val="left" w:pos="7938"/>
        </w:tabs>
        <w:spacing w:before="24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106C3">
        <w:rPr>
          <w:rFonts w:ascii="Arial" w:hAnsi="Arial" w:cs="Arial"/>
          <w:sz w:val="24"/>
          <w:szCs w:val="24"/>
        </w:rPr>
        <w:t xml:space="preserve"> </w:t>
      </w:r>
      <w:r w:rsidR="003B44AF">
        <w:rPr>
          <w:rFonts w:ascii="Arial" w:hAnsi="Arial" w:cs="Arial"/>
          <w:sz w:val="24"/>
          <w:szCs w:val="24"/>
        </w:rPr>
        <w:t>N</w:t>
      </w:r>
      <w:r w:rsidRPr="00C106C3">
        <w:rPr>
          <w:rFonts w:ascii="Arial" w:hAnsi="Arial" w:cs="Arial"/>
          <w:sz w:val="24"/>
          <w:szCs w:val="24"/>
        </w:rPr>
        <w:t xml:space="preserve">ICE </w:t>
      </w:r>
      <w:r w:rsidR="003B44AF">
        <w:rPr>
          <w:rFonts w:ascii="Arial" w:hAnsi="Arial" w:cs="Arial"/>
          <w:sz w:val="24"/>
          <w:szCs w:val="24"/>
        </w:rPr>
        <w:t xml:space="preserve">guidance </w:t>
      </w:r>
      <w:r w:rsidRPr="00C106C3">
        <w:rPr>
          <w:rFonts w:ascii="Arial" w:hAnsi="Arial" w:cs="Arial"/>
          <w:sz w:val="24"/>
          <w:szCs w:val="24"/>
        </w:rPr>
        <w:t xml:space="preserve">is either not planned or there will be significant delay before </w:t>
      </w:r>
      <w:r w:rsidR="003B44AF">
        <w:rPr>
          <w:rFonts w:ascii="Arial" w:hAnsi="Arial" w:cs="Arial"/>
          <w:sz w:val="24"/>
          <w:szCs w:val="24"/>
        </w:rPr>
        <w:t xml:space="preserve">it is </w:t>
      </w:r>
      <w:r w:rsidRPr="00C106C3">
        <w:rPr>
          <w:rFonts w:ascii="Arial" w:hAnsi="Arial" w:cs="Arial"/>
          <w:sz w:val="24"/>
          <w:szCs w:val="24"/>
        </w:rPr>
        <w:t>published, i.e. no technology appraisal is anticipated for at least 6 months.</w:t>
      </w:r>
    </w:p>
    <w:p w14:paraId="225E5203" w14:textId="0D214A0B" w:rsidR="00C106C3" w:rsidRDefault="00C106C3" w:rsidP="003B44AF">
      <w:pPr>
        <w:pStyle w:val="ListParagraph"/>
        <w:numPr>
          <w:ilvl w:val="0"/>
          <w:numId w:val="4"/>
        </w:numPr>
        <w:tabs>
          <w:tab w:val="left" w:pos="7938"/>
        </w:tabs>
        <w:spacing w:before="24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106C3">
        <w:rPr>
          <w:rFonts w:ascii="Arial" w:hAnsi="Arial" w:cs="Arial"/>
          <w:sz w:val="24"/>
          <w:szCs w:val="24"/>
        </w:rPr>
        <w:t xml:space="preserve">A drug </w:t>
      </w:r>
      <w:r w:rsidR="003B44AF">
        <w:rPr>
          <w:rFonts w:ascii="Arial" w:hAnsi="Arial" w:cs="Arial"/>
          <w:sz w:val="24"/>
          <w:szCs w:val="24"/>
        </w:rPr>
        <w:t xml:space="preserve">will </w:t>
      </w:r>
      <w:r w:rsidRPr="00C106C3">
        <w:rPr>
          <w:rFonts w:ascii="Arial" w:hAnsi="Arial" w:cs="Arial"/>
          <w:sz w:val="24"/>
          <w:szCs w:val="24"/>
        </w:rPr>
        <w:t>not be considered by this group if it is considered to be an ‘exceptional circumstance’. These cases would be dealt with as currently.</w:t>
      </w:r>
    </w:p>
    <w:p w14:paraId="3B51B13F" w14:textId="0024B06D" w:rsidR="003B44AF" w:rsidRDefault="003B44AF" w:rsidP="003B44AF">
      <w:pPr>
        <w:tabs>
          <w:tab w:val="left" w:pos="7938"/>
        </w:tabs>
        <w:spacing w:before="240" w:after="120" w:line="240" w:lineRule="auto"/>
        <w:rPr>
          <w:rFonts w:ascii="Arial" w:hAnsi="Arial" w:cs="Arial"/>
          <w:sz w:val="24"/>
          <w:szCs w:val="24"/>
        </w:rPr>
      </w:pPr>
    </w:p>
    <w:p w14:paraId="1F081230" w14:textId="77777777" w:rsidR="009C14B5" w:rsidRDefault="009C14B5">
      <w:pP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br w:type="page"/>
      </w:r>
    </w:p>
    <w:p w14:paraId="6ED103AE" w14:textId="286E0023" w:rsidR="003B44AF" w:rsidRDefault="003B44AF" w:rsidP="003B44AF">
      <w:pPr>
        <w:pStyle w:val="Heading2"/>
      </w:pPr>
      <w:r>
        <w:lastRenderedPageBreak/>
        <w:t>Completing an application form</w:t>
      </w:r>
    </w:p>
    <w:p w14:paraId="39797C2C" w14:textId="17FD2B7C" w:rsidR="003B44AF" w:rsidRDefault="003B44AF" w:rsidP="003B44AF">
      <w:pPr>
        <w:tabs>
          <w:tab w:val="left" w:pos="7938"/>
        </w:tabs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3B44AF">
        <w:rPr>
          <w:rFonts w:ascii="Arial" w:hAnsi="Arial" w:cs="Arial"/>
          <w:sz w:val="24"/>
          <w:szCs w:val="24"/>
        </w:rPr>
        <w:t>Application fo</w:t>
      </w:r>
      <w:r>
        <w:rPr>
          <w:rFonts w:ascii="Arial" w:hAnsi="Arial" w:cs="Arial"/>
          <w:sz w:val="24"/>
          <w:szCs w:val="24"/>
        </w:rPr>
        <w:t xml:space="preserve">rms are available from </w:t>
      </w:r>
      <w:hyperlink r:id="rId7" w:history="1">
        <w:r w:rsidR="006F39A9" w:rsidRPr="0070704E">
          <w:rPr>
            <w:rStyle w:val="Hyperlink"/>
            <w:rFonts w:ascii="Arial" w:hAnsi="Arial" w:cs="Arial"/>
            <w:sz w:val="24"/>
            <w:szCs w:val="24"/>
          </w:rPr>
          <w:t>https://humberandnorthyorkshire.org.uk/area-prescribing-committee-apc-documents-page/</w:t>
        </w:r>
      </w:hyperlink>
      <w:r w:rsidR="006F39A9">
        <w:rPr>
          <w:rFonts w:ascii="Arial" w:hAnsi="Arial" w:cs="Arial"/>
          <w:sz w:val="24"/>
          <w:szCs w:val="24"/>
        </w:rPr>
        <w:t xml:space="preserve"> </w:t>
      </w:r>
      <w:r w:rsidR="0078714E">
        <w:rPr>
          <w:rFonts w:ascii="Arial" w:hAnsi="Arial" w:cs="Arial"/>
          <w:sz w:val="24"/>
          <w:szCs w:val="24"/>
        </w:rPr>
        <w:t>and completed forms should be returned to</w:t>
      </w:r>
      <w:r w:rsidR="002C702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B4C32">
          <w:rPr>
            <w:rStyle w:val="Hyperlink"/>
            <w:rFonts w:ascii="Arial" w:hAnsi="Arial" w:cs="Arial"/>
            <w:sz w:val="24"/>
            <w:szCs w:val="24"/>
          </w:rPr>
          <w:t>hnyicb.mfg@nhs.net</w:t>
        </w:r>
      </w:hyperlink>
      <w:r w:rsidR="0078714E">
        <w:rPr>
          <w:rFonts w:ascii="Arial" w:hAnsi="Arial" w:cs="Arial"/>
          <w:sz w:val="24"/>
          <w:szCs w:val="24"/>
        </w:rPr>
        <w:t>.</w:t>
      </w:r>
    </w:p>
    <w:p w14:paraId="7829C678" w14:textId="77777777" w:rsidR="0078714E" w:rsidRDefault="0078714E" w:rsidP="003B44AF">
      <w:pPr>
        <w:tabs>
          <w:tab w:val="left" w:pos="7938"/>
        </w:tabs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6ED9414E" w14:textId="38B0F813" w:rsidR="003B44AF" w:rsidRDefault="003B44AF" w:rsidP="003B44AF">
      <w:pPr>
        <w:tabs>
          <w:tab w:val="left" w:pos="7938"/>
        </w:tabs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3B44AF">
        <w:rPr>
          <w:rFonts w:ascii="Arial" w:hAnsi="Arial" w:cs="Arial"/>
          <w:sz w:val="24"/>
          <w:szCs w:val="24"/>
        </w:rPr>
        <w:t>Please complete all sections clearly. Any missing or illegible information may delay the application</w:t>
      </w:r>
      <w:r>
        <w:rPr>
          <w:rFonts w:ascii="Arial" w:hAnsi="Arial" w:cs="Arial"/>
          <w:sz w:val="24"/>
          <w:szCs w:val="24"/>
        </w:rPr>
        <w:t xml:space="preserve">. Ensure that you have: </w:t>
      </w:r>
    </w:p>
    <w:p w14:paraId="5D63576B" w14:textId="78A9EA85" w:rsidR="003B44AF" w:rsidRDefault="003B44AF" w:rsidP="003B44AF">
      <w:pPr>
        <w:pStyle w:val="ListParagraph"/>
        <w:numPr>
          <w:ilvl w:val="0"/>
          <w:numId w:val="6"/>
        </w:numPr>
        <w:tabs>
          <w:tab w:val="left" w:pos="7938"/>
        </w:tabs>
        <w:spacing w:before="6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B44AF">
        <w:rPr>
          <w:rFonts w:ascii="Arial" w:hAnsi="Arial" w:cs="Arial"/>
          <w:sz w:val="24"/>
          <w:szCs w:val="24"/>
        </w:rPr>
        <w:t>Provided the rationale and evidence for the proposal, attaching any papers supporting the proposal to the form</w:t>
      </w:r>
    </w:p>
    <w:p w14:paraId="2996E68E" w14:textId="129ED45A" w:rsidR="003B44AF" w:rsidRDefault="003B44AF" w:rsidP="003B44AF">
      <w:pPr>
        <w:pStyle w:val="ListParagraph"/>
        <w:numPr>
          <w:ilvl w:val="0"/>
          <w:numId w:val="6"/>
        </w:numPr>
        <w:tabs>
          <w:tab w:val="left" w:pos="7938"/>
        </w:tabs>
        <w:spacing w:before="6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B44AF">
        <w:rPr>
          <w:rFonts w:ascii="Arial" w:hAnsi="Arial" w:cs="Arial"/>
          <w:sz w:val="24"/>
          <w:szCs w:val="24"/>
        </w:rPr>
        <w:t>Consider</w:t>
      </w:r>
      <w:r w:rsidR="0078714E">
        <w:rPr>
          <w:rFonts w:ascii="Arial" w:hAnsi="Arial" w:cs="Arial"/>
          <w:sz w:val="24"/>
          <w:szCs w:val="24"/>
        </w:rPr>
        <w:t>ed</w:t>
      </w:r>
      <w:r w:rsidRPr="003B44AF">
        <w:rPr>
          <w:rFonts w:ascii="Arial" w:hAnsi="Arial" w:cs="Arial"/>
          <w:sz w:val="24"/>
          <w:szCs w:val="24"/>
        </w:rPr>
        <w:t xml:space="preserve"> the formulary implications and place in therapy</w:t>
      </w:r>
      <w:r w:rsidR="0078714E">
        <w:rPr>
          <w:rFonts w:ascii="Arial" w:hAnsi="Arial" w:cs="Arial"/>
          <w:sz w:val="24"/>
          <w:szCs w:val="24"/>
        </w:rPr>
        <w:t xml:space="preserve"> of the medicine, including a proposed RAG status</w:t>
      </w:r>
      <w:r w:rsidRPr="003B44AF">
        <w:rPr>
          <w:rFonts w:ascii="Arial" w:hAnsi="Arial" w:cs="Arial"/>
          <w:sz w:val="24"/>
          <w:szCs w:val="24"/>
        </w:rPr>
        <w:t>. If there are implications for shared care then</w:t>
      </w:r>
      <w:r>
        <w:rPr>
          <w:rFonts w:ascii="Arial" w:hAnsi="Arial" w:cs="Arial"/>
          <w:sz w:val="24"/>
          <w:szCs w:val="24"/>
        </w:rPr>
        <w:t xml:space="preserve"> </w:t>
      </w:r>
      <w:r w:rsidR="0078714E">
        <w:rPr>
          <w:rFonts w:ascii="Arial" w:hAnsi="Arial" w:cs="Arial"/>
          <w:sz w:val="24"/>
          <w:szCs w:val="24"/>
        </w:rPr>
        <w:t xml:space="preserve">these should be clearly outlined. </w:t>
      </w:r>
    </w:p>
    <w:p w14:paraId="090DA1D5" w14:textId="444A7F69" w:rsidR="0078714E" w:rsidRDefault="0078714E" w:rsidP="003B44AF">
      <w:pPr>
        <w:pStyle w:val="ListParagraph"/>
        <w:numPr>
          <w:ilvl w:val="0"/>
          <w:numId w:val="6"/>
        </w:numPr>
        <w:tabs>
          <w:tab w:val="left" w:pos="7938"/>
        </w:tabs>
        <w:spacing w:before="6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the completed proposal (electronic signatures are accepted), with a supporting signature from clinical or medical director, medicines optimisation lead, or other person with a similar position. </w:t>
      </w:r>
    </w:p>
    <w:p w14:paraId="2A24470D" w14:textId="58D09EF8" w:rsidR="0078714E" w:rsidRDefault="0078714E" w:rsidP="0078714E">
      <w:pPr>
        <w:tabs>
          <w:tab w:val="left" w:pos="7938"/>
        </w:tabs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78714E">
        <w:rPr>
          <w:rFonts w:ascii="Arial" w:hAnsi="Arial" w:cs="Arial"/>
          <w:sz w:val="24"/>
          <w:szCs w:val="24"/>
        </w:rPr>
        <w:t xml:space="preserve">All paperwork must be submitted at least two weeks (14 </w:t>
      </w:r>
      <w:r>
        <w:rPr>
          <w:rFonts w:ascii="Arial" w:hAnsi="Arial" w:cs="Arial"/>
          <w:sz w:val="24"/>
          <w:szCs w:val="24"/>
        </w:rPr>
        <w:t xml:space="preserve">calendar </w:t>
      </w:r>
      <w:r w:rsidRPr="0078714E">
        <w:rPr>
          <w:rFonts w:ascii="Arial" w:hAnsi="Arial" w:cs="Arial"/>
          <w:sz w:val="24"/>
          <w:szCs w:val="24"/>
        </w:rPr>
        <w:t xml:space="preserve">days) prior to the next meeting for consideration at that meeting. However the group cannot guarantee that the submission will be </w:t>
      </w:r>
      <w:r>
        <w:rPr>
          <w:rFonts w:ascii="Arial" w:hAnsi="Arial" w:cs="Arial"/>
          <w:sz w:val="24"/>
          <w:szCs w:val="24"/>
        </w:rPr>
        <w:t>considered at the next meeting</w:t>
      </w:r>
      <w:r w:rsidRPr="0078714E">
        <w:rPr>
          <w:rFonts w:ascii="Arial" w:hAnsi="Arial" w:cs="Arial"/>
          <w:sz w:val="24"/>
          <w:szCs w:val="24"/>
        </w:rPr>
        <w:t xml:space="preserve">, due to existing work plans. The group usually meet every </w:t>
      </w:r>
      <w:r>
        <w:rPr>
          <w:rFonts w:ascii="Arial" w:hAnsi="Arial" w:cs="Arial"/>
          <w:sz w:val="24"/>
          <w:szCs w:val="24"/>
        </w:rPr>
        <w:t xml:space="preserve">first Monday </w:t>
      </w:r>
      <w:r w:rsidRPr="0078714E">
        <w:rPr>
          <w:rFonts w:ascii="Arial" w:hAnsi="Arial" w:cs="Arial"/>
          <w:sz w:val="24"/>
          <w:szCs w:val="24"/>
        </w:rPr>
        <w:t>of each month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A90EA2A" w14:textId="0843484C" w:rsidR="003B44AF" w:rsidRPr="003B44AF" w:rsidRDefault="0078714E" w:rsidP="009C14B5">
      <w:pPr>
        <w:tabs>
          <w:tab w:val="left" w:pos="7938"/>
        </w:tabs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78714E">
        <w:rPr>
          <w:rFonts w:ascii="Arial" w:hAnsi="Arial" w:cs="Arial"/>
          <w:sz w:val="24"/>
          <w:szCs w:val="24"/>
        </w:rPr>
        <w:t>The proposal will be considered by the group and a provisional recommendation will be made</w:t>
      </w:r>
      <w:r>
        <w:rPr>
          <w:rFonts w:ascii="Arial" w:hAnsi="Arial" w:cs="Arial"/>
          <w:sz w:val="24"/>
          <w:szCs w:val="24"/>
        </w:rPr>
        <w:t xml:space="preserve">, which will then be opened for ICB-wide consultation. </w:t>
      </w:r>
    </w:p>
    <w:sectPr w:rsidR="003B44AF" w:rsidRPr="003B44AF" w:rsidSect="009C14B5">
      <w:headerReference w:type="default" r:id="rId9"/>
      <w:footerReference w:type="default" r:id="rId10"/>
      <w:pgSz w:w="11906" w:h="16838"/>
      <w:pgMar w:top="1418" w:right="1440" w:bottom="993" w:left="1440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1C4D" w14:textId="77777777" w:rsidR="008A15B4" w:rsidRDefault="008A15B4" w:rsidP="000D78C8">
      <w:pPr>
        <w:spacing w:after="0" w:line="240" w:lineRule="auto"/>
      </w:pPr>
      <w:r>
        <w:separator/>
      </w:r>
    </w:p>
  </w:endnote>
  <w:endnote w:type="continuationSeparator" w:id="0">
    <w:p w14:paraId="4150BC64" w14:textId="77777777" w:rsidR="008A15B4" w:rsidRDefault="008A15B4" w:rsidP="000D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179A" w14:textId="087D8101" w:rsidR="000D78C8" w:rsidRDefault="00071559">
    <w:pPr>
      <w:pStyle w:val="Footer"/>
      <w:rPr>
        <w:rFonts w:ascii="Arial" w:hAnsi="Arial" w:cs="Arial"/>
        <w:noProof/>
        <w:sz w:val="20"/>
      </w:rPr>
    </w:pPr>
    <w:r>
      <w:rPr>
        <w:rFonts w:ascii="Arial" w:hAnsi="Arial" w:cs="Arial"/>
        <w:sz w:val="20"/>
      </w:rPr>
      <w:t xml:space="preserve">June </w:t>
    </w:r>
    <w:r w:rsidR="006400AF">
      <w:rPr>
        <w:rFonts w:ascii="Arial" w:hAnsi="Arial" w:cs="Arial"/>
        <w:sz w:val="20"/>
      </w:rPr>
      <w:t>202</w:t>
    </w:r>
    <w:r>
      <w:rPr>
        <w:rFonts w:ascii="Arial" w:hAnsi="Arial" w:cs="Arial"/>
        <w:sz w:val="20"/>
      </w:rPr>
      <w:t>5</w:t>
    </w:r>
    <w:r w:rsidR="006400AF">
      <w:rPr>
        <w:rFonts w:ascii="Arial" w:hAnsi="Arial" w:cs="Arial"/>
        <w:sz w:val="20"/>
      </w:rPr>
      <w:tab/>
    </w:r>
    <w:r w:rsidR="006400AF">
      <w:rPr>
        <w:rFonts w:ascii="Arial" w:hAnsi="Arial" w:cs="Arial"/>
        <w:sz w:val="20"/>
      </w:rPr>
      <w:tab/>
    </w:r>
    <w:r w:rsidR="006400AF" w:rsidRPr="006400AF">
      <w:rPr>
        <w:rFonts w:ascii="Arial" w:hAnsi="Arial" w:cs="Arial"/>
        <w:sz w:val="20"/>
      </w:rPr>
      <w:fldChar w:fldCharType="begin"/>
    </w:r>
    <w:r w:rsidR="006400AF" w:rsidRPr="006400AF">
      <w:rPr>
        <w:rFonts w:ascii="Arial" w:hAnsi="Arial" w:cs="Arial"/>
        <w:sz w:val="20"/>
      </w:rPr>
      <w:instrText xml:space="preserve"> PAGE   \* MERGEFORMAT </w:instrText>
    </w:r>
    <w:r w:rsidR="006400AF" w:rsidRPr="006400AF">
      <w:rPr>
        <w:rFonts w:ascii="Arial" w:hAnsi="Arial" w:cs="Arial"/>
        <w:sz w:val="20"/>
      </w:rPr>
      <w:fldChar w:fldCharType="separate"/>
    </w:r>
    <w:r w:rsidR="00521294">
      <w:rPr>
        <w:rFonts w:ascii="Arial" w:hAnsi="Arial" w:cs="Arial"/>
        <w:noProof/>
        <w:sz w:val="20"/>
      </w:rPr>
      <w:t>2</w:t>
    </w:r>
    <w:r w:rsidR="006400AF" w:rsidRPr="006400AF">
      <w:rPr>
        <w:rFonts w:ascii="Arial" w:hAnsi="Arial" w:cs="Arial"/>
        <w:noProof/>
        <w:sz w:val="20"/>
      </w:rPr>
      <w:fldChar w:fldCharType="end"/>
    </w:r>
  </w:p>
  <w:p w14:paraId="3E3FD08A" w14:textId="6A19F929" w:rsidR="006515BF" w:rsidRPr="000D78C8" w:rsidRDefault="006F39A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t>V1</w:t>
    </w:r>
    <w:r w:rsidR="006515BF">
      <w:rPr>
        <w:rFonts w:ascii="Arial" w:hAnsi="Arial" w:cs="Arial"/>
        <w:noProof/>
        <w:sz w:val="20"/>
      </w:rPr>
      <w:t>.</w:t>
    </w:r>
    <w:r w:rsidR="00071559">
      <w:rPr>
        <w:rFonts w:ascii="Arial" w:hAnsi="Arial" w:cs="Arial"/>
        <w:noProof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BC13" w14:textId="77777777" w:rsidR="008A15B4" w:rsidRDefault="008A15B4" w:rsidP="000D78C8">
      <w:pPr>
        <w:spacing w:after="0" w:line="240" w:lineRule="auto"/>
      </w:pPr>
      <w:r>
        <w:separator/>
      </w:r>
    </w:p>
  </w:footnote>
  <w:footnote w:type="continuationSeparator" w:id="0">
    <w:p w14:paraId="380CFBB1" w14:textId="77777777" w:rsidR="008A15B4" w:rsidRDefault="008A15B4" w:rsidP="000D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DAE9" w14:textId="7FF63B97" w:rsidR="00EC13F4" w:rsidRDefault="00EC13F4">
    <w:pPr>
      <w:pStyle w:val="Header"/>
    </w:pPr>
    <w:r w:rsidRPr="00EC13F4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F02A598" wp14:editId="34AE5DB8">
          <wp:simplePos x="0" y="0"/>
          <wp:positionH relativeFrom="column">
            <wp:posOffset>5057775</wp:posOffset>
          </wp:positionH>
          <wp:positionV relativeFrom="paragraph">
            <wp:posOffset>-123825</wp:posOffset>
          </wp:positionV>
          <wp:extent cx="1259840" cy="766445"/>
          <wp:effectExtent l="0" t="0" r="0" b="0"/>
          <wp:wrapTight wrapText="bothSides">
            <wp:wrapPolygon edited="0">
              <wp:start x="0" y="0"/>
              <wp:lineTo x="0" y="20938"/>
              <wp:lineTo x="21230" y="20938"/>
              <wp:lineTo x="212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13F4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FCCCA80" wp14:editId="5BA046F2">
          <wp:simplePos x="0" y="0"/>
          <wp:positionH relativeFrom="column">
            <wp:posOffset>-647700</wp:posOffset>
          </wp:positionH>
          <wp:positionV relativeFrom="paragraph">
            <wp:posOffset>-80645</wp:posOffset>
          </wp:positionV>
          <wp:extent cx="2209800" cy="466725"/>
          <wp:effectExtent l="0" t="0" r="0" b="9525"/>
          <wp:wrapTight wrapText="bothSides">
            <wp:wrapPolygon edited="0">
              <wp:start x="0" y="0"/>
              <wp:lineTo x="0" y="21159"/>
              <wp:lineTo x="21414" y="21159"/>
              <wp:lineTo x="214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4" t="23001" r="11348" b="28000"/>
                  <a:stretch/>
                </pic:blipFill>
                <pic:spPr bwMode="auto">
                  <a:xfrm>
                    <a:off x="0" y="0"/>
                    <a:ext cx="220980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956"/>
    <w:multiLevelType w:val="hybridMultilevel"/>
    <w:tmpl w:val="C248C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62B"/>
    <w:multiLevelType w:val="hybridMultilevel"/>
    <w:tmpl w:val="264EE4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0158E"/>
    <w:multiLevelType w:val="hybridMultilevel"/>
    <w:tmpl w:val="38F2F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A5D30"/>
    <w:multiLevelType w:val="hybridMultilevel"/>
    <w:tmpl w:val="87761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102CE"/>
    <w:multiLevelType w:val="hybridMultilevel"/>
    <w:tmpl w:val="ACE66E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F371E"/>
    <w:multiLevelType w:val="hybridMultilevel"/>
    <w:tmpl w:val="6B60B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87932">
    <w:abstractNumId w:val="2"/>
  </w:num>
  <w:num w:numId="2" w16cid:durableId="951286474">
    <w:abstractNumId w:val="3"/>
  </w:num>
  <w:num w:numId="3" w16cid:durableId="1523207710">
    <w:abstractNumId w:val="0"/>
  </w:num>
  <w:num w:numId="4" w16cid:durableId="618725967">
    <w:abstractNumId w:val="1"/>
  </w:num>
  <w:num w:numId="5" w16cid:durableId="1569262500">
    <w:abstractNumId w:val="5"/>
  </w:num>
  <w:num w:numId="6" w16cid:durableId="46146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72"/>
    <w:rsid w:val="00023C76"/>
    <w:rsid w:val="00031100"/>
    <w:rsid w:val="00071559"/>
    <w:rsid w:val="00096069"/>
    <w:rsid w:val="000B4C32"/>
    <w:rsid w:val="000D78C8"/>
    <w:rsid w:val="00157336"/>
    <w:rsid w:val="0016167B"/>
    <w:rsid w:val="001D6BE4"/>
    <w:rsid w:val="001E6299"/>
    <w:rsid w:val="001F4CA5"/>
    <w:rsid w:val="00243AA9"/>
    <w:rsid w:val="002707FF"/>
    <w:rsid w:val="002C7021"/>
    <w:rsid w:val="002E469E"/>
    <w:rsid w:val="002E7C71"/>
    <w:rsid w:val="00360250"/>
    <w:rsid w:val="00373B72"/>
    <w:rsid w:val="003B44AF"/>
    <w:rsid w:val="00451991"/>
    <w:rsid w:val="00476499"/>
    <w:rsid w:val="004A7D75"/>
    <w:rsid w:val="004E2989"/>
    <w:rsid w:val="004F5C49"/>
    <w:rsid w:val="00502538"/>
    <w:rsid w:val="00505760"/>
    <w:rsid w:val="00515E75"/>
    <w:rsid w:val="00521294"/>
    <w:rsid w:val="005346B8"/>
    <w:rsid w:val="00553929"/>
    <w:rsid w:val="00572F54"/>
    <w:rsid w:val="005C1EC7"/>
    <w:rsid w:val="006400AF"/>
    <w:rsid w:val="006515BF"/>
    <w:rsid w:val="006548E0"/>
    <w:rsid w:val="00665273"/>
    <w:rsid w:val="006C6E9E"/>
    <w:rsid w:val="006F39A9"/>
    <w:rsid w:val="00705AC1"/>
    <w:rsid w:val="007478E0"/>
    <w:rsid w:val="0078714E"/>
    <w:rsid w:val="007A1CA3"/>
    <w:rsid w:val="007C2374"/>
    <w:rsid w:val="0080238C"/>
    <w:rsid w:val="00804321"/>
    <w:rsid w:val="008A12AA"/>
    <w:rsid w:val="008A15B4"/>
    <w:rsid w:val="009028BF"/>
    <w:rsid w:val="009A67E2"/>
    <w:rsid w:val="009B06EA"/>
    <w:rsid w:val="009C14B5"/>
    <w:rsid w:val="009D734B"/>
    <w:rsid w:val="009F3BCB"/>
    <w:rsid w:val="00A04949"/>
    <w:rsid w:val="00A476DE"/>
    <w:rsid w:val="00A71A4A"/>
    <w:rsid w:val="00A9033B"/>
    <w:rsid w:val="00AD539E"/>
    <w:rsid w:val="00B155E0"/>
    <w:rsid w:val="00B237CB"/>
    <w:rsid w:val="00B54377"/>
    <w:rsid w:val="00B706D7"/>
    <w:rsid w:val="00BA5C38"/>
    <w:rsid w:val="00C106C3"/>
    <w:rsid w:val="00C124E2"/>
    <w:rsid w:val="00C339A9"/>
    <w:rsid w:val="00C370F4"/>
    <w:rsid w:val="00CA2A43"/>
    <w:rsid w:val="00CC21A2"/>
    <w:rsid w:val="00CF3AD1"/>
    <w:rsid w:val="00D270B3"/>
    <w:rsid w:val="00D6675E"/>
    <w:rsid w:val="00D72966"/>
    <w:rsid w:val="00D770DB"/>
    <w:rsid w:val="00E832A9"/>
    <w:rsid w:val="00E847DA"/>
    <w:rsid w:val="00EC13F4"/>
    <w:rsid w:val="00EC4F30"/>
    <w:rsid w:val="00EE5E49"/>
    <w:rsid w:val="00F02571"/>
    <w:rsid w:val="00F06FEB"/>
    <w:rsid w:val="00F853AA"/>
    <w:rsid w:val="00FA06A4"/>
    <w:rsid w:val="00FD0797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256DBA"/>
  <w15:docId w15:val="{2793BA6A-E0DF-4620-AC23-D631CD84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AF"/>
  </w:style>
  <w:style w:type="paragraph" w:styleId="Heading1">
    <w:name w:val="heading 1"/>
    <w:basedOn w:val="Normal"/>
    <w:next w:val="Normal"/>
    <w:link w:val="Heading1Char"/>
    <w:uiPriority w:val="9"/>
    <w:qFormat/>
    <w:rsid w:val="003B44AF"/>
    <w:pPr>
      <w:tabs>
        <w:tab w:val="left" w:pos="7938"/>
      </w:tabs>
      <w:spacing w:after="0" w:line="240" w:lineRule="auto"/>
      <w:jc w:val="center"/>
      <w:outlineLvl w:val="0"/>
    </w:pPr>
    <w:rPr>
      <w:rFonts w:ascii="Arial" w:hAnsi="Arial" w:cs="Arial"/>
      <w:b/>
      <w:color w:val="17365D" w:themeColor="text2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4AF"/>
    <w:pPr>
      <w:tabs>
        <w:tab w:val="left" w:pos="7938"/>
      </w:tabs>
      <w:spacing w:before="60" w:after="60" w:line="240" w:lineRule="auto"/>
      <w:outlineLvl w:val="1"/>
    </w:pPr>
    <w:rPr>
      <w:rFonts w:ascii="Arial" w:hAnsi="Arial" w:cs="Arial"/>
      <w:b/>
      <w:color w:val="17365D" w:themeColor="text2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8C8"/>
  </w:style>
  <w:style w:type="paragraph" w:styleId="Footer">
    <w:name w:val="footer"/>
    <w:basedOn w:val="Normal"/>
    <w:link w:val="FooterChar"/>
    <w:uiPriority w:val="99"/>
    <w:unhideWhenUsed/>
    <w:rsid w:val="000D7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8C8"/>
  </w:style>
  <w:style w:type="table" w:styleId="TableGrid">
    <w:name w:val="Table Grid"/>
    <w:basedOn w:val="TableNormal"/>
    <w:uiPriority w:val="59"/>
    <w:rsid w:val="00D7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5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4AF"/>
    <w:rPr>
      <w:rFonts w:ascii="Arial" w:hAnsi="Arial" w:cs="Arial"/>
      <w:b/>
      <w:color w:val="17365D" w:themeColor="text2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B44AF"/>
    <w:rPr>
      <w:rFonts w:ascii="Arial" w:hAnsi="Arial" w:cs="Arial"/>
      <w:b/>
      <w:color w:val="17365D" w:themeColor="text2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0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yicb.mfg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mberandnorthyorkshire.org.uk/area-prescribing-committee-apc-documents-pa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Kane, Nancy</dc:creator>
  <cp:lastModifiedBy>KANE, Nancy (THE NEWCASTLE UPON TYNE HOSPITALS NHS FOUNDATION TRUST)</cp:lastModifiedBy>
  <cp:revision>4</cp:revision>
  <cp:lastPrinted>2018-11-22T16:03:00Z</cp:lastPrinted>
  <dcterms:created xsi:type="dcterms:W3CDTF">2025-06-23T14:36:00Z</dcterms:created>
  <dcterms:modified xsi:type="dcterms:W3CDTF">2025-06-23T14:42:00Z</dcterms:modified>
</cp:coreProperties>
</file>