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5C52" w14:textId="083EAF97" w:rsidR="007030B7" w:rsidRDefault="006E26D1" w:rsidP="007909C3">
      <w:pPr>
        <w:pStyle w:val="BodyText"/>
      </w:pPr>
      <w:r w:rsidRPr="00EC13F4">
        <w:rPr>
          <w:noProof/>
          <w:lang w:eastAsia="en-GB"/>
        </w:rPr>
        <w:drawing>
          <wp:anchor distT="0" distB="0" distL="114300" distR="114300" simplePos="0" relativeHeight="251662336" behindDoc="1" locked="0" layoutInCell="1" allowOverlap="1" wp14:anchorId="19741DDF" wp14:editId="7531D5E9">
            <wp:simplePos x="0" y="0"/>
            <wp:positionH relativeFrom="column">
              <wp:posOffset>-140335</wp:posOffset>
            </wp:positionH>
            <wp:positionV relativeFrom="paragraph">
              <wp:posOffset>0</wp:posOffset>
            </wp:positionV>
            <wp:extent cx="2209800" cy="466725"/>
            <wp:effectExtent l="0" t="0" r="0" b="9525"/>
            <wp:wrapTight wrapText="bothSides">
              <wp:wrapPolygon edited="0">
                <wp:start x="0" y="0"/>
                <wp:lineTo x="0" y="21159"/>
                <wp:lineTo x="21414" y="21159"/>
                <wp:lineTo x="21414" y="0"/>
                <wp:lineTo x="0" y="0"/>
              </wp:wrapPolygon>
            </wp:wrapTight>
            <wp:docPr id="986309439" name="Picture 9863094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09439" name="Picture 986309439" descr="A close-up of a logo&#10;&#10;Description automatically generated"/>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74E5E3DB" wp14:editId="74FB1C3C">
                <wp:simplePos x="0" y="0"/>
                <wp:positionH relativeFrom="column">
                  <wp:posOffset>1082675</wp:posOffset>
                </wp:positionH>
                <wp:positionV relativeFrom="paragraph">
                  <wp:posOffset>308610</wp:posOffset>
                </wp:positionV>
                <wp:extent cx="83566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0" cy="685800"/>
                        </a:xfrm>
                        <a:prstGeom prst="rect">
                          <a:avLst/>
                        </a:prstGeom>
                        <a:noFill/>
                        <a:ln w="9525">
                          <a:noFill/>
                          <a:miter lim="800000"/>
                          <a:headEnd/>
                          <a:tailEnd/>
                        </a:ln>
                      </wps:spPr>
                      <wps:txb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E5E3DB" id="_x0000_t202" coordsize="21600,21600" o:spt="202" path="m,l,21600r21600,l21600,xe">
                <v:stroke joinstyle="miter"/>
                <v:path gradientshapeok="t" o:connecttype="rect"/>
              </v:shapetype>
              <v:shape id="Text Box 2" o:spid="_x0000_s1026" type="#_x0000_t202" style="position:absolute;margin-left:85.25pt;margin-top:24.3pt;width:658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" filled="f" stroked="f">
                <v:textbo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v:textbox>
                <w10:wrap type="square"/>
              </v:shape>
            </w:pict>
          </mc:Fallback>
        </mc:AlternateContent>
      </w:r>
      <w:r w:rsidRPr="00EC13F4">
        <w:rPr>
          <w:noProof/>
          <w:lang w:eastAsia="en-GB"/>
        </w:rPr>
        <w:drawing>
          <wp:anchor distT="0" distB="0" distL="114300" distR="114300" simplePos="0" relativeHeight="251661312" behindDoc="1" locked="0" layoutInCell="1" allowOverlap="1" wp14:anchorId="18B67ECE" wp14:editId="7CB0FB35">
            <wp:simplePos x="0" y="0"/>
            <wp:positionH relativeFrom="column">
              <wp:posOffset>8972550</wp:posOffset>
            </wp:positionH>
            <wp:positionV relativeFrom="paragraph">
              <wp:posOffset>0</wp:posOffset>
            </wp:positionV>
            <wp:extent cx="1259840" cy="766445"/>
            <wp:effectExtent l="0" t="0" r="0" b="0"/>
            <wp:wrapTight wrapText="bothSides">
              <wp:wrapPolygon edited="0">
                <wp:start x="0" y="0"/>
                <wp:lineTo x="0" y="20938"/>
                <wp:lineTo x="21230" y="20938"/>
                <wp:lineTo x="21230" y="0"/>
                <wp:lineTo x="0" y="0"/>
              </wp:wrapPolygon>
            </wp:wrapTight>
            <wp:docPr id="1580305060" name="Picture 15803050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05060" name="Picture 1580305060"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p>
    <w:p w14:paraId="39EEFB36" w14:textId="77777777" w:rsidR="007030B7" w:rsidRDefault="007030B7" w:rsidP="007909C3">
      <w:pPr>
        <w:pStyle w:val="BodyText"/>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7933"/>
        <w:gridCol w:w="7512"/>
      </w:tblGrid>
      <w:tr w:rsidR="00CF38AF" w:rsidRPr="00096427" w14:paraId="4A0106AA" w14:textId="77777777" w:rsidTr="00792C42">
        <w:trPr>
          <w:cantSplit/>
          <w:tblHeader/>
        </w:trPr>
        <w:tc>
          <w:tcPr>
            <w:tcW w:w="2568" w:type="pct"/>
            <w:shd w:val="clear" w:color="auto" w:fill="C9ECFB"/>
          </w:tcPr>
          <w:p w14:paraId="761B604A" w14:textId="0BB5FE9E" w:rsidR="00CF38AF" w:rsidRPr="00CF38AF" w:rsidRDefault="00121DDE" w:rsidP="00773CBE">
            <w:pPr>
              <w:tabs>
                <w:tab w:val="clear" w:pos="975"/>
              </w:tabs>
              <w:rPr>
                <w:rFonts w:ascii="Helvetica" w:eastAsia="Calibri" w:hAnsi="Helvetica" w:cs="Helvetica"/>
                <w:b/>
                <w:sz w:val="22"/>
                <w:szCs w:val="22"/>
              </w:rPr>
            </w:pPr>
            <w:r>
              <w:rPr>
                <w:rFonts w:ascii="Helvetica" w:eastAsia="Calibri" w:hAnsi="Helvetica" w:cs="Helvetica"/>
                <w:b/>
                <w:sz w:val="22"/>
                <w:szCs w:val="22"/>
              </w:rPr>
              <w:t>Recommendations</w:t>
            </w:r>
            <w:r w:rsidR="00CF38AF" w:rsidRPr="00CF38AF">
              <w:rPr>
                <w:rFonts w:ascii="Helvetica" w:eastAsia="Calibri" w:hAnsi="Helvetica" w:cs="Helvetica"/>
                <w:b/>
                <w:sz w:val="22"/>
                <w:szCs w:val="22"/>
              </w:rPr>
              <w:t xml:space="preserve"> made by</w:t>
            </w:r>
            <w:r>
              <w:rPr>
                <w:rFonts w:ascii="Helvetica" w:eastAsia="Calibri" w:hAnsi="Helvetica" w:cs="Helvetica"/>
                <w:b/>
                <w:sz w:val="22"/>
                <w:szCs w:val="22"/>
              </w:rPr>
              <w:t xml:space="preserve"> </w:t>
            </w:r>
            <w:r w:rsidR="00787BA5">
              <w:rPr>
                <w:rFonts w:ascii="Helvetica" w:eastAsia="Calibri" w:hAnsi="Helvetica" w:cs="Helvetica"/>
                <w:b/>
                <w:color w:val="000000"/>
                <w:sz w:val="22"/>
                <w:szCs w:val="22"/>
              </w:rPr>
              <w:t>the Medicines, Formulary, and Guidelines Group</w:t>
            </w:r>
            <w:r>
              <w:rPr>
                <w:rFonts w:ascii="Helvetica" w:eastAsia="Calibri" w:hAnsi="Helvetica" w:cs="Helvetica"/>
                <w:b/>
                <w:sz w:val="22"/>
                <w:szCs w:val="22"/>
              </w:rPr>
              <w:t xml:space="preserve"> a</w:t>
            </w:r>
            <w:r w:rsidRPr="00CF38AF">
              <w:rPr>
                <w:rFonts w:ascii="Helvetica" w:eastAsia="Calibri" w:hAnsi="Helvetica" w:cs="Helvetica"/>
                <w:b/>
                <w:sz w:val="22"/>
                <w:szCs w:val="22"/>
              </w:rPr>
              <w:t>t their meeting on:</w:t>
            </w:r>
          </w:p>
        </w:tc>
        <w:sdt>
          <w:sdtPr>
            <w:rPr>
              <w:rFonts w:ascii="Helvetica" w:eastAsia="Calibri" w:hAnsi="Helvetica" w:cs="Helvetica"/>
              <w:bCs/>
              <w:sz w:val="22"/>
              <w:szCs w:val="22"/>
            </w:rPr>
            <w:id w:val="-1408532192"/>
            <w:placeholder>
              <w:docPart w:val="DefaultPlaceholder_-1854013437"/>
            </w:placeholder>
            <w:date w:fullDate="2025-06-18T00:00:00Z">
              <w:dateFormat w:val="dd MMMM yyyy"/>
              <w:lid w:val="en-GB"/>
              <w:storeMappedDataAs w:val="dateTime"/>
              <w:calendar w:val="gregorian"/>
            </w:date>
          </w:sdtPr>
          <w:sdtEndPr/>
          <w:sdtContent>
            <w:tc>
              <w:tcPr>
                <w:tcW w:w="2432" w:type="pct"/>
                <w:shd w:val="clear" w:color="auto" w:fill="C9ECFB"/>
              </w:tcPr>
              <w:p w14:paraId="17CF765C" w14:textId="471E111E" w:rsidR="00CF38AF" w:rsidRPr="00870354" w:rsidRDefault="00F50551" w:rsidP="00773CBE">
                <w:pPr>
                  <w:tabs>
                    <w:tab w:val="clear" w:pos="975"/>
                  </w:tabs>
                  <w:rPr>
                    <w:rFonts w:ascii="Helvetica" w:eastAsia="Calibri" w:hAnsi="Helvetica" w:cs="Helvetica"/>
                    <w:bCs/>
                    <w:sz w:val="22"/>
                    <w:szCs w:val="22"/>
                  </w:rPr>
                </w:pPr>
                <w:r>
                  <w:rPr>
                    <w:rFonts w:ascii="Helvetica" w:eastAsia="Calibri" w:hAnsi="Helvetica" w:cs="Helvetica"/>
                    <w:bCs/>
                    <w:sz w:val="22"/>
                    <w:szCs w:val="22"/>
                  </w:rPr>
                  <w:t>18 June 2025</w:t>
                </w:r>
              </w:p>
            </w:tc>
          </w:sdtContent>
        </w:sdt>
      </w:tr>
    </w:tbl>
    <w:p w14:paraId="2E891FA4" w14:textId="77777777" w:rsidR="001F28EB" w:rsidRDefault="001F28EB" w:rsidP="00383A54">
      <w:pPr>
        <w:spacing w:before="0" w:after="0"/>
        <w:rPr>
          <w:sz w:val="20"/>
          <w:lang w:val="en-US" w:eastAsia="ja-JP"/>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383A54" w14:paraId="65FDC242" w14:textId="77777777" w:rsidTr="006E26D1">
        <w:trPr>
          <w:cantSplit/>
        </w:trPr>
        <w:tc>
          <w:tcPr>
            <w:tcW w:w="5000" w:type="pct"/>
            <w:shd w:val="clear" w:color="auto" w:fill="auto"/>
          </w:tcPr>
          <w:p w14:paraId="618C7F55" w14:textId="77777777" w:rsidR="009C22A2" w:rsidRPr="00383A54" w:rsidRDefault="009C22A2" w:rsidP="006E26D1">
            <w:pPr>
              <w:tabs>
                <w:tab w:val="clear" w:pos="975"/>
              </w:tabs>
              <w:spacing w:before="120" w:after="120"/>
              <w:jc w:val="center"/>
              <w:rPr>
                <w:sz w:val="24"/>
                <w:szCs w:val="24"/>
              </w:rPr>
            </w:pPr>
            <w:r>
              <w:rPr>
                <w:rFonts w:eastAsia="Calibri"/>
                <w:b/>
                <w:color w:val="1F497D"/>
                <w:sz w:val="24"/>
                <w:szCs w:val="24"/>
              </w:rPr>
              <w:t>Local Recommendations</w:t>
            </w:r>
          </w:p>
        </w:tc>
      </w:tr>
    </w:tbl>
    <w:p w14:paraId="322AF07B" w14:textId="77777777" w:rsidR="00383A54" w:rsidRPr="006E26D1" w:rsidRDefault="00383A54" w:rsidP="00383A54">
      <w:pPr>
        <w:spacing w:before="0" w:after="0"/>
        <w:rPr>
          <w:sz w:val="20"/>
          <w:szCs w:val="20"/>
          <w:lang w:val="en-US" w:eastAsia="ja-JP"/>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402"/>
        <w:gridCol w:w="2977"/>
        <w:gridCol w:w="2410"/>
        <w:gridCol w:w="2693"/>
        <w:gridCol w:w="2261"/>
      </w:tblGrid>
      <w:tr w:rsidR="00BE73A7" w:rsidRPr="00253EC1" w14:paraId="58618552" w14:textId="77777777" w:rsidTr="0016537D">
        <w:trPr>
          <w:cantSplit/>
          <w:tblHeader/>
        </w:trPr>
        <w:tc>
          <w:tcPr>
            <w:tcW w:w="1696" w:type="dxa"/>
            <w:tcBorders>
              <w:bottom w:val="single" w:sz="4" w:space="0" w:color="auto"/>
            </w:tcBorders>
            <w:shd w:val="clear" w:color="auto" w:fill="C9ECFB"/>
          </w:tcPr>
          <w:p w14:paraId="01C0390F" w14:textId="6C3E2E00" w:rsidR="00121DDE" w:rsidRPr="007909C3" w:rsidRDefault="00121DDE" w:rsidP="007909C3">
            <w:pPr>
              <w:tabs>
                <w:tab w:val="clear" w:pos="975"/>
              </w:tabs>
              <w:rPr>
                <w:rFonts w:eastAsia="Calibri"/>
                <w:b/>
              </w:rPr>
            </w:pPr>
            <w:bookmarkStart w:id="0" w:name="_Hlk117164764"/>
            <w:r>
              <w:rPr>
                <w:rFonts w:eastAsia="Calibri"/>
                <w:b/>
              </w:rPr>
              <w:t>Drug and indication</w:t>
            </w:r>
            <w:r w:rsidRPr="007909C3">
              <w:rPr>
                <w:rFonts w:eastAsia="Calibri"/>
                <w:b/>
              </w:rPr>
              <w:t xml:space="preserve"> </w:t>
            </w:r>
          </w:p>
        </w:tc>
        <w:tc>
          <w:tcPr>
            <w:tcW w:w="3402" w:type="dxa"/>
            <w:tcBorders>
              <w:bottom w:val="single" w:sz="4" w:space="0" w:color="auto"/>
            </w:tcBorders>
            <w:shd w:val="clear" w:color="auto" w:fill="C9ECFB"/>
          </w:tcPr>
          <w:p w14:paraId="465998DD" w14:textId="7858FD60" w:rsidR="00121DDE" w:rsidRPr="007909C3" w:rsidRDefault="00121DDE" w:rsidP="007909C3">
            <w:pPr>
              <w:tabs>
                <w:tab w:val="clear" w:pos="975"/>
              </w:tabs>
              <w:rPr>
                <w:rFonts w:eastAsia="Calibri"/>
                <w:b/>
              </w:rPr>
            </w:pPr>
            <w:r>
              <w:rPr>
                <w:rFonts w:eastAsia="Calibri"/>
                <w:b/>
              </w:rPr>
              <w:t>Rationale / criteria</w:t>
            </w:r>
          </w:p>
        </w:tc>
        <w:tc>
          <w:tcPr>
            <w:tcW w:w="2977" w:type="dxa"/>
            <w:tcBorders>
              <w:bottom w:val="single" w:sz="4" w:space="0" w:color="auto"/>
            </w:tcBorders>
            <w:shd w:val="clear" w:color="auto" w:fill="C9ECFB"/>
          </w:tcPr>
          <w:p w14:paraId="764A3AC3" w14:textId="0A26EAC0" w:rsidR="00121DDE" w:rsidRPr="007909C3" w:rsidRDefault="00121DDE" w:rsidP="007909C3">
            <w:pPr>
              <w:tabs>
                <w:tab w:val="clear" w:pos="975"/>
              </w:tabs>
              <w:rPr>
                <w:rFonts w:eastAsia="Calibri"/>
                <w:b/>
              </w:rPr>
            </w:pPr>
            <w:r>
              <w:rPr>
                <w:rFonts w:eastAsia="Calibri"/>
                <w:b/>
              </w:rPr>
              <w:t>Status and formulary position proposed</w:t>
            </w:r>
            <w:r w:rsidR="002544D2">
              <w:rPr>
                <w:rFonts w:eastAsia="Calibri"/>
                <w:b/>
              </w:rPr>
              <w:t>*</w:t>
            </w:r>
            <w:r>
              <w:rPr>
                <w:rFonts w:eastAsia="Calibri"/>
                <w:b/>
              </w:rPr>
              <w:t xml:space="preserve"> </w:t>
            </w:r>
          </w:p>
        </w:tc>
        <w:tc>
          <w:tcPr>
            <w:tcW w:w="2410" w:type="dxa"/>
            <w:tcBorders>
              <w:bottom w:val="single" w:sz="4" w:space="0" w:color="auto"/>
            </w:tcBorders>
            <w:shd w:val="clear" w:color="auto" w:fill="C9ECFB"/>
          </w:tcPr>
          <w:p w14:paraId="18BD51F0" w14:textId="3CED56E6" w:rsidR="00121DDE" w:rsidRPr="007909C3" w:rsidRDefault="00121DDE" w:rsidP="007909C3">
            <w:pPr>
              <w:tabs>
                <w:tab w:val="clear" w:pos="975"/>
              </w:tabs>
              <w:rPr>
                <w:rFonts w:eastAsia="Calibri"/>
                <w:b/>
              </w:rPr>
            </w:pPr>
            <w:r>
              <w:rPr>
                <w:rFonts w:eastAsia="Calibri"/>
                <w:b/>
              </w:rPr>
              <w:t>Notes on decision</w:t>
            </w:r>
          </w:p>
        </w:tc>
        <w:tc>
          <w:tcPr>
            <w:tcW w:w="2693" w:type="dxa"/>
            <w:tcBorders>
              <w:bottom w:val="single" w:sz="4" w:space="0" w:color="auto"/>
            </w:tcBorders>
            <w:shd w:val="clear" w:color="auto" w:fill="C9ECFB"/>
          </w:tcPr>
          <w:p w14:paraId="410EBF71" w14:textId="5CEC1B80" w:rsidR="00121DDE" w:rsidRPr="007909C3" w:rsidRDefault="00121DDE" w:rsidP="007909C3">
            <w:pPr>
              <w:tabs>
                <w:tab w:val="clear" w:pos="975"/>
              </w:tabs>
              <w:rPr>
                <w:rFonts w:eastAsia="Calibri"/>
                <w:b/>
              </w:rPr>
            </w:pPr>
            <w:r>
              <w:rPr>
                <w:rFonts w:eastAsia="Calibri"/>
                <w:b/>
              </w:rPr>
              <w:t>Cost impact</w:t>
            </w:r>
          </w:p>
        </w:tc>
        <w:tc>
          <w:tcPr>
            <w:tcW w:w="2261" w:type="dxa"/>
            <w:tcBorders>
              <w:bottom w:val="single" w:sz="4" w:space="0" w:color="auto"/>
            </w:tcBorders>
            <w:shd w:val="clear" w:color="auto" w:fill="C9ECFB"/>
          </w:tcPr>
          <w:p w14:paraId="63DF0E3F" w14:textId="57AE4554" w:rsidR="00121DDE" w:rsidRPr="007909C3" w:rsidRDefault="00121DDE" w:rsidP="007909C3">
            <w:pPr>
              <w:tabs>
                <w:tab w:val="clear" w:pos="975"/>
              </w:tabs>
              <w:rPr>
                <w:rFonts w:eastAsia="Calibri"/>
                <w:b/>
              </w:rPr>
            </w:pPr>
            <w:r>
              <w:rPr>
                <w:rFonts w:eastAsia="Calibri"/>
                <w:b/>
              </w:rPr>
              <w:t>Commissioning / service implications</w:t>
            </w:r>
          </w:p>
        </w:tc>
      </w:tr>
      <w:bookmarkEnd w:id="0"/>
      <w:tr w:rsidR="001A014B" w:rsidRPr="001A014B" w14:paraId="6CC36A61" w14:textId="77777777" w:rsidTr="0016537D">
        <w:trPr>
          <w:cantSplit/>
          <w:trHeight w:val="567"/>
        </w:trPr>
        <w:tc>
          <w:tcPr>
            <w:tcW w:w="1696" w:type="dxa"/>
            <w:shd w:val="clear" w:color="auto" w:fill="auto"/>
          </w:tcPr>
          <w:p w14:paraId="04A9FD3C" w14:textId="5CF1DEA4" w:rsidR="00A71850" w:rsidRDefault="00A71850" w:rsidP="00A71850">
            <w:pPr>
              <w:rPr>
                <w:color w:val="000000" w:themeColor="text1"/>
                <w:sz w:val="20"/>
                <w:szCs w:val="20"/>
              </w:rPr>
            </w:pPr>
            <w:proofErr w:type="spellStart"/>
            <w:r w:rsidRPr="00D021FE">
              <w:rPr>
                <w:color w:val="000000" w:themeColor="text1"/>
                <w:sz w:val="20"/>
                <w:szCs w:val="20"/>
              </w:rPr>
              <w:t>AccuChek</w:t>
            </w:r>
            <w:proofErr w:type="spellEnd"/>
            <w:r w:rsidRPr="00D021FE">
              <w:rPr>
                <w:color w:val="000000" w:themeColor="text1"/>
                <w:sz w:val="20"/>
                <w:szCs w:val="20"/>
              </w:rPr>
              <w:t xml:space="preserve"> </w:t>
            </w:r>
            <w:r w:rsidR="00520948" w:rsidRPr="00D021FE">
              <w:rPr>
                <w:color w:val="000000" w:themeColor="text1"/>
                <w:sz w:val="20"/>
                <w:szCs w:val="20"/>
              </w:rPr>
              <w:t xml:space="preserve">Instant </w:t>
            </w:r>
            <w:r w:rsidR="00D021FE" w:rsidRPr="00D021FE">
              <w:rPr>
                <w:color w:val="000000" w:themeColor="text1"/>
                <w:sz w:val="20"/>
                <w:szCs w:val="20"/>
              </w:rPr>
              <w:t xml:space="preserve">blood glucose meters, test strips and </w:t>
            </w:r>
            <w:proofErr w:type="spellStart"/>
            <w:r w:rsidR="00D021FE" w:rsidRPr="00D021FE">
              <w:rPr>
                <w:color w:val="000000" w:themeColor="text1"/>
                <w:sz w:val="20"/>
                <w:szCs w:val="20"/>
              </w:rPr>
              <w:t>AccuChek</w:t>
            </w:r>
            <w:proofErr w:type="spellEnd"/>
            <w:r w:rsidR="00D021FE" w:rsidRPr="00D021FE">
              <w:rPr>
                <w:color w:val="000000" w:themeColor="text1"/>
                <w:sz w:val="20"/>
                <w:szCs w:val="20"/>
              </w:rPr>
              <w:t xml:space="preserve"> </w:t>
            </w:r>
            <w:proofErr w:type="spellStart"/>
            <w:r w:rsidR="00D021FE" w:rsidRPr="00D021FE">
              <w:rPr>
                <w:color w:val="000000" w:themeColor="text1"/>
                <w:sz w:val="20"/>
                <w:szCs w:val="20"/>
              </w:rPr>
              <w:t>FastClix</w:t>
            </w:r>
            <w:proofErr w:type="spellEnd"/>
            <w:r w:rsidR="00D021FE" w:rsidRPr="00D021FE">
              <w:rPr>
                <w:color w:val="000000" w:themeColor="text1"/>
                <w:sz w:val="20"/>
                <w:szCs w:val="20"/>
              </w:rPr>
              <w:t xml:space="preserve"> lancets</w:t>
            </w:r>
          </w:p>
          <w:p w14:paraId="15AD1079" w14:textId="77777777" w:rsidR="00D021FE" w:rsidRDefault="00D021FE" w:rsidP="00A71850">
            <w:pPr>
              <w:rPr>
                <w:color w:val="000000" w:themeColor="text1"/>
                <w:sz w:val="20"/>
                <w:szCs w:val="20"/>
              </w:rPr>
            </w:pPr>
          </w:p>
          <w:p w14:paraId="430DA015" w14:textId="221178CC" w:rsidR="00D021FE" w:rsidRPr="00D021FE" w:rsidRDefault="00D021FE" w:rsidP="00A71850">
            <w:pPr>
              <w:rPr>
                <w:color w:val="000000" w:themeColor="text1"/>
                <w:sz w:val="20"/>
                <w:szCs w:val="20"/>
              </w:rPr>
            </w:pPr>
            <w:r>
              <w:rPr>
                <w:color w:val="000000" w:themeColor="text1"/>
                <w:sz w:val="20"/>
                <w:szCs w:val="20"/>
              </w:rPr>
              <w:t>For use in T2DM</w:t>
            </w:r>
            <w:r w:rsidR="001D0142">
              <w:rPr>
                <w:color w:val="000000" w:themeColor="text1"/>
                <w:sz w:val="20"/>
                <w:szCs w:val="20"/>
              </w:rPr>
              <w:t xml:space="preserve"> patients who will benefit from the </w:t>
            </w:r>
            <w:proofErr w:type="spellStart"/>
            <w:r w:rsidR="001D0142" w:rsidRPr="00D021FE">
              <w:rPr>
                <w:color w:val="000000" w:themeColor="text1"/>
                <w:sz w:val="20"/>
                <w:szCs w:val="20"/>
              </w:rPr>
              <w:t>AccuChek</w:t>
            </w:r>
            <w:proofErr w:type="spellEnd"/>
            <w:r w:rsidR="001D0142" w:rsidRPr="00D021FE">
              <w:rPr>
                <w:color w:val="000000" w:themeColor="text1"/>
                <w:sz w:val="20"/>
                <w:szCs w:val="20"/>
              </w:rPr>
              <w:t xml:space="preserve"> </w:t>
            </w:r>
            <w:proofErr w:type="spellStart"/>
            <w:r w:rsidR="001D0142" w:rsidRPr="00D021FE">
              <w:rPr>
                <w:color w:val="000000" w:themeColor="text1"/>
                <w:sz w:val="20"/>
                <w:szCs w:val="20"/>
              </w:rPr>
              <w:t>FastClix</w:t>
            </w:r>
            <w:proofErr w:type="spellEnd"/>
            <w:r w:rsidR="001D0142" w:rsidRPr="00D021FE">
              <w:rPr>
                <w:color w:val="000000" w:themeColor="text1"/>
                <w:sz w:val="20"/>
                <w:szCs w:val="20"/>
              </w:rPr>
              <w:t xml:space="preserve"> lancet</w:t>
            </w:r>
            <w:r w:rsidR="001D0142">
              <w:rPr>
                <w:color w:val="000000" w:themeColor="text1"/>
                <w:sz w:val="20"/>
                <w:szCs w:val="20"/>
              </w:rPr>
              <w:t xml:space="preserve"> system</w:t>
            </w:r>
          </w:p>
          <w:p w14:paraId="616355A2" w14:textId="3ECC18E1" w:rsidR="001A014B" w:rsidRPr="001A014B" w:rsidRDefault="001A014B" w:rsidP="001A014B">
            <w:pPr>
              <w:tabs>
                <w:tab w:val="clear" w:pos="975"/>
              </w:tabs>
              <w:rPr>
                <w:b/>
              </w:rPr>
            </w:pPr>
          </w:p>
        </w:tc>
        <w:tc>
          <w:tcPr>
            <w:tcW w:w="3402" w:type="dxa"/>
          </w:tcPr>
          <w:p w14:paraId="2D8BF87E" w14:textId="011A12F7" w:rsidR="00C74F71" w:rsidRDefault="00C74F71" w:rsidP="001A014B">
            <w:pPr>
              <w:tabs>
                <w:tab w:val="clear" w:pos="975"/>
              </w:tabs>
            </w:pPr>
            <w:r>
              <w:t>I</w:t>
            </w:r>
            <w:r w:rsidRPr="00C74F71">
              <w:t xml:space="preserve">nclusion of Roche </w:t>
            </w:r>
            <w:proofErr w:type="spellStart"/>
            <w:r w:rsidRPr="00C74F71">
              <w:t>AccuCheck</w:t>
            </w:r>
            <w:proofErr w:type="spellEnd"/>
            <w:r w:rsidRPr="00C74F71">
              <w:t xml:space="preserve"> Instant on HNY blood glucose meter formulary, along with corresponding </w:t>
            </w:r>
            <w:proofErr w:type="spellStart"/>
            <w:r w:rsidRPr="00C74F71">
              <w:t>FastClix</w:t>
            </w:r>
            <w:proofErr w:type="spellEnd"/>
            <w:r w:rsidRPr="00C74F71">
              <w:t xml:space="preserve"> Lancets, as alternative option to </w:t>
            </w:r>
            <w:proofErr w:type="spellStart"/>
            <w:r w:rsidRPr="00C74F71">
              <w:t>GlucoFix</w:t>
            </w:r>
            <w:proofErr w:type="spellEnd"/>
            <w:r w:rsidRPr="00C74F71">
              <w:t xml:space="preserve"> Tech GK in Type 2 diabetes</w:t>
            </w:r>
            <w:r>
              <w:t>.</w:t>
            </w:r>
          </w:p>
          <w:p w14:paraId="687D9B03" w14:textId="77777777" w:rsidR="005374A0" w:rsidRDefault="005374A0" w:rsidP="001A014B">
            <w:pPr>
              <w:tabs>
                <w:tab w:val="clear" w:pos="975"/>
              </w:tabs>
            </w:pPr>
          </w:p>
          <w:p w14:paraId="61FB8879" w14:textId="597F4941" w:rsidR="00575111" w:rsidRDefault="00575111" w:rsidP="001A014B">
            <w:pPr>
              <w:tabs>
                <w:tab w:val="clear" w:pos="975"/>
              </w:tabs>
            </w:pPr>
            <w:r>
              <w:t>Meter and test strips comparable price to other meters on the formulary.</w:t>
            </w:r>
          </w:p>
          <w:p w14:paraId="54889D8D" w14:textId="77777777" w:rsidR="005374A0" w:rsidRDefault="005374A0" w:rsidP="001A014B">
            <w:pPr>
              <w:tabs>
                <w:tab w:val="clear" w:pos="975"/>
              </w:tabs>
            </w:pPr>
          </w:p>
          <w:p w14:paraId="6448E1F3" w14:textId="38531754" w:rsidR="00E04FD2" w:rsidRDefault="00980DA8" w:rsidP="00E04FD2">
            <w:pPr>
              <w:tabs>
                <w:tab w:val="clear" w:pos="975"/>
              </w:tabs>
            </w:pPr>
            <w:r w:rsidRPr="00980DA8">
              <w:t>Associated lancet system: Safer sharps use for patients with impaired vision unable to see needles/lancets as changed via a drum which contains 6 lancets all encapsules within the device reducing risk of needle stick injuries. Pertinent for paediatric cases and use in schools.</w:t>
            </w:r>
            <w:r w:rsidR="00E04FD2">
              <w:t xml:space="preserve"> Offer</w:t>
            </w:r>
            <w:r w:rsidR="00E04FD2" w:rsidRPr="00C74F71">
              <w:t xml:space="preserve">s an alternative for paediatric patients or adults requiring a safer needle system. </w:t>
            </w:r>
          </w:p>
          <w:p w14:paraId="202A3693" w14:textId="5B110E01" w:rsidR="001A014B" w:rsidRPr="001A014B" w:rsidRDefault="001A014B" w:rsidP="001A014B">
            <w:pPr>
              <w:tabs>
                <w:tab w:val="clear" w:pos="975"/>
              </w:tabs>
            </w:pPr>
          </w:p>
        </w:tc>
        <w:tc>
          <w:tcPr>
            <w:tcW w:w="2977" w:type="dxa"/>
            <w:shd w:val="clear" w:color="auto" w:fill="auto"/>
          </w:tcPr>
          <w:p w14:paraId="3308AAA1" w14:textId="26BE3E7B" w:rsidR="001A014B" w:rsidRPr="001A014B" w:rsidRDefault="000D39B5" w:rsidP="001A014B">
            <w:pPr>
              <w:tabs>
                <w:tab w:val="clear" w:pos="975"/>
              </w:tabs>
              <w:rPr>
                <w:iCs/>
              </w:rPr>
            </w:pPr>
            <w:r>
              <w:rPr>
                <w:iCs/>
              </w:rPr>
              <w:t xml:space="preserve">To add to </w:t>
            </w:r>
            <w:proofErr w:type="spellStart"/>
            <w:r w:rsidR="009B5E88">
              <w:rPr>
                <w:iCs/>
              </w:rPr>
              <w:t>AccuChek</w:t>
            </w:r>
            <w:proofErr w:type="spellEnd"/>
            <w:r w:rsidR="009B5E88">
              <w:rPr>
                <w:iCs/>
              </w:rPr>
              <w:t xml:space="preserve"> Instant Meter and strips</w:t>
            </w:r>
            <w:r w:rsidR="001D0142">
              <w:rPr>
                <w:iCs/>
              </w:rPr>
              <w:t xml:space="preserve"> and </w:t>
            </w:r>
            <w:proofErr w:type="spellStart"/>
            <w:r w:rsidR="001D0142" w:rsidRPr="00DB3F55">
              <w:rPr>
                <w:iCs/>
              </w:rPr>
              <w:t>AccuChek</w:t>
            </w:r>
            <w:proofErr w:type="spellEnd"/>
            <w:r w:rsidR="001D0142" w:rsidRPr="00DB3F55">
              <w:rPr>
                <w:iCs/>
              </w:rPr>
              <w:t xml:space="preserve"> </w:t>
            </w:r>
            <w:proofErr w:type="spellStart"/>
            <w:r w:rsidR="001D0142" w:rsidRPr="00DB3F55">
              <w:rPr>
                <w:iCs/>
              </w:rPr>
              <w:t>FastClix</w:t>
            </w:r>
            <w:proofErr w:type="spellEnd"/>
            <w:r w:rsidR="001D0142" w:rsidRPr="00DB3F55">
              <w:rPr>
                <w:iCs/>
              </w:rPr>
              <w:t xml:space="preserve"> lancets</w:t>
            </w:r>
            <w:r w:rsidR="009B5E88">
              <w:rPr>
                <w:iCs/>
              </w:rPr>
              <w:t xml:space="preserve"> to </w:t>
            </w:r>
            <w:r w:rsidR="00AD11D3">
              <w:rPr>
                <w:iCs/>
              </w:rPr>
              <w:t>HN</w:t>
            </w:r>
            <w:r>
              <w:rPr>
                <w:iCs/>
              </w:rPr>
              <w:t xml:space="preserve">Y </w:t>
            </w:r>
            <w:r w:rsidR="0056112A" w:rsidRPr="0056112A">
              <w:rPr>
                <w:iCs/>
              </w:rPr>
              <w:t>Blood Glucose Meter Formulary</w:t>
            </w:r>
            <w:r w:rsidR="00AD11D3">
              <w:rPr>
                <w:iCs/>
              </w:rPr>
              <w:t xml:space="preserve"> as an option.</w:t>
            </w:r>
          </w:p>
        </w:tc>
        <w:tc>
          <w:tcPr>
            <w:tcW w:w="2410" w:type="dxa"/>
            <w:shd w:val="clear" w:color="auto" w:fill="auto"/>
          </w:tcPr>
          <w:p w14:paraId="261CA67E" w14:textId="77580D92" w:rsidR="001A014B" w:rsidRDefault="001A56EE" w:rsidP="001A014B">
            <w:pPr>
              <w:tabs>
                <w:tab w:val="clear" w:pos="975"/>
              </w:tabs>
              <w:rPr>
                <w:rFonts w:eastAsiaTheme="minorHAnsi"/>
              </w:rPr>
            </w:pPr>
            <w:r>
              <w:rPr>
                <w:rFonts w:eastAsiaTheme="minorHAnsi"/>
              </w:rPr>
              <w:t xml:space="preserve">Updated </w:t>
            </w:r>
            <w:r w:rsidR="005A7F37">
              <w:rPr>
                <w:rFonts w:eastAsiaTheme="minorHAnsi"/>
              </w:rPr>
              <w:t xml:space="preserve">NHSE Commissioning </w:t>
            </w:r>
            <w:r w:rsidR="00523AE2">
              <w:rPr>
                <w:rFonts w:eastAsiaTheme="minorHAnsi"/>
              </w:rPr>
              <w:t>recommendations June 2025</w:t>
            </w:r>
            <w:r w:rsidR="007C5570">
              <w:rPr>
                <w:rFonts w:eastAsiaTheme="minorHAnsi"/>
              </w:rPr>
              <w:t xml:space="preserve"> </w:t>
            </w:r>
            <w:r w:rsidR="00A40321">
              <w:rPr>
                <w:rFonts w:eastAsiaTheme="minorHAnsi"/>
              </w:rPr>
              <w:t>are now available</w:t>
            </w:r>
            <w:r w:rsidR="008C66BC">
              <w:rPr>
                <w:rFonts w:eastAsiaTheme="minorHAnsi"/>
              </w:rPr>
              <w:t>. These</w:t>
            </w:r>
            <w:r w:rsidR="004C5CB1">
              <w:rPr>
                <w:rFonts w:eastAsiaTheme="minorHAnsi"/>
              </w:rPr>
              <w:t xml:space="preserve"> guidelines</w:t>
            </w:r>
            <w:r w:rsidR="008C66BC">
              <w:rPr>
                <w:rFonts w:eastAsiaTheme="minorHAnsi"/>
              </w:rPr>
              <w:t xml:space="preserve"> include </w:t>
            </w:r>
            <w:proofErr w:type="spellStart"/>
            <w:r w:rsidR="008C66BC">
              <w:rPr>
                <w:rFonts w:eastAsiaTheme="minorHAnsi"/>
              </w:rPr>
              <w:t>AccuChek</w:t>
            </w:r>
            <w:proofErr w:type="spellEnd"/>
            <w:r w:rsidR="008C66BC">
              <w:rPr>
                <w:rFonts w:eastAsiaTheme="minorHAnsi"/>
              </w:rPr>
              <w:t xml:space="preserve"> </w:t>
            </w:r>
            <w:proofErr w:type="spellStart"/>
            <w:r w:rsidR="008C66BC">
              <w:rPr>
                <w:rFonts w:eastAsiaTheme="minorHAnsi"/>
              </w:rPr>
              <w:t>FastClix</w:t>
            </w:r>
            <w:proofErr w:type="spellEnd"/>
            <w:r w:rsidR="008C66BC">
              <w:rPr>
                <w:rFonts w:eastAsiaTheme="minorHAnsi"/>
              </w:rPr>
              <w:t xml:space="preserve"> lancets</w:t>
            </w:r>
            <w:r w:rsidR="001D0142">
              <w:rPr>
                <w:rFonts w:eastAsiaTheme="minorHAnsi"/>
              </w:rPr>
              <w:t xml:space="preserve"> but not the meter or test strips.</w:t>
            </w:r>
          </w:p>
          <w:p w14:paraId="14C7E842" w14:textId="77777777" w:rsidR="0037084A" w:rsidRDefault="0037084A" w:rsidP="001A014B">
            <w:pPr>
              <w:tabs>
                <w:tab w:val="clear" w:pos="975"/>
              </w:tabs>
              <w:rPr>
                <w:rFonts w:eastAsiaTheme="minorHAnsi"/>
              </w:rPr>
            </w:pPr>
          </w:p>
          <w:p w14:paraId="6E86A519" w14:textId="42139D51" w:rsidR="0037084A" w:rsidRPr="001A014B" w:rsidRDefault="0037084A" w:rsidP="001A014B">
            <w:pPr>
              <w:tabs>
                <w:tab w:val="clear" w:pos="975"/>
              </w:tabs>
              <w:rPr>
                <w:rFonts w:eastAsiaTheme="minorHAnsi"/>
              </w:rPr>
            </w:pPr>
          </w:p>
        </w:tc>
        <w:tc>
          <w:tcPr>
            <w:tcW w:w="2693" w:type="dxa"/>
          </w:tcPr>
          <w:p w14:paraId="06588680" w14:textId="09374297" w:rsidR="00AD11D3" w:rsidRDefault="00AD11D3" w:rsidP="00B97697">
            <w:pPr>
              <w:tabs>
                <w:tab w:val="clear" w:pos="975"/>
              </w:tabs>
              <w:rPr>
                <w:iCs/>
              </w:rPr>
            </w:pPr>
            <w:r>
              <w:t xml:space="preserve">The </w:t>
            </w:r>
            <w:proofErr w:type="spellStart"/>
            <w:r>
              <w:t>AccuChek</w:t>
            </w:r>
            <w:proofErr w:type="spellEnd"/>
            <w:r>
              <w:t xml:space="preserve"> </w:t>
            </w:r>
            <w:r w:rsidR="001D0142">
              <w:t>BGTS are</w:t>
            </w:r>
            <w:r>
              <w:t xml:space="preserve"> similar in price to products already on the </w:t>
            </w:r>
            <w:r>
              <w:rPr>
                <w:iCs/>
              </w:rPr>
              <w:t xml:space="preserve">HNY </w:t>
            </w:r>
            <w:r w:rsidRPr="0056112A">
              <w:rPr>
                <w:iCs/>
              </w:rPr>
              <w:t>Blood Glucose Meter Formulary</w:t>
            </w:r>
            <w:r w:rsidR="00DB3F55">
              <w:rPr>
                <w:iCs/>
              </w:rPr>
              <w:t>:</w:t>
            </w:r>
          </w:p>
          <w:p w14:paraId="342D2AAA" w14:textId="06F407DE" w:rsidR="00DB3F55" w:rsidRPr="00DB3F55" w:rsidRDefault="00DB3F55" w:rsidP="00DB3F55">
            <w:pPr>
              <w:tabs>
                <w:tab w:val="clear" w:pos="975"/>
              </w:tabs>
              <w:rPr>
                <w:iCs/>
              </w:rPr>
            </w:pPr>
            <w:proofErr w:type="spellStart"/>
            <w:r w:rsidRPr="00DB3F55">
              <w:rPr>
                <w:iCs/>
              </w:rPr>
              <w:t>AccuCheck</w:t>
            </w:r>
            <w:proofErr w:type="spellEnd"/>
            <w:r w:rsidRPr="00DB3F55">
              <w:rPr>
                <w:iCs/>
              </w:rPr>
              <w:t xml:space="preserve"> Instant Meter</w:t>
            </w:r>
          </w:p>
          <w:p w14:paraId="49DD6E2A" w14:textId="2CE8E804" w:rsidR="00DB3F55" w:rsidRPr="00DB3F55" w:rsidRDefault="00DB3F55" w:rsidP="00DB3F55">
            <w:pPr>
              <w:tabs>
                <w:tab w:val="clear" w:pos="975"/>
              </w:tabs>
              <w:rPr>
                <w:iCs/>
              </w:rPr>
            </w:pPr>
            <w:proofErr w:type="spellStart"/>
            <w:r w:rsidRPr="00DB3F55">
              <w:rPr>
                <w:iCs/>
              </w:rPr>
              <w:t>AccuChek</w:t>
            </w:r>
            <w:proofErr w:type="spellEnd"/>
            <w:r w:rsidRPr="00DB3F55">
              <w:rPr>
                <w:iCs/>
              </w:rPr>
              <w:t xml:space="preserve"> Instant test strips - £5.95 (per 50 strips) </w:t>
            </w:r>
          </w:p>
          <w:p w14:paraId="4ED81FD1" w14:textId="50461D8F" w:rsidR="00DB3F55" w:rsidRPr="00DB3F55" w:rsidRDefault="00DB3F55" w:rsidP="00DB3F55">
            <w:pPr>
              <w:tabs>
                <w:tab w:val="clear" w:pos="975"/>
              </w:tabs>
              <w:rPr>
                <w:iCs/>
              </w:rPr>
            </w:pPr>
            <w:proofErr w:type="spellStart"/>
            <w:r w:rsidRPr="00DB3F55">
              <w:rPr>
                <w:iCs/>
              </w:rPr>
              <w:t>AccuChek</w:t>
            </w:r>
            <w:proofErr w:type="spellEnd"/>
            <w:r w:rsidRPr="00DB3F55">
              <w:rPr>
                <w:iCs/>
              </w:rPr>
              <w:t xml:space="preserve"> </w:t>
            </w:r>
            <w:proofErr w:type="spellStart"/>
            <w:r w:rsidRPr="00DB3F55">
              <w:rPr>
                <w:iCs/>
              </w:rPr>
              <w:t>FastClix</w:t>
            </w:r>
            <w:proofErr w:type="spellEnd"/>
            <w:r w:rsidRPr="00DB3F55">
              <w:rPr>
                <w:iCs/>
              </w:rPr>
              <w:t xml:space="preserve"> lancets - £5.90 (per 204 lancets)</w:t>
            </w:r>
          </w:p>
          <w:p w14:paraId="0085680A" w14:textId="77777777" w:rsidR="00AD11D3" w:rsidRPr="00E46DB5" w:rsidRDefault="00AD11D3" w:rsidP="00B97697">
            <w:pPr>
              <w:tabs>
                <w:tab w:val="clear" w:pos="975"/>
              </w:tabs>
              <w:rPr>
                <w:iCs/>
              </w:rPr>
            </w:pPr>
          </w:p>
          <w:p w14:paraId="0BAAF7D2" w14:textId="13CD34FC" w:rsidR="00AD11D3" w:rsidRPr="00E46DB5" w:rsidRDefault="00DB3F55" w:rsidP="00B97697">
            <w:pPr>
              <w:tabs>
                <w:tab w:val="clear" w:pos="975"/>
              </w:tabs>
              <w:rPr>
                <w:iCs/>
              </w:rPr>
            </w:pPr>
            <w:r w:rsidRPr="00E46DB5">
              <w:rPr>
                <w:iCs/>
              </w:rPr>
              <w:t>Existing Formulary comparison</w:t>
            </w:r>
          </w:p>
          <w:p w14:paraId="034978E7" w14:textId="0C12CD24" w:rsidR="00B97697" w:rsidRPr="00E46DB5" w:rsidRDefault="00B97697" w:rsidP="00B97697">
            <w:pPr>
              <w:tabs>
                <w:tab w:val="clear" w:pos="975"/>
              </w:tabs>
            </w:pPr>
            <w:proofErr w:type="spellStart"/>
            <w:r w:rsidRPr="00E46DB5">
              <w:t>GlucoFix</w:t>
            </w:r>
            <w:proofErr w:type="spellEnd"/>
            <w:r w:rsidRPr="00E46DB5">
              <w:t xml:space="preserve"> Tech GK Meter</w:t>
            </w:r>
          </w:p>
          <w:p w14:paraId="58CAF9B2" w14:textId="3281A246" w:rsidR="00B97697" w:rsidRPr="00E46DB5" w:rsidRDefault="00B97697" w:rsidP="00B97697">
            <w:pPr>
              <w:tabs>
                <w:tab w:val="clear" w:pos="975"/>
              </w:tabs>
            </w:pPr>
            <w:proofErr w:type="spellStart"/>
            <w:r w:rsidRPr="00E46DB5">
              <w:t>GlucoFix</w:t>
            </w:r>
            <w:proofErr w:type="spellEnd"/>
            <w:r w:rsidRPr="00E46DB5">
              <w:t xml:space="preserve"> Tech Sensor £5.95 (per 50 strips) </w:t>
            </w:r>
          </w:p>
          <w:p w14:paraId="7DDA0C82" w14:textId="77777777" w:rsidR="00B97697" w:rsidRPr="00E46DB5" w:rsidRDefault="00B97697" w:rsidP="00B97697">
            <w:pPr>
              <w:tabs>
                <w:tab w:val="clear" w:pos="975"/>
              </w:tabs>
            </w:pPr>
            <w:proofErr w:type="spellStart"/>
            <w:r w:rsidRPr="00E46DB5">
              <w:t>Glucoject</w:t>
            </w:r>
            <w:proofErr w:type="spellEnd"/>
            <w:r w:rsidRPr="00E46DB5">
              <w:t xml:space="preserve"> Lancets extra - £5.50 (per 200 lancets)</w:t>
            </w:r>
          </w:p>
          <w:p w14:paraId="16FC7E9E" w14:textId="6F923748" w:rsidR="00E46DB5" w:rsidRPr="00E46DB5" w:rsidRDefault="009756E2" w:rsidP="00B97697">
            <w:pPr>
              <w:tabs>
                <w:tab w:val="clear" w:pos="975"/>
              </w:tabs>
            </w:pPr>
            <w:sdt>
              <w:sdtPr>
                <w:rPr>
                  <w:bCs/>
                </w:rPr>
                <w:id w:val="1503939785"/>
                <w:placeholder>
                  <w:docPart w:val="EB204C4DF5064812AF3CB43D0F743EC8"/>
                </w:placeholder>
              </w:sdtPr>
              <w:sdtEndPr/>
              <w:sdtContent>
                <w:r w:rsidR="00E46DB5" w:rsidRPr="00E46DB5">
                  <w:rPr>
                    <w:bCs/>
                  </w:rPr>
                  <w:t>No additional costs related to integration of new device into formulary</w:t>
                </w:r>
              </w:sdtContent>
            </w:sdt>
          </w:p>
          <w:p w14:paraId="3E789C47" w14:textId="3C848326" w:rsidR="001A014B" w:rsidRPr="001A014B" w:rsidRDefault="001A014B" w:rsidP="001A014B">
            <w:pPr>
              <w:tabs>
                <w:tab w:val="clear" w:pos="975"/>
              </w:tabs>
            </w:pPr>
          </w:p>
        </w:tc>
        <w:tc>
          <w:tcPr>
            <w:tcW w:w="2261" w:type="dxa"/>
            <w:shd w:val="clear" w:color="auto" w:fill="FFFFFF"/>
          </w:tcPr>
          <w:p w14:paraId="341034B9" w14:textId="1C643DF6" w:rsidR="001A014B" w:rsidRPr="001A014B" w:rsidRDefault="005C2563" w:rsidP="001A014B">
            <w:pPr>
              <w:tabs>
                <w:tab w:val="clear" w:pos="975"/>
              </w:tabs>
            </w:pPr>
            <w:r>
              <w:t xml:space="preserve">Approx </w:t>
            </w:r>
            <w:r w:rsidR="003872B1" w:rsidRPr="003872B1">
              <w:t xml:space="preserve">800 patients across the ICB are currently prescribed. No expected increase, any increase seen would result in reduction in </w:t>
            </w:r>
            <w:proofErr w:type="spellStart"/>
            <w:r w:rsidR="003872B1" w:rsidRPr="003872B1">
              <w:t>GlucoFix</w:t>
            </w:r>
            <w:proofErr w:type="spellEnd"/>
            <w:r w:rsidR="003872B1" w:rsidRPr="003872B1">
              <w:t xml:space="preserve"> Tech prescribing.</w:t>
            </w:r>
          </w:p>
        </w:tc>
      </w:tr>
      <w:tr w:rsidR="001A014B" w:rsidRPr="001A014B" w14:paraId="4486D33A" w14:textId="77777777" w:rsidTr="0016537D">
        <w:trPr>
          <w:cantSplit/>
          <w:trHeight w:val="567"/>
        </w:trPr>
        <w:tc>
          <w:tcPr>
            <w:tcW w:w="1696" w:type="dxa"/>
            <w:shd w:val="clear" w:color="auto" w:fill="auto"/>
          </w:tcPr>
          <w:p w14:paraId="7F62A8FD" w14:textId="77777777" w:rsidR="00837B4D" w:rsidRDefault="00837B4D" w:rsidP="00837B4D">
            <w:pPr>
              <w:widowControl/>
              <w:tabs>
                <w:tab w:val="clear" w:pos="975"/>
                <w:tab w:val="left" w:pos="1134"/>
              </w:tabs>
              <w:autoSpaceDE/>
              <w:autoSpaceDN/>
              <w:spacing w:before="0" w:after="200"/>
              <w:contextualSpacing/>
              <w:rPr>
                <w:rFonts w:eastAsia="Times New Roman"/>
                <w:lang w:eastAsia="ja-JP"/>
              </w:rPr>
            </w:pPr>
            <w:proofErr w:type="spellStart"/>
            <w:r w:rsidRPr="00694BA0">
              <w:rPr>
                <w:rFonts w:eastAsia="Times New Roman"/>
                <w:lang w:eastAsia="ja-JP"/>
              </w:rPr>
              <w:lastRenderedPageBreak/>
              <w:t>Anthelios</w:t>
            </w:r>
            <w:proofErr w:type="spellEnd"/>
            <w:r w:rsidRPr="00694BA0">
              <w:rPr>
                <w:rFonts w:eastAsia="Times New Roman"/>
                <w:lang w:eastAsia="ja-JP"/>
              </w:rPr>
              <w:t xml:space="preserve"> Sunscreen Lotion SPF50+</w:t>
            </w:r>
          </w:p>
          <w:p w14:paraId="6E1C1035" w14:textId="77777777" w:rsidR="00FF1B4D" w:rsidRPr="00694BA0" w:rsidRDefault="00FF1B4D" w:rsidP="00837B4D">
            <w:pPr>
              <w:widowControl/>
              <w:tabs>
                <w:tab w:val="clear" w:pos="975"/>
                <w:tab w:val="left" w:pos="1134"/>
              </w:tabs>
              <w:autoSpaceDE/>
              <w:autoSpaceDN/>
              <w:spacing w:before="0" w:after="200"/>
              <w:contextualSpacing/>
              <w:rPr>
                <w:rFonts w:eastAsia="Times New Roman"/>
                <w:lang w:eastAsia="ja-JP"/>
              </w:rPr>
            </w:pPr>
          </w:p>
          <w:p w14:paraId="06F9DEEF" w14:textId="77777777" w:rsidR="00837B4D" w:rsidRDefault="00837B4D" w:rsidP="00837B4D">
            <w:pPr>
              <w:widowControl/>
              <w:tabs>
                <w:tab w:val="clear" w:pos="975"/>
                <w:tab w:val="left" w:pos="1134"/>
              </w:tabs>
              <w:autoSpaceDE/>
              <w:autoSpaceDN/>
              <w:spacing w:before="0" w:after="200"/>
              <w:contextualSpacing/>
              <w:rPr>
                <w:rFonts w:eastAsia="Times New Roman"/>
                <w:lang w:eastAsia="ja-JP"/>
              </w:rPr>
            </w:pPr>
            <w:proofErr w:type="spellStart"/>
            <w:r w:rsidRPr="00694BA0">
              <w:rPr>
                <w:rFonts w:eastAsia="Times New Roman"/>
                <w:lang w:eastAsia="ja-JP"/>
              </w:rPr>
              <w:t>Uvistat</w:t>
            </w:r>
            <w:proofErr w:type="spellEnd"/>
            <w:r w:rsidRPr="00694BA0">
              <w:rPr>
                <w:rFonts w:eastAsia="Times New Roman"/>
                <w:lang w:eastAsia="ja-JP"/>
              </w:rPr>
              <w:t xml:space="preserve"> Suncream SPF 50</w:t>
            </w:r>
            <w:r>
              <w:rPr>
                <w:rFonts w:eastAsia="Times New Roman"/>
                <w:lang w:eastAsia="ja-JP"/>
              </w:rPr>
              <w:t xml:space="preserve">  </w:t>
            </w:r>
          </w:p>
          <w:p w14:paraId="7BFBA129" w14:textId="77777777" w:rsidR="00837B4D" w:rsidRDefault="00837B4D" w:rsidP="002C17ED">
            <w:pPr>
              <w:rPr>
                <w:color w:val="FF0000"/>
                <w:sz w:val="20"/>
                <w:szCs w:val="20"/>
              </w:rPr>
            </w:pPr>
          </w:p>
          <w:p w14:paraId="1F88EC05" w14:textId="2D92537C" w:rsidR="00FF1B4D" w:rsidRPr="00DD13E8" w:rsidRDefault="00FF1B4D" w:rsidP="002C17ED">
            <w:pPr>
              <w:rPr>
                <w:color w:val="000000" w:themeColor="text1"/>
                <w:sz w:val="20"/>
                <w:szCs w:val="20"/>
              </w:rPr>
            </w:pPr>
            <w:r w:rsidRPr="00DD13E8">
              <w:rPr>
                <w:color w:val="000000" w:themeColor="text1"/>
                <w:sz w:val="20"/>
                <w:szCs w:val="20"/>
              </w:rPr>
              <w:t>For SEVER</w:t>
            </w:r>
            <w:r w:rsidR="00DD13E8" w:rsidRPr="00DD13E8">
              <w:rPr>
                <w:color w:val="000000" w:themeColor="text1"/>
                <w:sz w:val="20"/>
                <w:szCs w:val="20"/>
              </w:rPr>
              <w:t>E</w:t>
            </w:r>
            <w:r w:rsidRPr="00DD13E8">
              <w:rPr>
                <w:color w:val="000000" w:themeColor="text1"/>
                <w:sz w:val="20"/>
                <w:szCs w:val="20"/>
              </w:rPr>
              <w:t xml:space="preserve"> photo</w:t>
            </w:r>
            <w:r w:rsidR="00DD13E8" w:rsidRPr="00DD13E8">
              <w:rPr>
                <w:color w:val="000000" w:themeColor="text1"/>
                <w:sz w:val="20"/>
                <w:szCs w:val="20"/>
              </w:rPr>
              <w:t>-</w:t>
            </w:r>
            <w:r w:rsidRPr="00DD13E8">
              <w:rPr>
                <w:color w:val="000000" w:themeColor="text1"/>
                <w:sz w:val="20"/>
                <w:szCs w:val="20"/>
              </w:rPr>
              <w:t>dermatoses ONLY</w:t>
            </w:r>
          </w:p>
          <w:p w14:paraId="7F41F4FC" w14:textId="77777777" w:rsidR="001A014B" w:rsidRPr="001A014B" w:rsidRDefault="001A014B" w:rsidP="001A014B">
            <w:pPr>
              <w:tabs>
                <w:tab w:val="clear" w:pos="975"/>
              </w:tabs>
              <w:rPr>
                <w:b/>
              </w:rPr>
            </w:pPr>
          </w:p>
        </w:tc>
        <w:tc>
          <w:tcPr>
            <w:tcW w:w="3402" w:type="dxa"/>
          </w:tcPr>
          <w:p w14:paraId="206065BA" w14:textId="734DFB98" w:rsidR="001A014B" w:rsidRPr="001A014B" w:rsidRDefault="004655E8" w:rsidP="004655E8">
            <w:r w:rsidRPr="004655E8">
              <w:rPr>
                <w:b/>
              </w:rPr>
              <w:t>To align the NY</w:t>
            </w:r>
            <w:r>
              <w:rPr>
                <w:b/>
              </w:rPr>
              <w:t>&amp;</w:t>
            </w:r>
            <w:r w:rsidRPr="004655E8">
              <w:rPr>
                <w:b/>
              </w:rPr>
              <w:t xml:space="preserve">Y formularies with Humber's position while also providing clearer definition of </w:t>
            </w:r>
            <w:r w:rsidR="00DD13E8">
              <w:rPr>
                <w:b/>
              </w:rPr>
              <w:t>conditio</w:t>
            </w:r>
            <w:r w:rsidR="002E79FF">
              <w:rPr>
                <w:b/>
              </w:rPr>
              <w:t xml:space="preserve">ns </w:t>
            </w:r>
            <w:r w:rsidRPr="004655E8">
              <w:rPr>
                <w:b/>
              </w:rPr>
              <w:t>eligible for prescribed sunscreens.</w:t>
            </w:r>
          </w:p>
        </w:tc>
        <w:tc>
          <w:tcPr>
            <w:tcW w:w="2977" w:type="dxa"/>
            <w:shd w:val="clear" w:color="auto" w:fill="auto"/>
          </w:tcPr>
          <w:p w14:paraId="2D2B65EA" w14:textId="344B4670" w:rsidR="001A014B" w:rsidRPr="001A014B" w:rsidRDefault="00DD13E8" w:rsidP="001A014B">
            <w:pPr>
              <w:tabs>
                <w:tab w:val="clear" w:pos="975"/>
              </w:tabs>
              <w:rPr>
                <w:iCs/>
              </w:rPr>
            </w:pPr>
            <w:r>
              <w:rPr>
                <w:iCs/>
              </w:rPr>
              <w:t>Amber Specialist Initiation</w:t>
            </w:r>
          </w:p>
        </w:tc>
        <w:tc>
          <w:tcPr>
            <w:tcW w:w="2410" w:type="dxa"/>
            <w:shd w:val="clear" w:color="auto" w:fill="auto"/>
          </w:tcPr>
          <w:p w14:paraId="74F19793" w14:textId="3343515F" w:rsidR="001A014B" w:rsidRPr="009F7AC9" w:rsidRDefault="00DD13E8" w:rsidP="001A014B">
            <w:pPr>
              <w:tabs>
                <w:tab w:val="clear" w:pos="975"/>
              </w:tabs>
              <w:rPr>
                <w:rFonts w:eastAsiaTheme="minorHAnsi"/>
              </w:rPr>
            </w:pPr>
            <w:r w:rsidRPr="009F7AC9">
              <w:rPr>
                <w:rFonts w:eastAsiaTheme="minorHAnsi"/>
                <w:color w:val="000000" w:themeColor="text1"/>
              </w:rPr>
              <w:t xml:space="preserve">Prescription sunscreen for SEVERE </w:t>
            </w:r>
            <w:proofErr w:type="spellStart"/>
            <w:r w:rsidRPr="009F7AC9">
              <w:rPr>
                <w:color w:val="000000" w:themeColor="text1"/>
              </w:rPr>
              <w:t>photodermatoses</w:t>
            </w:r>
            <w:proofErr w:type="spellEnd"/>
            <w:r w:rsidRPr="009F7AC9">
              <w:rPr>
                <w:rFonts w:eastAsiaTheme="minorHAnsi"/>
                <w:color w:val="000000" w:themeColor="text1"/>
              </w:rPr>
              <w:t xml:space="preserve"> only</w:t>
            </w:r>
            <w:r w:rsidR="00A041A7" w:rsidRPr="009F7AC9">
              <w:rPr>
                <w:rFonts w:eastAsiaTheme="minorHAnsi"/>
                <w:color w:val="000000" w:themeColor="text1"/>
              </w:rPr>
              <w:t xml:space="preserve">. </w:t>
            </w:r>
            <w:r w:rsidR="00F25A81" w:rsidRPr="009F7AC9">
              <w:rPr>
                <w:rFonts w:eastAsiaTheme="minorHAnsi"/>
                <w:color w:val="000000" w:themeColor="text1"/>
              </w:rPr>
              <w:t xml:space="preserve">The primary care </w:t>
            </w:r>
            <w:r w:rsidR="009F7AC9" w:rsidRPr="009F7AC9">
              <w:rPr>
                <w:rFonts w:eastAsiaTheme="minorHAnsi"/>
                <w:color w:val="000000" w:themeColor="text1"/>
              </w:rPr>
              <w:t>dermatology society</w:t>
            </w:r>
            <w:r w:rsidR="00F25A81" w:rsidRPr="009F7AC9">
              <w:rPr>
                <w:rFonts w:eastAsiaTheme="minorHAnsi"/>
                <w:color w:val="000000" w:themeColor="text1"/>
              </w:rPr>
              <w:t xml:space="preserve"> </w:t>
            </w:r>
            <w:r w:rsidR="009F7AC9" w:rsidRPr="009F7AC9">
              <w:rPr>
                <w:rFonts w:eastAsiaTheme="minorHAnsi"/>
                <w:color w:val="000000" w:themeColor="text1"/>
              </w:rPr>
              <w:t xml:space="preserve">(PCDS) </w:t>
            </w:r>
            <w:r w:rsidR="00F25A81" w:rsidRPr="009F7AC9">
              <w:rPr>
                <w:rFonts w:eastAsiaTheme="minorHAnsi"/>
                <w:color w:val="000000" w:themeColor="text1"/>
              </w:rPr>
              <w:t xml:space="preserve">defines </w:t>
            </w:r>
            <w:proofErr w:type="spellStart"/>
            <w:r w:rsidR="00A041A7" w:rsidRPr="009F7AC9">
              <w:rPr>
                <w:color w:val="000000" w:themeColor="text1"/>
              </w:rPr>
              <w:t>photodermatoses</w:t>
            </w:r>
            <w:proofErr w:type="spellEnd"/>
            <w:r w:rsidR="00A041A7" w:rsidRPr="009F7AC9">
              <w:rPr>
                <w:rFonts w:eastAsiaTheme="minorHAnsi"/>
                <w:color w:val="000000" w:themeColor="text1"/>
              </w:rPr>
              <w:t xml:space="preserve"> conditions which only happen as a result of light</w:t>
            </w:r>
            <w:r w:rsidR="009F7AC9">
              <w:rPr>
                <w:rFonts w:eastAsiaTheme="minorHAnsi"/>
                <w:color w:val="000000" w:themeColor="text1"/>
              </w:rPr>
              <w:t xml:space="preserve">. This is distinct from </w:t>
            </w:r>
            <w:proofErr w:type="spellStart"/>
            <w:r w:rsidR="009F7AC9">
              <w:rPr>
                <w:rFonts w:eastAsiaTheme="minorHAnsi"/>
                <w:color w:val="000000" w:themeColor="text1"/>
              </w:rPr>
              <w:t>photoaggr</w:t>
            </w:r>
            <w:r w:rsidR="00304E07">
              <w:rPr>
                <w:rFonts w:eastAsiaTheme="minorHAnsi"/>
                <w:color w:val="000000" w:themeColor="text1"/>
              </w:rPr>
              <w:t>a</w:t>
            </w:r>
            <w:r w:rsidR="009F7AC9">
              <w:rPr>
                <w:rFonts w:eastAsiaTheme="minorHAnsi"/>
                <w:color w:val="000000" w:themeColor="text1"/>
              </w:rPr>
              <w:t>vated</w:t>
            </w:r>
            <w:proofErr w:type="spellEnd"/>
            <w:r w:rsidR="009F7AC9">
              <w:rPr>
                <w:rFonts w:eastAsiaTheme="minorHAnsi"/>
                <w:color w:val="000000" w:themeColor="text1"/>
              </w:rPr>
              <w:t xml:space="preserve"> conditions which would not be covered</w:t>
            </w:r>
            <w:r w:rsidR="00304E07">
              <w:rPr>
                <w:rFonts w:eastAsiaTheme="minorHAnsi"/>
                <w:color w:val="000000" w:themeColor="text1"/>
              </w:rPr>
              <w:t xml:space="preserve"> by this guidance.</w:t>
            </w:r>
          </w:p>
        </w:tc>
        <w:tc>
          <w:tcPr>
            <w:tcW w:w="2693" w:type="dxa"/>
          </w:tcPr>
          <w:p w14:paraId="1F2009B9" w14:textId="39D5A128" w:rsidR="00A128CC" w:rsidRDefault="00A128CC" w:rsidP="00470C0F">
            <w:pPr>
              <w:widowControl/>
              <w:tabs>
                <w:tab w:val="clear" w:pos="975"/>
                <w:tab w:val="left" w:pos="1134"/>
              </w:tabs>
              <w:autoSpaceDE/>
              <w:autoSpaceDN/>
              <w:spacing w:before="0" w:after="200"/>
              <w:contextualSpacing/>
              <w:rPr>
                <w:rFonts w:eastAsia="Times New Roman"/>
                <w:lang w:eastAsia="ja-JP"/>
              </w:rPr>
            </w:pPr>
            <w:r>
              <w:rPr>
                <w:rFonts w:eastAsia="Times New Roman"/>
                <w:lang w:eastAsia="ja-JP"/>
              </w:rPr>
              <w:t>July 2025 DM&amp;D</w:t>
            </w:r>
          </w:p>
          <w:p w14:paraId="581FA30B" w14:textId="2863FE50" w:rsidR="00470C0F" w:rsidRDefault="00470C0F" w:rsidP="00470C0F">
            <w:pPr>
              <w:widowControl/>
              <w:tabs>
                <w:tab w:val="clear" w:pos="975"/>
                <w:tab w:val="left" w:pos="1134"/>
              </w:tabs>
              <w:autoSpaceDE/>
              <w:autoSpaceDN/>
              <w:spacing w:before="0" w:after="200"/>
              <w:contextualSpacing/>
              <w:rPr>
                <w:rFonts w:eastAsia="Times New Roman"/>
                <w:lang w:eastAsia="ja-JP"/>
              </w:rPr>
            </w:pPr>
            <w:proofErr w:type="spellStart"/>
            <w:r w:rsidRPr="00694BA0">
              <w:rPr>
                <w:rFonts w:eastAsia="Times New Roman"/>
                <w:lang w:eastAsia="ja-JP"/>
              </w:rPr>
              <w:t>Uvistat</w:t>
            </w:r>
            <w:proofErr w:type="spellEnd"/>
            <w:r w:rsidRPr="00694BA0">
              <w:rPr>
                <w:rFonts w:eastAsia="Times New Roman"/>
                <w:lang w:eastAsia="ja-JP"/>
              </w:rPr>
              <w:t xml:space="preserve"> Suncream SPF 50</w:t>
            </w:r>
            <w:r>
              <w:rPr>
                <w:rFonts w:eastAsia="Times New Roman"/>
                <w:lang w:eastAsia="ja-JP"/>
              </w:rPr>
              <w:t xml:space="preserve">  </w:t>
            </w:r>
          </w:p>
          <w:p w14:paraId="4F918663" w14:textId="29F466B9" w:rsidR="00E32999" w:rsidRDefault="00470C0F" w:rsidP="001A014B">
            <w:pPr>
              <w:tabs>
                <w:tab w:val="clear" w:pos="975"/>
              </w:tabs>
            </w:pPr>
            <w:r>
              <w:t>£10.09 / 125ml</w:t>
            </w:r>
          </w:p>
          <w:p w14:paraId="1CDD5661" w14:textId="77777777" w:rsidR="00E32999" w:rsidRDefault="00E32999" w:rsidP="00E32999">
            <w:pPr>
              <w:widowControl/>
              <w:tabs>
                <w:tab w:val="clear" w:pos="975"/>
                <w:tab w:val="left" w:pos="1134"/>
              </w:tabs>
              <w:autoSpaceDE/>
              <w:autoSpaceDN/>
              <w:spacing w:before="0" w:after="200"/>
              <w:contextualSpacing/>
              <w:rPr>
                <w:rFonts w:eastAsia="Times New Roman"/>
                <w:lang w:eastAsia="ja-JP"/>
              </w:rPr>
            </w:pPr>
            <w:proofErr w:type="spellStart"/>
            <w:r w:rsidRPr="00694BA0">
              <w:rPr>
                <w:rFonts w:eastAsia="Times New Roman"/>
                <w:lang w:eastAsia="ja-JP"/>
              </w:rPr>
              <w:t>Anthelios</w:t>
            </w:r>
            <w:proofErr w:type="spellEnd"/>
            <w:r w:rsidRPr="00694BA0">
              <w:rPr>
                <w:rFonts w:eastAsia="Times New Roman"/>
                <w:lang w:eastAsia="ja-JP"/>
              </w:rPr>
              <w:t xml:space="preserve"> Sunscreen Lotion SPF50+</w:t>
            </w:r>
          </w:p>
          <w:p w14:paraId="7350CCDF" w14:textId="31AC9590" w:rsidR="00E32999" w:rsidRPr="001A014B" w:rsidRDefault="00E32999" w:rsidP="001A014B">
            <w:pPr>
              <w:tabs>
                <w:tab w:val="clear" w:pos="975"/>
              </w:tabs>
            </w:pPr>
            <w:r>
              <w:t>£12.50 / 250ml</w:t>
            </w:r>
          </w:p>
        </w:tc>
        <w:tc>
          <w:tcPr>
            <w:tcW w:w="2261" w:type="dxa"/>
            <w:shd w:val="clear" w:color="auto" w:fill="FFFFFF"/>
          </w:tcPr>
          <w:p w14:paraId="7DD08B8E" w14:textId="36E33EB7" w:rsidR="001A014B" w:rsidRPr="001A014B" w:rsidRDefault="001A014B" w:rsidP="001A014B">
            <w:pPr>
              <w:tabs>
                <w:tab w:val="clear" w:pos="975"/>
              </w:tabs>
            </w:pPr>
          </w:p>
        </w:tc>
      </w:tr>
      <w:tr w:rsidR="007D3436" w:rsidRPr="001A014B" w14:paraId="19FE5486" w14:textId="77777777" w:rsidTr="007D3436">
        <w:trPr>
          <w:cantSplit/>
          <w:trHeight w:val="56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9A2456F" w14:textId="3D45795D" w:rsidR="007D3436" w:rsidRPr="00694BA0" w:rsidRDefault="007D3436" w:rsidP="007D3436">
            <w:pPr>
              <w:widowControl/>
              <w:tabs>
                <w:tab w:val="clear" w:pos="975"/>
                <w:tab w:val="left" w:pos="1134"/>
              </w:tabs>
              <w:autoSpaceDE/>
              <w:autoSpaceDN/>
              <w:rPr>
                <w:rFonts w:eastAsia="Times New Roman"/>
                <w:lang w:eastAsia="ja-JP"/>
              </w:rPr>
            </w:pPr>
            <w:r>
              <w:rPr>
                <w:rFonts w:eastAsia="Times New Roman"/>
                <w:lang w:eastAsia="ja-JP"/>
              </w:rPr>
              <w:t xml:space="preserve">HNY </w:t>
            </w:r>
            <w:r w:rsidRPr="007D3436">
              <w:rPr>
                <w:rFonts w:eastAsia="Times New Roman"/>
                <w:lang w:eastAsia="ja-JP"/>
              </w:rPr>
              <w:t>Guidelines for</w:t>
            </w:r>
            <w:r>
              <w:rPr>
                <w:rFonts w:eastAsia="Times New Roman"/>
                <w:lang w:eastAsia="ja-JP"/>
              </w:rPr>
              <w:t xml:space="preserve"> </w:t>
            </w:r>
            <w:r w:rsidRPr="007D3436">
              <w:rPr>
                <w:rFonts w:eastAsia="Times New Roman"/>
                <w:lang w:eastAsia="ja-JP"/>
              </w:rPr>
              <w:t>Pharmacological Management of Overactive Bladder Syndrome /Mixed Urinary Incontinence in Adult Women in Primary Care</w:t>
            </w:r>
          </w:p>
        </w:tc>
        <w:tc>
          <w:tcPr>
            <w:tcW w:w="3402" w:type="dxa"/>
            <w:tcBorders>
              <w:top w:val="single" w:sz="4" w:space="0" w:color="auto"/>
              <w:left w:val="single" w:sz="4" w:space="0" w:color="auto"/>
              <w:bottom w:val="single" w:sz="4" w:space="0" w:color="auto"/>
              <w:right w:val="single" w:sz="4" w:space="0" w:color="auto"/>
            </w:tcBorders>
          </w:tcPr>
          <w:p w14:paraId="34F4113A" w14:textId="77777777" w:rsidR="007D3436" w:rsidRDefault="007D3436" w:rsidP="007D3436">
            <w:pPr>
              <w:rPr>
                <w:b/>
              </w:rPr>
            </w:pPr>
            <w:r>
              <w:rPr>
                <w:b/>
              </w:rPr>
              <w:t>To provide HNY ICB guidance and align formularies.</w:t>
            </w:r>
          </w:p>
          <w:p w14:paraId="166B45CE" w14:textId="77777777" w:rsidR="00931A71" w:rsidRDefault="00931A71" w:rsidP="007D3436">
            <w:pPr>
              <w:rPr>
                <w:b/>
              </w:rPr>
            </w:pPr>
          </w:p>
          <w:p w14:paraId="114E9AE1" w14:textId="7272E5BE" w:rsidR="00931A71" w:rsidRPr="004655E8" w:rsidRDefault="00931A71" w:rsidP="007D3436">
            <w:pPr>
              <w:rPr>
                <w:b/>
              </w:rPr>
            </w:pPr>
            <w:r>
              <w:rPr>
                <w:b/>
              </w:rPr>
              <w:t xml:space="preserve">Please see also the separate consultation on a treatment guideline, available at </w:t>
            </w:r>
            <w:hyperlink r:id="rId10" w:history="1">
              <w:r w:rsidRPr="0060651F">
                <w:rPr>
                  <w:rStyle w:val="Hyperlink"/>
                  <w:rFonts w:cs="Arial"/>
                  <w:b/>
                </w:rPr>
                <w:t>https://humberandnorthyorkshire.org.uk/area-prescribing-committee-apc/apc-consultations/</w:t>
              </w:r>
            </w:hyperlink>
            <w:r>
              <w:rPr>
                <w:b/>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985E44" w14:textId="08B1B9EE" w:rsidR="007D3436" w:rsidRPr="0037654E" w:rsidRDefault="007D3436" w:rsidP="007D3436">
            <w:pPr>
              <w:tabs>
                <w:tab w:val="clear" w:pos="975"/>
              </w:tabs>
              <w:rPr>
                <w:iCs/>
              </w:rPr>
            </w:pPr>
            <w:proofErr w:type="spellStart"/>
            <w:r w:rsidRPr="0037654E">
              <w:rPr>
                <w:iCs/>
              </w:rPr>
              <w:t>Solifenacin</w:t>
            </w:r>
            <w:proofErr w:type="spellEnd"/>
            <w:r w:rsidRPr="0037654E">
              <w:rPr>
                <w:iCs/>
              </w:rPr>
              <w:t xml:space="preserve"> Tablets Green 1st line </w:t>
            </w:r>
          </w:p>
          <w:p w14:paraId="636516D7" w14:textId="77777777" w:rsidR="007D3436" w:rsidRPr="0037654E" w:rsidRDefault="007D3436" w:rsidP="007D3436">
            <w:pPr>
              <w:tabs>
                <w:tab w:val="clear" w:pos="975"/>
              </w:tabs>
              <w:rPr>
                <w:iCs/>
              </w:rPr>
            </w:pPr>
            <w:proofErr w:type="spellStart"/>
            <w:r w:rsidRPr="0037654E">
              <w:rPr>
                <w:iCs/>
              </w:rPr>
              <w:t>Trospium</w:t>
            </w:r>
            <w:proofErr w:type="spellEnd"/>
            <w:r w:rsidRPr="0037654E">
              <w:rPr>
                <w:iCs/>
              </w:rPr>
              <w:t xml:space="preserve"> IR and MR Green 1st line in elderly / cognitive impairment </w:t>
            </w:r>
            <w:r w:rsidRPr="007D3436">
              <w:rPr>
                <w:iCs/>
              </w:rPr>
              <w:t>(1)</w:t>
            </w:r>
          </w:p>
          <w:p w14:paraId="382A2287" w14:textId="77777777" w:rsidR="007D3436" w:rsidRPr="0037654E" w:rsidRDefault="007D3436" w:rsidP="007D3436">
            <w:pPr>
              <w:tabs>
                <w:tab w:val="clear" w:pos="975"/>
              </w:tabs>
              <w:rPr>
                <w:iCs/>
              </w:rPr>
            </w:pPr>
            <w:r w:rsidRPr="0037654E">
              <w:rPr>
                <w:iCs/>
              </w:rPr>
              <w:t xml:space="preserve">Tolterodine IR tablets Green 2nd line (tablets) </w:t>
            </w:r>
            <w:r w:rsidRPr="007D3436">
              <w:rPr>
                <w:iCs/>
              </w:rPr>
              <w:t>(2)</w:t>
            </w:r>
          </w:p>
          <w:p w14:paraId="437B6883" w14:textId="77777777" w:rsidR="007D3436" w:rsidRPr="007D3436" w:rsidRDefault="007D3436" w:rsidP="007D3436">
            <w:pPr>
              <w:tabs>
                <w:tab w:val="clear" w:pos="975"/>
              </w:tabs>
              <w:rPr>
                <w:iCs/>
              </w:rPr>
            </w:pPr>
            <w:r w:rsidRPr="0037654E">
              <w:rPr>
                <w:iCs/>
              </w:rPr>
              <w:t xml:space="preserve">Tolterodine MR capsules Green 3rd line (capsules) </w:t>
            </w:r>
            <w:r w:rsidRPr="007D3436">
              <w:rPr>
                <w:iCs/>
              </w:rPr>
              <w:t>(3)</w:t>
            </w:r>
          </w:p>
          <w:p w14:paraId="79D84D9C" w14:textId="77777777" w:rsidR="007D3436" w:rsidRPr="0037654E" w:rsidRDefault="007D3436" w:rsidP="007D3436">
            <w:pPr>
              <w:tabs>
                <w:tab w:val="clear" w:pos="975"/>
              </w:tabs>
              <w:rPr>
                <w:iCs/>
              </w:rPr>
            </w:pPr>
          </w:p>
          <w:p w14:paraId="7A2654C7" w14:textId="77777777" w:rsidR="007D3436" w:rsidRPr="0037654E" w:rsidRDefault="007D3436" w:rsidP="007D3436">
            <w:pPr>
              <w:tabs>
                <w:tab w:val="clear" w:pos="975"/>
              </w:tabs>
              <w:rPr>
                <w:iCs/>
              </w:rPr>
            </w:pPr>
            <w:r w:rsidRPr="0037654E">
              <w:rPr>
                <w:iCs/>
              </w:rPr>
              <w:t xml:space="preserve">Transdermal oxybutynin patch 3.9mg/24hours Green with guideline </w:t>
            </w:r>
            <w:r w:rsidRPr="007D3436">
              <w:rPr>
                <w:iCs/>
              </w:rPr>
              <w:t>(4)</w:t>
            </w:r>
          </w:p>
          <w:p w14:paraId="2B8F40EB" w14:textId="77777777" w:rsidR="007D3436" w:rsidRPr="007D3436" w:rsidRDefault="007D3436" w:rsidP="007D3436">
            <w:pPr>
              <w:tabs>
                <w:tab w:val="clear" w:pos="975"/>
              </w:tabs>
              <w:rPr>
                <w:iCs/>
              </w:rPr>
            </w:pPr>
            <w:r w:rsidRPr="0037654E">
              <w:rPr>
                <w:iCs/>
              </w:rPr>
              <w:t xml:space="preserve">Vibegron tablets Green with guideline 1st </w:t>
            </w:r>
            <w:r w:rsidRPr="007D3436">
              <w:rPr>
                <w:iCs/>
              </w:rPr>
              <w:t>(5)</w:t>
            </w:r>
          </w:p>
          <w:p w14:paraId="31BA3D21" w14:textId="77777777" w:rsidR="007D3436" w:rsidRPr="0037654E" w:rsidRDefault="007D3436" w:rsidP="007D3436">
            <w:pPr>
              <w:tabs>
                <w:tab w:val="clear" w:pos="975"/>
              </w:tabs>
              <w:rPr>
                <w:iCs/>
              </w:rPr>
            </w:pPr>
            <w:r w:rsidRPr="0037654E">
              <w:rPr>
                <w:iCs/>
              </w:rPr>
              <w:t xml:space="preserve">Mirabegron tablets Green with guideline 1st line </w:t>
            </w:r>
            <w:r w:rsidRPr="007D3436">
              <w:rPr>
                <w:iCs/>
              </w:rPr>
              <w:t>(5)</w:t>
            </w:r>
          </w:p>
          <w:p w14:paraId="50C7F8F3" w14:textId="77777777" w:rsidR="007D3436" w:rsidRDefault="007D3436" w:rsidP="007D3436">
            <w:pPr>
              <w:tabs>
                <w:tab w:val="clear" w:pos="975"/>
              </w:tabs>
              <w:rPr>
                <w:iCs/>
              </w:rPr>
            </w:pPr>
            <w:r w:rsidRPr="0037654E">
              <w:rPr>
                <w:iCs/>
              </w:rPr>
              <w:t>Desmopressin (</w:t>
            </w:r>
            <w:proofErr w:type="spellStart"/>
            <w:r w:rsidRPr="0037654E">
              <w:rPr>
                <w:iCs/>
              </w:rPr>
              <w:t>Noqdirna</w:t>
            </w:r>
            <w:proofErr w:type="spellEnd"/>
            <w:r w:rsidRPr="0037654E">
              <w:rPr>
                <w:iCs/>
              </w:rPr>
              <w:t xml:space="preserve">®) Oral </w:t>
            </w:r>
            <w:proofErr w:type="spellStart"/>
            <w:r w:rsidRPr="0037654E">
              <w:rPr>
                <w:iCs/>
              </w:rPr>
              <w:t>lyophilisate</w:t>
            </w:r>
            <w:proofErr w:type="spellEnd"/>
            <w:r w:rsidRPr="0037654E">
              <w:rPr>
                <w:iCs/>
              </w:rPr>
              <w:t xml:space="preserve"> Amber SR </w:t>
            </w:r>
            <w:r w:rsidRPr="007D3436">
              <w:rPr>
                <w:iCs/>
              </w:rPr>
              <w:t>(6)</w:t>
            </w:r>
          </w:p>
          <w:p w14:paraId="22A65394" w14:textId="77777777" w:rsidR="007D3436" w:rsidRDefault="007D3436" w:rsidP="007D3436">
            <w:pPr>
              <w:tabs>
                <w:tab w:val="clear" w:pos="975"/>
              </w:tabs>
              <w:rPr>
                <w:iCs/>
              </w:rPr>
            </w:pPr>
            <w:r w:rsidRPr="0037654E">
              <w:rPr>
                <w:iCs/>
              </w:rPr>
              <w:t xml:space="preserve">Duloxetine 20mg BD or 40mg BD </w:t>
            </w:r>
            <w:r>
              <w:rPr>
                <w:iCs/>
              </w:rPr>
              <w:t xml:space="preserve">Green </w:t>
            </w:r>
            <w:r w:rsidRPr="0037654E">
              <w:rPr>
                <w:iCs/>
              </w:rPr>
              <w:t>2nd line for stress urinary incontinence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E10B50" w14:textId="77777777" w:rsidR="007D3436" w:rsidRPr="007D3436" w:rsidRDefault="007D3436" w:rsidP="007D3436">
            <w:pPr>
              <w:tabs>
                <w:tab w:val="clear" w:pos="975"/>
              </w:tabs>
              <w:rPr>
                <w:rFonts w:eastAsiaTheme="minorHAnsi"/>
                <w:color w:val="000000" w:themeColor="text1"/>
              </w:rPr>
            </w:pPr>
            <w:r w:rsidRPr="007D3436">
              <w:rPr>
                <w:rFonts w:eastAsiaTheme="minorHAnsi"/>
                <w:color w:val="000000" w:themeColor="text1"/>
              </w:rPr>
              <w:t>Notes;</w:t>
            </w:r>
          </w:p>
          <w:p w14:paraId="117BDEE5" w14:textId="423B3E6B" w:rsidR="007D3436" w:rsidRPr="007D3436" w:rsidRDefault="007D3436" w:rsidP="007D3436">
            <w:pPr>
              <w:pStyle w:val="ListParagraph"/>
              <w:numPr>
                <w:ilvl w:val="0"/>
                <w:numId w:val="11"/>
              </w:numPr>
              <w:tabs>
                <w:tab w:val="clear" w:pos="975"/>
              </w:tabs>
              <w:ind w:left="360"/>
              <w:rPr>
                <w:rFonts w:eastAsiaTheme="minorHAnsi"/>
                <w:color w:val="000000" w:themeColor="text1"/>
              </w:rPr>
            </w:pPr>
            <w:proofErr w:type="spellStart"/>
            <w:r w:rsidRPr="007D3436">
              <w:rPr>
                <w:rFonts w:eastAsiaTheme="minorHAnsi"/>
                <w:color w:val="000000" w:themeColor="text1"/>
              </w:rPr>
              <w:t>Trospium</w:t>
            </w:r>
            <w:proofErr w:type="spellEnd"/>
            <w:r w:rsidRPr="007D3436">
              <w:rPr>
                <w:rFonts w:eastAsiaTheme="minorHAnsi"/>
                <w:color w:val="000000" w:themeColor="text1"/>
              </w:rPr>
              <w:t xml:space="preserve"> IR tablets are more cost-effective than MR capsules</w:t>
            </w:r>
          </w:p>
          <w:p w14:paraId="5822C112" w14:textId="5AB249D3" w:rsidR="007D3436" w:rsidRPr="007D3436" w:rsidRDefault="007D3436" w:rsidP="007D3436">
            <w:pPr>
              <w:pStyle w:val="ListParagraph"/>
              <w:numPr>
                <w:ilvl w:val="0"/>
                <w:numId w:val="11"/>
              </w:numPr>
              <w:tabs>
                <w:tab w:val="clear" w:pos="975"/>
              </w:tabs>
              <w:ind w:left="360"/>
              <w:rPr>
                <w:rFonts w:eastAsiaTheme="minorHAnsi"/>
                <w:color w:val="000000" w:themeColor="text1"/>
              </w:rPr>
            </w:pPr>
            <w:r w:rsidRPr="007D3436">
              <w:rPr>
                <w:rFonts w:eastAsiaTheme="minorHAnsi"/>
                <w:color w:val="000000" w:themeColor="text1"/>
              </w:rPr>
              <w:t xml:space="preserve">(NOT suitable in elderly / cognitive impairment) </w:t>
            </w:r>
          </w:p>
          <w:p w14:paraId="4855AD20" w14:textId="6994CB3A" w:rsidR="007D3436" w:rsidRPr="007D3436" w:rsidRDefault="007D3436" w:rsidP="007D3436">
            <w:pPr>
              <w:pStyle w:val="ListParagraph"/>
              <w:numPr>
                <w:ilvl w:val="0"/>
                <w:numId w:val="11"/>
              </w:numPr>
              <w:tabs>
                <w:tab w:val="clear" w:pos="975"/>
              </w:tabs>
              <w:ind w:left="360"/>
              <w:rPr>
                <w:rFonts w:eastAsiaTheme="minorHAnsi"/>
                <w:color w:val="000000" w:themeColor="text1"/>
              </w:rPr>
            </w:pPr>
            <w:r w:rsidRPr="007D3436">
              <w:rPr>
                <w:rFonts w:eastAsiaTheme="minorHAnsi"/>
                <w:color w:val="000000" w:themeColor="text1"/>
              </w:rPr>
              <w:t>(NOT suitable in elderly / cognitive impairment)  Only use if side effects with tolterodine IR that don't respond to dose reduction.</w:t>
            </w:r>
          </w:p>
          <w:p w14:paraId="19DF7972" w14:textId="0A9B75C4" w:rsidR="007D3436" w:rsidRPr="007D3436" w:rsidRDefault="007D3436" w:rsidP="007D3436">
            <w:pPr>
              <w:pStyle w:val="ListParagraph"/>
              <w:numPr>
                <w:ilvl w:val="0"/>
                <w:numId w:val="11"/>
              </w:numPr>
              <w:tabs>
                <w:tab w:val="clear" w:pos="975"/>
              </w:tabs>
              <w:ind w:left="360"/>
              <w:rPr>
                <w:rFonts w:eastAsiaTheme="minorHAnsi"/>
                <w:color w:val="000000" w:themeColor="text1"/>
              </w:rPr>
            </w:pPr>
            <w:r w:rsidRPr="007D3436">
              <w:rPr>
                <w:rFonts w:eastAsiaTheme="minorHAnsi"/>
                <w:color w:val="000000" w:themeColor="text1"/>
              </w:rPr>
              <w:t>(Only use if intolerant of oral anticholinergic choices)</w:t>
            </w:r>
          </w:p>
          <w:p w14:paraId="60A6CADC" w14:textId="77CF9DE6" w:rsidR="007D3436" w:rsidRDefault="007D3436" w:rsidP="007D3436">
            <w:pPr>
              <w:pStyle w:val="ListParagraph"/>
              <w:numPr>
                <w:ilvl w:val="0"/>
                <w:numId w:val="11"/>
              </w:numPr>
              <w:tabs>
                <w:tab w:val="clear" w:pos="975"/>
              </w:tabs>
              <w:ind w:left="360"/>
              <w:rPr>
                <w:rFonts w:eastAsiaTheme="minorHAnsi"/>
                <w:color w:val="000000" w:themeColor="text1"/>
              </w:rPr>
            </w:pPr>
            <w:r w:rsidRPr="007D3436">
              <w:rPr>
                <w:rFonts w:eastAsiaTheme="minorHAnsi"/>
                <w:color w:val="000000" w:themeColor="text1"/>
              </w:rPr>
              <w:t>If anticholinergics contraindicated/</w:t>
            </w:r>
            <w:r w:rsidR="009756E2">
              <w:rPr>
                <w:rFonts w:eastAsiaTheme="minorHAnsi"/>
                <w:color w:val="000000" w:themeColor="text1"/>
              </w:rPr>
              <w:t xml:space="preserve"> </w:t>
            </w:r>
            <w:r w:rsidRPr="007D3436">
              <w:rPr>
                <w:rFonts w:eastAsiaTheme="minorHAnsi"/>
                <w:color w:val="000000" w:themeColor="text1"/>
              </w:rPr>
              <w:t>unacceptable side effects/ at least 2 were not effective.</w:t>
            </w:r>
          </w:p>
          <w:p w14:paraId="21F41134" w14:textId="5189D8F3" w:rsidR="007D3436" w:rsidRPr="007D3436" w:rsidRDefault="007D3436" w:rsidP="007D3436">
            <w:pPr>
              <w:pStyle w:val="ListParagraph"/>
              <w:numPr>
                <w:ilvl w:val="0"/>
                <w:numId w:val="11"/>
              </w:numPr>
              <w:tabs>
                <w:tab w:val="clear" w:pos="975"/>
              </w:tabs>
              <w:ind w:left="360"/>
              <w:rPr>
                <w:rFonts w:eastAsiaTheme="minorHAnsi"/>
                <w:color w:val="000000" w:themeColor="text1"/>
              </w:rPr>
            </w:pPr>
            <w:r w:rsidRPr="007D3436">
              <w:rPr>
                <w:rFonts w:eastAsiaTheme="minorHAnsi"/>
                <w:color w:val="000000" w:themeColor="text1"/>
              </w:rPr>
              <w:t>(This is in-line with existing RAG rating for other oral desmopressin formulations)</w:t>
            </w:r>
          </w:p>
        </w:tc>
        <w:tc>
          <w:tcPr>
            <w:tcW w:w="2693" w:type="dxa"/>
            <w:tcBorders>
              <w:top w:val="single" w:sz="4" w:space="0" w:color="auto"/>
              <w:left w:val="single" w:sz="4" w:space="0" w:color="auto"/>
              <w:bottom w:val="single" w:sz="4" w:space="0" w:color="auto"/>
              <w:right w:val="single" w:sz="4" w:space="0" w:color="auto"/>
            </w:tcBorders>
          </w:tcPr>
          <w:p w14:paraId="2B44CA50" w14:textId="77777777" w:rsidR="007D3436" w:rsidRDefault="007D3436" w:rsidP="00AB3DAD">
            <w:pPr>
              <w:widowControl/>
              <w:tabs>
                <w:tab w:val="clear" w:pos="975"/>
                <w:tab w:val="left" w:pos="1134"/>
              </w:tabs>
              <w:autoSpaceDE/>
              <w:autoSpaceDN/>
              <w:spacing w:before="0" w:after="200"/>
              <w:contextualSpacing/>
              <w:rPr>
                <w:rFonts w:eastAsia="Times New Roman"/>
                <w:lang w:eastAsia="ja-JP"/>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0912316A" w14:textId="77777777" w:rsidR="007D3436" w:rsidRPr="001A014B" w:rsidRDefault="007D3436" w:rsidP="00AB3DAD">
            <w:pPr>
              <w:tabs>
                <w:tab w:val="clear" w:pos="975"/>
              </w:tabs>
            </w:pPr>
          </w:p>
        </w:tc>
      </w:tr>
    </w:tbl>
    <w:p w14:paraId="5AC65067" w14:textId="59649931" w:rsidR="003A01D0" w:rsidRDefault="003A01D0">
      <w:pPr>
        <w:tabs>
          <w:tab w:val="clear" w:pos="975"/>
        </w:tabs>
        <w:spacing w:before="0" w:after="0"/>
        <w:rPr>
          <w:sz w:val="20"/>
          <w:lang w:val="en-US" w:eastAsia="ja-JP"/>
        </w:rPr>
      </w:pPr>
    </w:p>
    <w:p w14:paraId="4E883551" w14:textId="77777777" w:rsidR="006629FB" w:rsidRDefault="006629FB" w:rsidP="00383A54">
      <w:pPr>
        <w:spacing w:before="0" w:after="0"/>
        <w:rPr>
          <w:sz w:val="20"/>
          <w:lang w:val="en-US" w:eastAsia="ja-JP"/>
        </w:rPr>
      </w:pPr>
    </w:p>
    <w:p w14:paraId="4DA93C8B" w14:textId="77777777" w:rsidR="007D3436" w:rsidRDefault="007D3436" w:rsidP="00383A54">
      <w:pPr>
        <w:spacing w:before="0" w:after="0"/>
        <w:rPr>
          <w:sz w:val="20"/>
          <w:lang w:val="en-US" w:eastAsia="ja-JP"/>
        </w:rPr>
      </w:pPr>
    </w:p>
    <w:tbl>
      <w:tblPr>
        <w:tblpPr w:leftFromText="180" w:rightFromText="180" w:vertAnchor="text" w:horzAnchor="margin" w:tblpX="-22" w:tblpY="21"/>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383A54" w14:paraId="662A5E34" w14:textId="77777777" w:rsidTr="009C22A2">
        <w:trPr>
          <w:cantSplit/>
        </w:trPr>
        <w:tc>
          <w:tcPr>
            <w:tcW w:w="5000" w:type="pct"/>
            <w:shd w:val="clear" w:color="auto" w:fill="auto"/>
          </w:tcPr>
          <w:p w14:paraId="1334A854" w14:textId="77777777" w:rsidR="009C22A2" w:rsidRPr="00383A54" w:rsidRDefault="009C22A2" w:rsidP="00901B84">
            <w:pPr>
              <w:tabs>
                <w:tab w:val="clear" w:pos="975"/>
              </w:tabs>
              <w:spacing w:before="120" w:after="120"/>
              <w:jc w:val="center"/>
              <w:rPr>
                <w:sz w:val="24"/>
                <w:szCs w:val="24"/>
              </w:rPr>
            </w:pPr>
            <w:r>
              <w:rPr>
                <w:rFonts w:eastAsia="Calibri"/>
                <w:b/>
                <w:color w:val="1F497D"/>
                <w:sz w:val="24"/>
                <w:szCs w:val="24"/>
              </w:rPr>
              <w:lastRenderedPageBreak/>
              <w:t>NICE Technology Appraisals and Guidance</w:t>
            </w:r>
          </w:p>
        </w:tc>
      </w:tr>
    </w:tbl>
    <w:p w14:paraId="66FF39B9" w14:textId="77777777" w:rsidR="007D3436" w:rsidRDefault="007D3436"/>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551"/>
        <w:gridCol w:w="3119"/>
        <w:gridCol w:w="3827"/>
        <w:gridCol w:w="2261"/>
      </w:tblGrid>
      <w:tr w:rsidR="006E26D1" w:rsidRPr="00253EC1" w14:paraId="735BDCC7" w14:textId="77777777" w:rsidTr="006263CB">
        <w:trPr>
          <w:cantSplit/>
          <w:trHeight w:val="548"/>
          <w:tblHeader/>
        </w:trPr>
        <w:tc>
          <w:tcPr>
            <w:tcW w:w="3681" w:type="dxa"/>
            <w:tcBorders>
              <w:bottom w:val="single" w:sz="4" w:space="0" w:color="auto"/>
            </w:tcBorders>
            <w:shd w:val="clear" w:color="auto" w:fill="C9ECFB"/>
          </w:tcPr>
          <w:p w14:paraId="07A40E0F" w14:textId="263FD4D1" w:rsidR="006E26D1" w:rsidRPr="007909C3" w:rsidRDefault="006E26D1" w:rsidP="00063CFB">
            <w:pPr>
              <w:tabs>
                <w:tab w:val="clear" w:pos="975"/>
              </w:tabs>
              <w:rPr>
                <w:rFonts w:eastAsia="Calibri"/>
                <w:b/>
              </w:rPr>
            </w:pPr>
            <w:r>
              <w:rPr>
                <w:rFonts w:eastAsia="Calibri"/>
                <w:b/>
              </w:rPr>
              <w:t>NICE Technology appraisal or guidance</w:t>
            </w:r>
          </w:p>
        </w:tc>
        <w:tc>
          <w:tcPr>
            <w:tcW w:w="2551" w:type="dxa"/>
            <w:tcBorders>
              <w:bottom w:val="single" w:sz="4" w:space="0" w:color="auto"/>
            </w:tcBorders>
            <w:shd w:val="clear" w:color="auto" w:fill="C9ECFB"/>
          </w:tcPr>
          <w:p w14:paraId="38F6EF07" w14:textId="77777777" w:rsidR="006E26D1" w:rsidRPr="007909C3" w:rsidRDefault="006E26D1" w:rsidP="00063CFB">
            <w:pPr>
              <w:tabs>
                <w:tab w:val="clear" w:pos="975"/>
              </w:tabs>
              <w:rPr>
                <w:rFonts w:eastAsia="Calibri"/>
                <w:b/>
              </w:rPr>
            </w:pPr>
            <w:r>
              <w:rPr>
                <w:rFonts w:eastAsia="Calibri"/>
                <w:b/>
              </w:rPr>
              <w:t>Status and formulary position assigned</w:t>
            </w:r>
          </w:p>
        </w:tc>
        <w:tc>
          <w:tcPr>
            <w:tcW w:w="3119" w:type="dxa"/>
            <w:tcBorders>
              <w:bottom w:val="single" w:sz="4" w:space="0" w:color="auto"/>
            </w:tcBorders>
            <w:shd w:val="clear" w:color="auto" w:fill="C9ECFB"/>
          </w:tcPr>
          <w:p w14:paraId="743CAF7D" w14:textId="77777777" w:rsidR="006E26D1" w:rsidRPr="007909C3" w:rsidRDefault="006E26D1" w:rsidP="00063CFB">
            <w:pPr>
              <w:tabs>
                <w:tab w:val="clear" w:pos="975"/>
              </w:tabs>
              <w:rPr>
                <w:rFonts w:eastAsia="Calibri"/>
                <w:b/>
              </w:rPr>
            </w:pPr>
            <w:r>
              <w:rPr>
                <w:rFonts w:eastAsia="Calibri"/>
                <w:b/>
              </w:rPr>
              <w:t>Notes on decision</w:t>
            </w:r>
          </w:p>
        </w:tc>
        <w:tc>
          <w:tcPr>
            <w:tcW w:w="3827" w:type="dxa"/>
            <w:tcBorders>
              <w:bottom w:val="single" w:sz="4" w:space="0" w:color="auto"/>
            </w:tcBorders>
            <w:shd w:val="clear" w:color="auto" w:fill="C9ECFB"/>
          </w:tcPr>
          <w:p w14:paraId="57254758" w14:textId="77777777" w:rsidR="006E26D1" w:rsidRPr="007909C3" w:rsidRDefault="006E26D1" w:rsidP="00063CFB">
            <w:pPr>
              <w:tabs>
                <w:tab w:val="clear" w:pos="975"/>
              </w:tabs>
              <w:rPr>
                <w:rFonts w:eastAsia="Calibri"/>
                <w:b/>
              </w:rPr>
            </w:pPr>
            <w:r>
              <w:rPr>
                <w:rFonts w:eastAsia="Calibri"/>
                <w:b/>
              </w:rPr>
              <w:t>Cost impact</w:t>
            </w:r>
          </w:p>
        </w:tc>
        <w:tc>
          <w:tcPr>
            <w:tcW w:w="2261" w:type="dxa"/>
            <w:tcBorders>
              <w:bottom w:val="single" w:sz="4" w:space="0" w:color="auto"/>
            </w:tcBorders>
            <w:shd w:val="clear" w:color="auto" w:fill="C9ECFB"/>
          </w:tcPr>
          <w:p w14:paraId="4C2EDB67" w14:textId="77777777" w:rsidR="006E26D1" w:rsidRPr="007909C3" w:rsidRDefault="006E26D1" w:rsidP="00063CFB">
            <w:pPr>
              <w:tabs>
                <w:tab w:val="clear" w:pos="975"/>
              </w:tabs>
              <w:rPr>
                <w:rFonts w:eastAsia="Calibri"/>
                <w:b/>
              </w:rPr>
            </w:pPr>
            <w:r>
              <w:rPr>
                <w:rFonts w:eastAsia="Calibri"/>
                <w:b/>
              </w:rPr>
              <w:t>Commissioning / service implications</w:t>
            </w:r>
          </w:p>
        </w:tc>
      </w:tr>
      <w:tr w:rsidR="00076DB7" w:rsidRPr="00253EC1" w14:paraId="51580223" w14:textId="77777777" w:rsidTr="006263CB">
        <w:trPr>
          <w:cantSplit/>
          <w:trHeight w:val="548"/>
        </w:trPr>
        <w:tc>
          <w:tcPr>
            <w:tcW w:w="3681" w:type="dxa"/>
            <w:shd w:val="clear" w:color="auto" w:fill="auto"/>
          </w:tcPr>
          <w:p w14:paraId="446109E9" w14:textId="77777777" w:rsidR="00076DB7" w:rsidRPr="00C52C3D" w:rsidRDefault="00076DB7" w:rsidP="00E970FD">
            <w:pPr>
              <w:tabs>
                <w:tab w:val="clear" w:pos="975"/>
              </w:tabs>
              <w:rPr>
                <w:b/>
                <w:bCs/>
              </w:rPr>
            </w:pPr>
            <w:hyperlink r:id="rId11" w:history="1">
              <w:r w:rsidRPr="00C52C3D">
                <w:rPr>
                  <w:rStyle w:val="Hyperlink"/>
                  <w:rFonts w:cs="Arial"/>
                  <w:b/>
                  <w:bCs/>
                </w:rPr>
                <w:t xml:space="preserve">TA753: </w:t>
              </w:r>
              <w:proofErr w:type="spellStart"/>
              <w:r w:rsidRPr="00C52C3D">
                <w:rPr>
                  <w:rStyle w:val="Hyperlink"/>
                  <w:rFonts w:cs="Arial"/>
                  <w:b/>
                  <w:bCs/>
                </w:rPr>
                <w:t>Cenobamate</w:t>
              </w:r>
              <w:proofErr w:type="spellEnd"/>
              <w:r w:rsidRPr="00C52C3D">
                <w:rPr>
                  <w:rStyle w:val="Hyperlink"/>
                  <w:rFonts w:cs="Arial"/>
                  <w:b/>
                  <w:bCs/>
                </w:rPr>
                <w:t xml:space="preserve"> for treating focal onset seizures in epilepsy </w:t>
              </w:r>
              <w:r w:rsidRPr="001D0863">
                <w:rPr>
                  <w:rStyle w:val="Hyperlink"/>
                  <w:rFonts w:cs="Arial"/>
                  <w:b/>
                  <w:bCs/>
                  <w:color w:val="000000"/>
                  <w:u w:val="none"/>
                </w:rPr>
                <w:t>(update)</w:t>
              </w:r>
            </w:hyperlink>
          </w:p>
          <w:p w14:paraId="59C5F75A" w14:textId="77777777" w:rsidR="00076DB7" w:rsidRPr="00B201F9" w:rsidRDefault="00076DB7" w:rsidP="00E970FD">
            <w:pPr>
              <w:tabs>
                <w:tab w:val="clear" w:pos="975"/>
              </w:tabs>
              <w:rPr>
                <w:b/>
                <w:bCs/>
              </w:rPr>
            </w:pPr>
            <w:r w:rsidRPr="00B201F9">
              <w:rPr>
                <w:b/>
                <w:bCs/>
              </w:rPr>
              <w:t>6 May 2025</w:t>
            </w:r>
          </w:p>
          <w:p w14:paraId="1AAF0B05" w14:textId="77777777" w:rsidR="00076DB7" w:rsidRPr="00B201F9" w:rsidRDefault="00076DB7" w:rsidP="00E970FD">
            <w:pPr>
              <w:tabs>
                <w:tab w:val="clear" w:pos="975"/>
              </w:tabs>
              <w:rPr>
                <w:b/>
                <w:bCs/>
              </w:rPr>
            </w:pPr>
            <w:r w:rsidRPr="00B201F9">
              <w:rPr>
                <w:b/>
                <w:bCs/>
              </w:rPr>
              <w:t>Commissioning: ICB</w:t>
            </w:r>
          </w:p>
          <w:p w14:paraId="42CA1075" w14:textId="6DC19C60" w:rsidR="00076DB7" w:rsidRPr="001C3140" w:rsidRDefault="00076DB7" w:rsidP="00E970FD">
            <w:pPr>
              <w:tabs>
                <w:tab w:val="left" w:pos="720"/>
              </w:tabs>
              <w:rPr>
                <w:lang w:val="en-US"/>
              </w:rPr>
            </w:pPr>
          </w:p>
        </w:tc>
        <w:tc>
          <w:tcPr>
            <w:tcW w:w="2551" w:type="dxa"/>
            <w:shd w:val="clear" w:color="auto" w:fill="auto"/>
          </w:tcPr>
          <w:p w14:paraId="1E4B1B8B" w14:textId="77777777" w:rsidR="00076DB7" w:rsidRDefault="00076DB7" w:rsidP="00371258">
            <w:pPr>
              <w:tabs>
                <w:tab w:val="clear" w:pos="975"/>
              </w:tabs>
            </w:pPr>
            <w:r>
              <w:t xml:space="preserve">No change to RAG status required. </w:t>
            </w:r>
          </w:p>
          <w:p w14:paraId="2A50005A" w14:textId="77777777" w:rsidR="00076DB7" w:rsidRDefault="00076DB7" w:rsidP="00371258">
            <w:pPr>
              <w:tabs>
                <w:tab w:val="clear" w:pos="975"/>
              </w:tabs>
            </w:pPr>
          </w:p>
          <w:p w14:paraId="5965681C" w14:textId="77777777" w:rsidR="00076DB7" w:rsidRDefault="00076DB7" w:rsidP="00CA025D">
            <w:pPr>
              <w:tabs>
                <w:tab w:val="clear" w:pos="975"/>
              </w:tabs>
            </w:pPr>
            <w:r>
              <w:t>Humber: amber 2 (specialist initiation)</w:t>
            </w:r>
          </w:p>
          <w:p w14:paraId="2257D7E9" w14:textId="77777777" w:rsidR="00076DB7" w:rsidRDefault="00076DB7" w:rsidP="00CA025D">
            <w:pPr>
              <w:tabs>
                <w:tab w:val="clear" w:pos="975"/>
              </w:tabs>
            </w:pPr>
          </w:p>
          <w:p w14:paraId="24973F55" w14:textId="1F02C20A" w:rsidR="00076DB7" w:rsidRDefault="00076DB7" w:rsidP="00CA025D">
            <w:pPr>
              <w:tabs>
                <w:tab w:val="clear" w:pos="975"/>
              </w:tabs>
            </w:pPr>
            <w:r>
              <w:t>NY&amp;Y: amber – (specialist initiation or recommendation)</w:t>
            </w:r>
          </w:p>
          <w:p w14:paraId="5CE6424D" w14:textId="36B56930" w:rsidR="00076DB7" w:rsidRPr="00870354" w:rsidRDefault="00076DB7" w:rsidP="00A6661E"/>
        </w:tc>
        <w:tc>
          <w:tcPr>
            <w:tcW w:w="3119" w:type="dxa"/>
            <w:shd w:val="clear" w:color="auto" w:fill="auto"/>
          </w:tcPr>
          <w:p w14:paraId="3798FC7F" w14:textId="77777777" w:rsidR="006A774D" w:rsidRDefault="006A774D" w:rsidP="006A774D">
            <w:pPr>
              <w:tabs>
                <w:tab w:val="clear" w:pos="975"/>
              </w:tabs>
            </w:pPr>
            <w:r w:rsidRPr="00C52C3D">
              <w:t>May 2025: The wording in recommendation 1.1 has been updated to address concerns raised by the clinical community that restricting starting treatment in a tertiary care setting has resulted in inequitable access to the treatment.</w:t>
            </w:r>
          </w:p>
          <w:p w14:paraId="088A7019" w14:textId="031B6417" w:rsidR="00076DB7" w:rsidRPr="00870354" w:rsidRDefault="006A774D" w:rsidP="006A774D">
            <w:r>
              <w:t>Guidance now recommends that: “</w:t>
            </w:r>
            <w:r w:rsidRPr="003A47D4">
              <w:t>treatment is started by a healthcare professional with expertise in epilepsy, after which treatment can be continued in primary care.</w:t>
            </w:r>
            <w:r>
              <w:t>”</w:t>
            </w:r>
          </w:p>
        </w:tc>
        <w:tc>
          <w:tcPr>
            <w:tcW w:w="3827" w:type="dxa"/>
          </w:tcPr>
          <w:p w14:paraId="32C16817" w14:textId="77777777" w:rsidR="009D2732" w:rsidRDefault="009D2732" w:rsidP="009D2732">
            <w:pPr>
              <w:tabs>
                <w:tab w:val="clear" w:pos="975"/>
              </w:tabs>
            </w:pPr>
            <w:r>
              <w:t>NICE</w:t>
            </w:r>
            <w:r w:rsidRPr="003A47D4">
              <w:t xml:space="preserve"> do not expect this guidance to have a significant impact on resources; that is, the resource impact of implementing the recommendations in England will be less than approximately £8,800 per 100,000 population</w:t>
            </w:r>
            <w:r>
              <w:t>.</w:t>
            </w:r>
          </w:p>
          <w:p w14:paraId="6A86A5AC" w14:textId="77777777" w:rsidR="009D2732" w:rsidRDefault="009D2732" w:rsidP="00076DB7">
            <w:pPr>
              <w:tabs>
                <w:tab w:val="clear" w:pos="975"/>
              </w:tabs>
            </w:pPr>
          </w:p>
          <w:p w14:paraId="575FBB62" w14:textId="66AE093A" w:rsidR="00076DB7" w:rsidRDefault="00076DB7" w:rsidP="006A774D">
            <w:pPr>
              <w:tabs>
                <w:tab w:val="clear" w:pos="975"/>
              </w:tabs>
            </w:pPr>
            <w:r w:rsidRPr="003A47D4">
              <w:t xml:space="preserve">This is because </w:t>
            </w:r>
            <w:proofErr w:type="spellStart"/>
            <w:r w:rsidRPr="003A47D4">
              <w:t>cenobamate</w:t>
            </w:r>
            <w:proofErr w:type="spellEnd"/>
            <w:r w:rsidRPr="003A47D4">
              <w:t xml:space="preserve"> is a further treatment option, the overall cost of treatment will be similar and </w:t>
            </w:r>
            <w:r>
              <w:t>NICE</w:t>
            </w:r>
            <w:r w:rsidRPr="003A47D4">
              <w:t xml:space="preserve"> do not think practice will change substantially as a result of this guidance. </w:t>
            </w:r>
          </w:p>
          <w:p w14:paraId="6C336117" w14:textId="77777777" w:rsidR="006263CB" w:rsidRDefault="006263CB" w:rsidP="006263CB"/>
          <w:p w14:paraId="237F9C51" w14:textId="389FF97F" w:rsidR="00076DB7" w:rsidRPr="00870354" w:rsidRDefault="00076DB7" w:rsidP="006263CB">
            <w:r>
              <w:t>Primary care prescribing data suggests there is already prescribing in primary care (approx. 1,600 items in HNY in financial year 2024/25).</w:t>
            </w:r>
          </w:p>
        </w:tc>
        <w:tc>
          <w:tcPr>
            <w:tcW w:w="2261" w:type="dxa"/>
          </w:tcPr>
          <w:p w14:paraId="178EAA28" w14:textId="77777777" w:rsidR="00076DB7" w:rsidRDefault="00594773" w:rsidP="00594773">
            <w:pPr>
              <w:ind w:left="35"/>
            </w:pPr>
            <w:r w:rsidRPr="003A47D4">
              <w:t xml:space="preserve">Short-term clinical evidence shows that </w:t>
            </w:r>
            <w:proofErr w:type="spellStart"/>
            <w:r w:rsidRPr="003A47D4">
              <w:t>cenobamate</w:t>
            </w:r>
            <w:proofErr w:type="spellEnd"/>
            <w:r w:rsidRPr="003A47D4">
              <w:t xml:space="preserve"> reduced the number of seizures and also increases how many people stop having any seizures. These benefits may result in capacity benefits from a reduction in administration and management costs.</w:t>
            </w:r>
          </w:p>
          <w:p w14:paraId="5F2289E6" w14:textId="77777777" w:rsidR="006263CB" w:rsidRPr="006263CB" w:rsidRDefault="006263CB" w:rsidP="006263CB"/>
          <w:p w14:paraId="5B07B282" w14:textId="3DA4D3A8" w:rsidR="006263CB" w:rsidRPr="006263CB" w:rsidRDefault="006263CB" w:rsidP="006263CB"/>
        </w:tc>
      </w:tr>
      <w:tr w:rsidR="005F42DB" w:rsidRPr="00253EC1" w14:paraId="2D0599DF" w14:textId="77777777" w:rsidTr="00CA562B">
        <w:trPr>
          <w:cantSplit/>
          <w:trHeight w:val="548"/>
        </w:trPr>
        <w:tc>
          <w:tcPr>
            <w:tcW w:w="15439" w:type="dxa"/>
            <w:gridSpan w:val="5"/>
            <w:shd w:val="clear" w:color="auto" w:fill="auto"/>
          </w:tcPr>
          <w:p w14:paraId="2C61A538" w14:textId="77777777" w:rsidR="005F42DB" w:rsidRDefault="005F42DB" w:rsidP="00870354">
            <w:pPr>
              <w:rPr>
                <w:lang w:val="en-US"/>
              </w:rPr>
            </w:pPr>
            <w:r>
              <w:rPr>
                <w:lang w:val="en-US"/>
              </w:rPr>
              <w:t xml:space="preserve">The following NHSE-commissioned medicines received positive NICE appraisals. They will be assessed by provider trusts once all necessary information is available, and if added to the HNY formulary they will have a status of RED </w:t>
            </w:r>
          </w:p>
          <w:p w14:paraId="2FB32E19" w14:textId="77777777" w:rsidR="00506D7F" w:rsidRPr="00506D7F" w:rsidRDefault="00506D7F" w:rsidP="008A3E64">
            <w:pPr>
              <w:pStyle w:val="ListParagraph"/>
              <w:numPr>
                <w:ilvl w:val="0"/>
                <w:numId w:val="5"/>
              </w:numPr>
              <w:tabs>
                <w:tab w:val="clear" w:pos="975"/>
              </w:tabs>
              <w:rPr>
                <w:b/>
                <w:bCs/>
              </w:rPr>
            </w:pPr>
            <w:hyperlink r:id="rId12" w:history="1">
              <w:r w:rsidRPr="00506D7F">
                <w:rPr>
                  <w:rStyle w:val="Hyperlink"/>
                  <w:rFonts w:cs="Arial"/>
                  <w:b/>
                  <w:bCs/>
                </w:rPr>
                <w:t>TA1059: Brentuximab vedotin in combination for untreated stage 3 or 4 CD30-positive Hodgkin lymphoma</w:t>
              </w:r>
            </w:hyperlink>
          </w:p>
          <w:p w14:paraId="0B56BAB7" w14:textId="77777777" w:rsidR="00047175" w:rsidRPr="008A3E64" w:rsidRDefault="00047175" w:rsidP="008A3E64">
            <w:pPr>
              <w:pStyle w:val="ListParagraph"/>
              <w:numPr>
                <w:ilvl w:val="0"/>
                <w:numId w:val="5"/>
              </w:numPr>
              <w:tabs>
                <w:tab w:val="clear" w:pos="975"/>
              </w:tabs>
              <w:rPr>
                <w:b/>
                <w:bCs/>
              </w:rPr>
            </w:pPr>
            <w:hyperlink r:id="rId13" w:history="1">
              <w:r w:rsidRPr="008A3E64">
                <w:rPr>
                  <w:rStyle w:val="Hyperlink"/>
                  <w:rFonts w:cs="Arial"/>
                  <w:b/>
                  <w:bCs/>
                </w:rPr>
                <w:t>TA1060: Osimertinib with pemetrexed and platinum-based chemotherapy for untreated EGFR mutation-positive advanced non-small-cell lung cancer</w:t>
              </w:r>
            </w:hyperlink>
          </w:p>
          <w:p w14:paraId="5CB9C781" w14:textId="77777777" w:rsidR="00E04976" w:rsidRPr="008A3E64" w:rsidRDefault="00E04976" w:rsidP="008A3E64">
            <w:pPr>
              <w:pStyle w:val="ListParagraph"/>
              <w:numPr>
                <w:ilvl w:val="0"/>
                <w:numId w:val="5"/>
              </w:numPr>
              <w:tabs>
                <w:tab w:val="clear" w:pos="975"/>
              </w:tabs>
              <w:rPr>
                <w:b/>
                <w:bCs/>
              </w:rPr>
            </w:pPr>
            <w:hyperlink r:id="rId14" w:history="1">
              <w:r w:rsidRPr="008A3E64">
                <w:rPr>
                  <w:rStyle w:val="Hyperlink"/>
                  <w:rFonts w:cs="Arial"/>
                  <w:b/>
                  <w:bCs/>
                </w:rPr>
                <w:t>TA1062: Erdafitinib for treating unresectable or metastatic urothelial cancer with FGFR3 alterations after a PD-1 or PD-L1 inhibitor</w:t>
              </w:r>
            </w:hyperlink>
          </w:p>
          <w:p w14:paraId="57E1F17F" w14:textId="77777777" w:rsidR="00AD7CAA" w:rsidRPr="008A3E64" w:rsidRDefault="00AD7CAA" w:rsidP="008A3E64">
            <w:pPr>
              <w:pStyle w:val="ListParagraph"/>
              <w:numPr>
                <w:ilvl w:val="0"/>
                <w:numId w:val="5"/>
              </w:numPr>
              <w:tabs>
                <w:tab w:val="clear" w:pos="975"/>
              </w:tabs>
              <w:rPr>
                <w:b/>
                <w:bCs/>
              </w:rPr>
            </w:pPr>
            <w:hyperlink r:id="rId15" w:history="1">
              <w:r w:rsidRPr="008A3E64">
                <w:rPr>
                  <w:rStyle w:val="Hyperlink"/>
                  <w:rFonts w:cs="Arial"/>
                  <w:b/>
                  <w:bCs/>
                </w:rPr>
                <w:t xml:space="preserve">TA1063: </w:t>
              </w:r>
              <w:proofErr w:type="spellStart"/>
              <w:r w:rsidRPr="008A3E64">
                <w:rPr>
                  <w:rStyle w:val="Hyperlink"/>
                  <w:rFonts w:cs="Arial"/>
                  <w:b/>
                  <w:bCs/>
                </w:rPr>
                <w:t>Capivasertib</w:t>
              </w:r>
              <w:proofErr w:type="spellEnd"/>
              <w:r w:rsidRPr="008A3E64">
                <w:rPr>
                  <w:rStyle w:val="Hyperlink"/>
                  <w:rFonts w:cs="Arial"/>
                  <w:b/>
                  <w:bCs/>
                </w:rPr>
                <w:t xml:space="preserve"> with fulvestrant for treating hormone receptor-positive HER2-negative advanced breast cancer after endocrine treatment</w:t>
              </w:r>
            </w:hyperlink>
          </w:p>
          <w:p w14:paraId="3A1A5D68" w14:textId="77777777" w:rsidR="00FE48AC" w:rsidRPr="008A3E64" w:rsidRDefault="00FE48AC" w:rsidP="008A3E64">
            <w:pPr>
              <w:pStyle w:val="ListParagraph"/>
              <w:numPr>
                <w:ilvl w:val="0"/>
                <w:numId w:val="5"/>
              </w:numPr>
              <w:rPr>
                <w:b/>
                <w:bCs/>
              </w:rPr>
            </w:pPr>
            <w:hyperlink r:id="rId16" w:history="1">
              <w:r w:rsidRPr="008A3E64">
                <w:rPr>
                  <w:rStyle w:val="Hyperlink"/>
                  <w:b/>
                  <w:bCs/>
                </w:rPr>
                <w:t xml:space="preserve">TA1064: </w:t>
              </w:r>
              <w:proofErr w:type="spellStart"/>
              <w:r w:rsidRPr="008A3E64">
                <w:rPr>
                  <w:rStyle w:val="Hyperlink"/>
                  <w:b/>
                  <w:bCs/>
                </w:rPr>
                <w:t>Dostarlimab</w:t>
              </w:r>
              <w:proofErr w:type="spellEnd"/>
              <w:r w:rsidRPr="008A3E64">
                <w:rPr>
                  <w:rStyle w:val="Hyperlink"/>
                  <w:b/>
                  <w:bCs/>
                </w:rPr>
                <w:t xml:space="preserve"> with platinum-based chemotherapy for treating primary advanced or recurrent endometrial cancer with high microsatellite instability or mismatch repair deficiency</w:t>
              </w:r>
            </w:hyperlink>
          </w:p>
          <w:p w14:paraId="7604B0F5" w14:textId="6CD9545B" w:rsidR="000B1C54" w:rsidRPr="008A3E64" w:rsidRDefault="0048178D" w:rsidP="006263CB">
            <w:pPr>
              <w:pStyle w:val="ListParagraph"/>
              <w:numPr>
                <w:ilvl w:val="0"/>
                <w:numId w:val="5"/>
              </w:numPr>
              <w:tabs>
                <w:tab w:val="clear" w:pos="975"/>
              </w:tabs>
            </w:pPr>
            <w:hyperlink r:id="rId17" w:history="1">
              <w:r w:rsidRPr="008A3E64">
                <w:rPr>
                  <w:rStyle w:val="Hyperlink"/>
                  <w:rFonts w:cs="Arial"/>
                  <w:b/>
                  <w:bCs/>
                </w:rPr>
                <w:t>TA1065: Nivolumab plus ipilimumab for untreated unresectable or metastatic colorectal cancer with high microsatellite instability or mismatch repair deficiency</w:t>
              </w:r>
            </w:hyperlink>
          </w:p>
        </w:tc>
      </w:tr>
      <w:tr w:rsidR="00890B23" w:rsidRPr="00253EC1" w14:paraId="0F3428C8" w14:textId="77777777" w:rsidTr="006E26D1">
        <w:trPr>
          <w:cantSplit/>
        </w:trPr>
        <w:tc>
          <w:tcPr>
            <w:tcW w:w="0" w:type="auto"/>
            <w:gridSpan w:val="5"/>
            <w:shd w:val="clear" w:color="auto" w:fill="auto"/>
          </w:tcPr>
          <w:p w14:paraId="74745772" w14:textId="77777777" w:rsidR="00890B23" w:rsidRDefault="00890B23" w:rsidP="0028306A">
            <w:pPr>
              <w:jc w:val="center"/>
              <w:rPr>
                <w:iCs/>
              </w:rPr>
            </w:pPr>
            <w:r w:rsidRPr="0028306A">
              <w:rPr>
                <w:rFonts w:eastAsia="Calibri"/>
                <w:sz w:val="20"/>
                <w:szCs w:val="20"/>
              </w:rPr>
              <w:t>All links to MHRA drug safety updates added to formulary as published. Significant alerts where further action is required are highlighted.</w:t>
            </w:r>
          </w:p>
        </w:tc>
      </w:tr>
    </w:tbl>
    <w:p w14:paraId="6A3D49F8" w14:textId="4C4B9C0A" w:rsidR="00686FE4" w:rsidRPr="00432265" w:rsidRDefault="00686FE4" w:rsidP="00432265">
      <w:pPr>
        <w:pStyle w:val="BodyText"/>
        <w:tabs>
          <w:tab w:val="clear" w:pos="975"/>
        </w:tabs>
        <w:spacing w:before="68" w:after="0"/>
        <w:ind w:left="1"/>
        <w:jc w:val="center"/>
        <w:rPr>
          <w:rFonts w:ascii="Helvetica" w:hAnsi="Helvetica" w:cs="Helvetica"/>
          <w:color w:val="4C4D4F"/>
        </w:rPr>
      </w:pPr>
    </w:p>
    <w:p w14:paraId="2AD71F3F" w14:textId="1F7D0753" w:rsidR="00121DDE" w:rsidRDefault="006E26D1" w:rsidP="00432265">
      <w:pPr>
        <w:pStyle w:val="BodyText"/>
        <w:spacing w:before="68"/>
        <w:ind w:left="1"/>
        <w:jc w:val="center"/>
        <w:rPr>
          <w:color w:val="4C4D4F"/>
        </w:rPr>
      </w:pPr>
      <w:r>
        <w:rPr>
          <w:color w:val="4C4D4F"/>
        </w:rPr>
        <w:t>HNY APC</w:t>
      </w:r>
      <w:r w:rsidR="00121DDE">
        <w:rPr>
          <w:color w:val="4C4D4F"/>
        </w:rPr>
        <w:t xml:space="preserve"> Professional Secretariat Provided by:</w:t>
      </w:r>
    </w:p>
    <w:p w14:paraId="6B573C23" w14:textId="1FD433E2" w:rsidR="00432265" w:rsidRDefault="00432265" w:rsidP="00432265">
      <w:pPr>
        <w:pStyle w:val="BodyText"/>
        <w:spacing w:before="68"/>
        <w:ind w:left="1"/>
        <w:jc w:val="center"/>
      </w:pPr>
      <w:r>
        <w:rPr>
          <w:color w:val="4C4D4F"/>
        </w:rPr>
        <w:t>Regional Drug and Therapeutics Centre</w:t>
      </w:r>
    </w:p>
    <w:p w14:paraId="0CAAF172" w14:textId="77777777" w:rsidR="00432265" w:rsidRDefault="00432265" w:rsidP="00432265">
      <w:pPr>
        <w:pStyle w:val="BodyText"/>
        <w:spacing w:before="4"/>
        <w:ind w:left="1"/>
        <w:jc w:val="center"/>
      </w:pPr>
      <w:r>
        <w:rPr>
          <w:color w:val="4C4D4F"/>
        </w:rPr>
        <w:t>16/17 Framlington Place, Newcastle upon Tyne, NE2 4AB</w:t>
      </w:r>
    </w:p>
    <w:p w14:paraId="5602DB6E" w14:textId="3B4A21C8" w:rsidR="00432265" w:rsidRDefault="00432265" w:rsidP="00BB0161">
      <w:pPr>
        <w:tabs>
          <w:tab w:val="left" w:pos="1770"/>
          <w:tab w:val="left" w:pos="3611"/>
          <w:tab w:val="left" w:pos="6712"/>
        </w:tabs>
        <w:spacing w:before="3"/>
        <w:jc w:val="center"/>
        <w:rPr>
          <w:sz w:val="15"/>
        </w:rPr>
      </w:pPr>
      <w:bookmarkStart w:id="1" w:name="_Hlk183004187"/>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18" w:history="1">
        <w:r w:rsidR="00BB0161" w:rsidRPr="00EF6157">
          <w:rPr>
            <w:rStyle w:val="Hyperlink"/>
            <w:rFonts w:cs="Arial"/>
          </w:rPr>
          <w:t>nuth.nyrdtc.rxsupp@nhs.net</w:t>
        </w:r>
      </w:hyperlink>
      <w:r w:rsidR="00BB0161">
        <w:t xml:space="preserve"> </w:t>
      </w:r>
      <w:r w:rsidR="00121DDE">
        <w:rPr>
          <w:color w:val="4C4D4F"/>
          <w:spacing w:val="19"/>
        </w:rPr>
        <w:t xml:space="preserve"> </w:t>
      </w:r>
      <w:r w:rsidR="006E26D1">
        <w:rPr>
          <w:color w:val="4C4D4F"/>
          <w:spacing w:val="19"/>
        </w:rPr>
        <w:t xml:space="preserve"> </w:t>
      </w:r>
      <w:r>
        <w:rPr>
          <w:color w:val="4C4D4F"/>
        </w:rPr>
        <w:t>visit:</w:t>
      </w:r>
      <w:r>
        <w:rPr>
          <w:color w:val="4C4D4F"/>
          <w:spacing w:val="4"/>
        </w:rPr>
        <w:t xml:space="preserve"> </w:t>
      </w:r>
      <w:hyperlink r:id="rId19" w:history="1">
        <w:r w:rsidR="00BB0161" w:rsidRPr="00EF6157">
          <w:rPr>
            <w:rStyle w:val="Hyperlink"/>
            <w:rFonts w:cs="Arial"/>
          </w:rPr>
          <w:t>https://humberandnorthyorkshire.org.uk/area-prescribing-committee-apc/</w:t>
        </w:r>
      </w:hyperlink>
      <w:r w:rsidR="00BB0161">
        <w:t xml:space="preserve"> </w:t>
      </w:r>
    </w:p>
    <w:bookmarkEnd w:id="1"/>
    <w:p w14:paraId="46A8EF24" w14:textId="77777777" w:rsidR="00432265" w:rsidRDefault="00432265" w:rsidP="00432265">
      <w:pPr>
        <w:ind w:left="12"/>
        <w:jc w:val="center"/>
      </w:pPr>
      <w:r>
        <w:rPr>
          <w:noProof/>
          <w:position w:val="-15"/>
          <w:lang w:eastAsia="en-GB"/>
        </w:rPr>
        <w:drawing>
          <wp:inline distT="0" distB="0" distL="0" distR="0" wp14:anchorId="29439FBE" wp14:editId="22541797">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0"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21">
        <w:r>
          <w:rPr>
            <w:color w:val="456DA9"/>
          </w:rPr>
          <w:t>@RDTC_Rx</w:t>
        </w:r>
      </w:hyperlink>
    </w:p>
    <w:p w14:paraId="59EB0C4C" w14:textId="77777777" w:rsidR="00432265" w:rsidRDefault="00432265" w:rsidP="00432265">
      <w:pPr>
        <w:spacing w:before="56" w:line="266" w:lineRule="auto"/>
        <w:ind w:left="613" w:right="610"/>
        <w:jc w:val="center"/>
        <w:rPr>
          <w:sz w:val="13"/>
        </w:rPr>
      </w:pPr>
      <w:r>
        <w:rPr>
          <w:color w:val="4C4D4F"/>
          <w:sz w:val="13"/>
        </w:rPr>
        <w:t>THIS DOCUMENT IS INTENDED FOR USE BY NHS HEALTHCARE PROFESSIONALS AND CANNOT BE USED FOR COMMERCIAL OR MARKETING PURPOSES. PATIENT INFORMATION ON MANY TOPICS CAN BE ACCESSED VIA NHS CHOICES</w:t>
      </w:r>
    </w:p>
    <w:p w14:paraId="0FC21B9B" w14:textId="77777777" w:rsidR="0016537D" w:rsidRDefault="0016537D" w:rsidP="00432265">
      <w:pPr>
        <w:pStyle w:val="BodyText"/>
        <w:tabs>
          <w:tab w:val="clear" w:pos="975"/>
        </w:tabs>
        <w:spacing w:before="68" w:after="0"/>
        <w:ind w:left="1"/>
        <w:jc w:val="center"/>
      </w:pPr>
    </w:p>
    <w:tbl>
      <w:tblPr>
        <w:tblStyle w:val="TableGrid"/>
        <w:tblW w:w="15382" w:type="dxa"/>
        <w:tblInd w:w="279" w:type="dxa"/>
        <w:tblLook w:val="04A0" w:firstRow="1" w:lastRow="0" w:firstColumn="1" w:lastColumn="0" w:noHBand="0" w:noVBand="1"/>
      </w:tblPr>
      <w:tblGrid>
        <w:gridCol w:w="2340"/>
        <w:gridCol w:w="5026"/>
        <w:gridCol w:w="2487"/>
        <w:gridCol w:w="5529"/>
      </w:tblGrid>
      <w:tr w:rsidR="007E18E4" w:rsidRPr="003E1755" w14:paraId="134B13FE" w14:textId="77777777" w:rsidTr="003E1755">
        <w:tc>
          <w:tcPr>
            <w:tcW w:w="15382" w:type="dxa"/>
            <w:gridSpan w:val="4"/>
            <w:shd w:val="clear" w:color="auto" w:fill="auto"/>
          </w:tcPr>
          <w:p w14:paraId="7C4F8FC3" w14:textId="3A66573F" w:rsidR="007E18E4" w:rsidRPr="003E1755" w:rsidRDefault="00FF245F" w:rsidP="007E18E4">
            <w:pPr>
              <w:rPr>
                <w:b/>
                <w:bCs/>
              </w:rPr>
            </w:pPr>
            <w:r>
              <w:br w:type="page"/>
            </w:r>
            <w:r w:rsidR="007E18E4" w:rsidRPr="003E1755">
              <w:rPr>
                <w:b/>
                <w:bCs/>
              </w:rPr>
              <w:t>RAG classifications for joint Humber and North Yorkshire ICB formulary</w:t>
            </w:r>
          </w:p>
        </w:tc>
      </w:tr>
      <w:tr w:rsidR="007E18E4" w:rsidRPr="003E1755" w14:paraId="06FDB248" w14:textId="2D1D7E07" w:rsidTr="003E1755">
        <w:tc>
          <w:tcPr>
            <w:tcW w:w="2340" w:type="dxa"/>
            <w:shd w:val="clear" w:color="auto" w:fill="FF0000"/>
          </w:tcPr>
          <w:p w14:paraId="3E925C72" w14:textId="77777777" w:rsidR="007E18E4" w:rsidRPr="003E1755" w:rsidRDefault="007E18E4" w:rsidP="007E18E4">
            <w:pPr>
              <w:rPr>
                <w:b/>
                <w:bCs/>
              </w:rPr>
            </w:pPr>
            <w:r w:rsidRPr="003E1755">
              <w:rPr>
                <w:b/>
                <w:bCs/>
              </w:rPr>
              <w:t xml:space="preserve">Red </w:t>
            </w:r>
          </w:p>
        </w:tc>
        <w:tc>
          <w:tcPr>
            <w:tcW w:w="5026" w:type="dxa"/>
          </w:tcPr>
          <w:p w14:paraId="0FF14EAB" w14:textId="77777777" w:rsidR="007E18E4" w:rsidRPr="003E1755" w:rsidRDefault="007E18E4" w:rsidP="007E18E4">
            <w:r w:rsidRPr="003E1755">
              <w:t xml:space="preserve">Specialist prescribing only </w:t>
            </w:r>
          </w:p>
          <w:p w14:paraId="3763B403" w14:textId="518F28E6" w:rsidR="007E18E4" w:rsidRPr="003E1755" w:rsidRDefault="007E18E4" w:rsidP="007E18E4">
            <w:r w:rsidRPr="003E1755">
              <w:t xml:space="preserve">The specialist initiates, continues and completes all ongoing monitoring. </w:t>
            </w:r>
          </w:p>
        </w:tc>
        <w:tc>
          <w:tcPr>
            <w:tcW w:w="2487" w:type="dxa"/>
            <w:shd w:val="clear" w:color="auto" w:fill="FFC000"/>
          </w:tcPr>
          <w:p w14:paraId="1F495ACC" w14:textId="77777777" w:rsidR="007E18E4" w:rsidRPr="003E1755" w:rsidRDefault="007E18E4" w:rsidP="007E18E4">
            <w:pPr>
              <w:rPr>
                <w:b/>
                <w:bCs/>
              </w:rPr>
            </w:pPr>
            <w:r w:rsidRPr="003E1755">
              <w:rPr>
                <w:b/>
                <w:bCs/>
              </w:rPr>
              <w:t>Amber specialist recommendation (Amber SR)</w:t>
            </w:r>
          </w:p>
          <w:p w14:paraId="5C2D04D9" w14:textId="77777777" w:rsidR="007E18E4" w:rsidRPr="003E1755" w:rsidRDefault="007E18E4" w:rsidP="007E18E4">
            <w:pPr>
              <w:rPr>
                <w:b/>
                <w:bCs/>
              </w:rPr>
            </w:pPr>
          </w:p>
          <w:p w14:paraId="6447963B" w14:textId="461FD046" w:rsidR="007E18E4" w:rsidRPr="003E1755" w:rsidRDefault="007E18E4" w:rsidP="007E18E4">
            <w:r w:rsidRPr="003E1755">
              <w:t>Formerly known as Amber 1 in Humber</w:t>
            </w:r>
          </w:p>
        </w:tc>
        <w:tc>
          <w:tcPr>
            <w:tcW w:w="5529" w:type="dxa"/>
          </w:tcPr>
          <w:p w14:paraId="4D85E64B" w14:textId="77777777" w:rsidR="007E18E4" w:rsidRPr="003E1755" w:rsidRDefault="007E18E4" w:rsidP="007E18E4">
            <w:r w:rsidRPr="003E1755">
              <w:t>Does not need to be initiated by a specialist but can be recommended by a specialist to general practice.</w:t>
            </w:r>
          </w:p>
          <w:p w14:paraId="5F788FD5" w14:textId="24E0B56C" w:rsidR="007E18E4" w:rsidRPr="003E1755" w:rsidRDefault="007E18E4" w:rsidP="007E18E4">
            <w:r w:rsidRPr="003E1755">
              <w:t>No ongoing arrangements between specialist and general practice. General practice can refer back to specialist at any time in relation to medication query, if required.</w:t>
            </w:r>
          </w:p>
        </w:tc>
      </w:tr>
      <w:tr w:rsidR="007E18E4" w:rsidRPr="003E1755" w14:paraId="35763245" w14:textId="2F32CE8C" w:rsidTr="003E1755">
        <w:tc>
          <w:tcPr>
            <w:tcW w:w="2340" w:type="dxa"/>
            <w:shd w:val="clear" w:color="auto" w:fill="FFC000"/>
          </w:tcPr>
          <w:p w14:paraId="4DAD29CE" w14:textId="77777777" w:rsidR="007E18E4" w:rsidRPr="003E1755" w:rsidRDefault="007E18E4" w:rsidP="007E18E4">
            <w:pPr>
              <w:rPr>
                <w:b/>
                <w:bCs/>
              </w:rPr>
            </w:pPr>
            <w:r w:rsidRPr="003E1755">
              <w:rPr>
                <w:b/>
                <w:bCs/>
                <w:shd w:val="clear" w:color="auto" w:fill="FFC000"/>
              </w:rPr>
              <w:t>Amber shared care</w:t>
            </w:r>
            <w:r w:rsidRPr="003E1755">
              <w:rPr>
                <w:b/>
                <w:bCs/>
              </w:rPr>
              <w:t xml:space="preserve"> (Amber SCP)</w:t>
            </w:r>
          </w:p>
        </w:tc>
        <w:tc>
          <w:tcPr>
            <w:tcW w:w="5026" w:type="dxa"/>
          </w:tcPr>
          <w:p w14:paraId="07299FC7" w14:textId="77777777" w:rsidR="007E18E4" w:rsidRPr="003E1755" w:rsidRDefault="007E18E4" w:rsidP="007E18E4">
            <w:pPr>
              <w:rPr>
                <w:color w:val="000000"/>
                <w:shd w:val="clear" w:color="auto" w:fill="FFFFFF"/>
              </w:rPr>
            </w:pPr>
            <w:r w:rsidRPr="003E1755">
              <w:rPr>
                <w:color w:val="000000"/>
                <w:shd w:val="clear" w:color="auto" w:fill="FFFFFF"/>
              </w:rPr>
              <w:t xml:space="preserve">Specialist initiation with ongoing monitoring </w:t>
            </w:r>
          </w:p>
          <w:p w14:paraId="62E343E6" w14:textId="77777777" w:rsidR="007E18E4" w:rsidRPr="003E1755" w:rsidRDefault="007E18E4" w:rsidP="007E18E4">
            <w:pPr>
              <w:rPr>
                <w:color w:val="000000"/>
                <w:shd w:val="clear" w:color="auto" w:fill="FFFFFF"/>
              </w:rPr>
            </w:pPr>
            <w:r w:rsidRPr="003E1755">
              <w:rPr>
                <w:color w:val="000000"/>
                <w:shd w:val="clear" w:color="auto" w:fill="FFFFFF"/>
              </w:rPr>
              <w:t xml:space="preserve">Medicines that must be initiated by a specialist*, and which require significant monitoring on an ongoing basis. </w:t>
            </w:r>
          </w:p>
          <w:p w14:paraId="43B0A7A5" w14:textId="77777777" w:rsidR="007E18E4" w:rsidRPr="003E1755" w:rsidRDefault="007E18E4" w:rsidP="007E18E4">
            <w:pPr>
              <w:rPr>
                <w:color w:val="000000"/>
                <w:shd w:val="clear" w:color="auto" w:fill="FFFFFF"/>
              </w:rPr>
            </w:pPr>
            <w:r w:rsidRPr="003E1755">
              <w:rPr>
                <w:color w:val="000000"/>
                <w:shd w:val="clear" w:color="auto" w:fill="FFFFFF"/>
              </w:rPr>
              <w:t>Full agreement to share the care of each specific patient must be reached under the shared care protocol (SCP) which must be provided to the primary care provider.</w:t>
            </w:r>
          </w:p>
          <w:p w14:paraId="6B1C3DA7" w14:textId="77777777" w:rsidR="007E18E4" w:rsidRPr="003E1755" w:rsidRDefault="007E18E4" w:rsidP="007E18E4">
            <w:pPr>
              <w:rPr>
                <w:color w:val="000000"/>
                <w:shd w:val="clear" w:color="auto" w:fill="FFFFFF"/>
              </w:rPr>
            </w:pPr>
            <w:r w:rsidRPr="003E1755">
              <w:rPr>
                <w:color w:val="000000"/>
                <w:shd w:val="clear" w:color="auto" w:fill="FFFFFF"/>
              </w:rPr>
              <w:t>If a commissioned SCP is not available these must be treated as red.</w:t>
            </w:r>
          </w:p>
        </w:tc>
        <w:tc>
          <w:tcPr>
            <w:tcW w:w="2487" w:type="dxa"/>
            <w:shd w:val="clear" w:color="auto" w:fill="92D050"/>
          </w:tcPr>
          <w:p w14:paraId="5B9CB278" w14:textId="77777777" w:rsidR="007E18E4" w:rsidRPr="003E1755" w:rsidRDefault="007E18E4" w:rsidP="007E18E4">
            <w:pPr>
              <w:rPr>
                <w:b/>
                <w:bCs/>
              </w:rPr>
            </w:pPr>
            <w:r w:rsidRPr="003E1755">
              <w:rPr>
                <w:b/>
                <w:bCs/>
              </w:rPr>
              <w:t>Green (with pathway/guideline)</w:t>
            </w:r>
          </w:p>
          <w:p w14:paraId="25779550" w14:textId="77777777" w:rsidR="007E18E4" w:rsidRPr="003E1755" w:rsidRDefault="007E18E4" w:rsidP="007E18E4">
            <w:pPr>
              <w:rPr>
                <w:b/>
                <w:bCs/>
              </w:rPr>
            </w:pPr>
          </w:p>
          <w:p w14:paraId="2B8A5296" w14:textId="77A7F13B" w:rsidR="007E18E4" w:rsidRPr="003E1755" w:rsidRDefault="007E18E4" w:rsidP="007E18E4">
            <w:pPr>
              <w:rPr>
                <w:color w:val="000000"/>
                <w:shd w:val="clear" w:color="auto" w:fill="FFFFFF"/>
              </w:rPr>
            </w:pPr>
            <w:r w:rsidRPr="003E1755">
              <w:t>Formerly known as Amber 1 in Humber</w:t>
            </w:r>
          </w:p>
        </w:tc>
        <w:tc>
          <w:tcPr>
            <w:tcW w:w="5529" w:type="dxa"/>
          </w:tcPr>
          <w:p w14:paraId="4B2AA77A" w14:textId="00DE561B" w:rsidR="007E18E4" w:rsidRPr="003E1755" w:rsidRDefault="007E18E4" w:rsidP="007E18E4">
            <w:pPr>
              <w:rPr>
                <w:color w:val="000000"/>
                <w:shd w:val="clear" w:color="auto" w:fill="FFFFFF"/>
              </w:rPr>
            </w:pPr>
            <w:r w:rsidRPr="003E1755">
              <w:t>Can be prescribed in primary care in line with a recommended approved pathway/guideline.</w:t>
            </w:r>
          </w:p>
        </w:tc>
      </w:tr>
      <w:tr w:rsidR="007E18E4" w:rsidRPr="003E1755" w14:paraId="2A87E35C" w14:textId="3E67CC43" w:rsidTr="003E1755">
        <w:tc>
          <w:tcPr>
            <w:tcW w:w="2340" w:type="dxa"/>
            <w:shd w:val="clear" w:color="auto" w:fill="FFC000"/>
          </w:tcPr>
          <w:p w14:paraId="12734BA0" w14:textId="77777777" w:rsidR="007E18E4" w:rsidRPr="003E1755" w:rsidRDefault="007E18E4" w:rsidP="007E18E4">
            <w:pPr>
              <w:rPr>
                <w:b/>
                <w:bCs/>
              </w:rPr>
            </w:pPr>
            <w:r w:rsidRPr="003E1755">
              <w:rPr>
                <w:b/>
                <w:bCs/>
              </w:rPr>
              <w:t>Amber specialist initiation</w:t>
            </w:r>
          </w:p>
          <w:p w14:paraId="6C28E255" w14:textId="77777777" w:rsidR="007E18E4" w:rsidRPr="003E1755" w:rsidRDefault="007E18E4" w:rsidP="007E18E4">
            <w:pPr>
              <w:rPr>
                <w:b/>
                <w:bCs/>
              </w:rPr>
            </w:pPr>
            <w:r w:rsidRPr="003E1755">
              <w:rPr>
                <w:b/>
                <w:bCs/>
              </w:rPr>
              <w:t>(Amber SI)</w:t>
            </w:r>
          </w:p>
          <w:p w14:paraId="777FD355" w14:textId="77777777" w:rsidR="007E18E4" w:rsidRPr="003E1755" w:rsidRDefault="007E18E4" w:rsidP="007E18E4">
            <w:pPr>
              <w:rPr>
                <w:b/>
                <w:bCs/>
              </w:rPr>
            </w:pPr>
          </w:p>
          <w:p w14:paraId="7DDB58D7" w14:textId="77777777" w:rsidR="007E18E4" w:rsidRPr="003E1755" w:rsidRDefault="007E18E4" w:rsidP="007E18E4">
            <w:r w:rsidRPr="003E1755">
              <w:t>Formerly known as Amber 2 in Humber</w:t>
            </w:r>
          </w:p>
        </w:tc>
        <w:tc>
          <w:tcPr>
            <w:tcW w:w="5026" w:type="dxa"/>
          </w:tcPr>
          <w:p w14:paraId="62EC1EC6" w14:textId="6466A9DB" w:rsidR="007E18E4" w:rsidRPr="003E1755" w:rsidRDefault="007E18E4" w:rsidP="007E18E4">
            <w:r w:rsidRPr="003E1755">
              <w:t>Must be started by a specialist and remain with specialist until the patient is stable on the new medicine but can then be transferred to primary care (general practice) to continue prescribing without ongoing arrangements between specialist and general practice. General practice can refer back to specialist at any time in relation to medication query, if required.</w:t>
            </w:r>
          </w:p>
          <w:p w14:paraId="176576B6" w14:textId="77777777" w:rsidR="007E18E4" w:rsidRPr="003E1755" w:rsidRDefault="007E18E4" w:rsidP="007E18E4"/>
        </w:tc>
        <w:tc>
          <w:tcPr>
            <w:tcW w:w="2487" w:type="dxa"/>
            <w:shd w:val="clear" w:color="auto" w:fill="92D050"/>
          </w:tcPr>
          <w:p w14:paraId="2C5B704D" w14:textId="6C99EC0C" w:rsidR="007E18E4" w:rsidRPr="003E1755" w:rsidRDefault="007E18E4" w:rsidP="007E18E4">
            <w:r w:rsidRPr="003E1755">
              <w:rPr>
                <w:b/>
                <w:bCs/>
              </w:rPr>
              <w:t>Green (no pathway/guideline)</w:t>
            </w:r>
          </w:p>
        </w:tc>
        <w:tc>
          <w:tcPr>
            <w:tcW w:w="5529" w:type="dxa"/>
          </w:tcPr>
          <w:p w14:paraId="680188EF" w14:textId="77777777" w:rsidR="007E18E4" w:rsidRPr="003E1755" w:rsidRDefault="007E18E4" w:rsidP="007E18E4">
            <w:r w:rsidRPr="003E1755">
              <w:rPr>
                <w:color w:val="000000"/>
                <w:shd w:val="clear" w:color="auto" w:fill="FFFFFF"/>
              </w:rPr>
              <w:t xml:space="preserve">Medicines suitable for routine use within primary care and secondary care. </w:t>
            </w:r>
          </w:p>
          <w:p w14:paraId="2F13F11F" w14:textId="1DEF38E1" w:rsidR="007E18E4" w:rsidRPr="003E1755" w:rsidRDefault="007E18E4" w:rsidP="007E18E4">
            <w:r w:rsidRPr="003E1755">
              <w:t>Can be prescribed in primary care, as per the wording on the formulary and considering both the drug SPC and BNF.</w:t>
            </w:r>
          </w:p>
        </w:tc>
      </w:tr>
    </w:tbl>
    <w:p w14:paraId="31164644" w14:textId="77777777" w:rsidR="007E18E4" w:rsidRDefault="007E18E4" w:rsidP="00432265">
      <w:pPr>
        <w:pStyle w:val="BodyText"/>
        <w:tabs>
          <w:tab w:val="clear" w:pos="975"/>
        </w:tabs>
        <w:spacing w:before="68" w:after="0"/>
        <w:ind w:left="1"/>
        <w:jc w:val="center"/>
      </w:pPr>
    </w:p>
    <w:sectPr w:rsidR="007E18E4" w:rsidSect="006E26D1">
      <w:footerReference w:type="even" r:id="rId22"/>
      <w:footerReference w:type="default" r:id="rId23"/>
      <w:footerReference w:type="first" r:id="rId24"/>
      <w:pgSz w:w="16840" w:h="11910" w:orient="landscape" w:code="9"/>
      <w:pgMar w:top="567" w:right="522" w:bottom="992" w:left="425" w:header="720" w:footer="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22A0" w14:textId="77777777" w:rsidR="00F84930" w:rsidRDefault="00F84930" w:rsidP="007909C3">
      <w:r>
        <w:separator/>
      </w:r>
    </w:p>
  </w:endnote>
  <w:endnote w:type="continuationSeparator" w:id="0">
    <w:p w14:paraId="3946B512" w14:textId="77777777" w:rsidR="00F84930" w:rsidRDefault="00F84930"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DC2D" w14:textId="40C8110E" w:rsidR="003E1755" w:rsidRDefault="00383A54" w:rsidP="007909C3">
    <w:pPr>
      <w:pStyle w:val="Footer"/>
    </w:pPr>
    <w:r>
      <w:rPr>
        <w:noProof/>
        <w:sz w:val="13"/>
        <w:lang w:eastAsia="en-GB"/>
      </w:rPr>
      <w:drawing>
        <wp:inline distT="0" distB="0" distL="0" distR="0" wp14:anchorId="68613B1F" wp14:editId="7526119D">
          <wp:extent cx="539497" cy="222504"/>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003E1755" w:rsidRPr="003E1755">
      <w:t>* See end of document for full RAG definitions</w:t>
    </w:r>
  </w:p>
  <w:p w14:paraId="1732AC2A" w14:textId="1B9E1821" w:rsidR="00761464" w:rsidRDefault="003E1755" w:rsidP="007909C3">
    <w:pPr>
      <w:pStyle w:val="Footer"/>
    </w:pPr>
    <w:r>
      <w:tab/>
      <w:t xml:space="preserve">           </w:t>
    </w:r>
    <w:r w:rsidR="00383A54" w:rsidRPr="00B47BFE">
      <w:t>Produced by the Regional Drug and Therapeutics Centre</w:t>
    </w:r>
    <w:r w:rsidR="00383A54">
      <w:tab/>
    </w:r>
    <w:r w:rsidR="00383A54">
      <w:tab/>
    </w:r>
    <w:r w:rsidR="00383A54">
      <w:tab/>
    </w:r>
    <w:r w:rsidR="00383A54">
      <w:tab/>
    </w:r>
    <w:r w:rsidR="00383A54">
      <w:tab/>
    </w:r>
    <w:r w:rsidR="00383A54">
      <w:tab/>
    </w:r>
    <w:r w:rsidR="00383A54">
      <w:tab/>
    </w:r>
    <w:r w:rsidR="00383A54">
      <w:tab/>
    </w:r>
    <w:r w:rsidR="00383A54">
      <w:tab/>
    </w:r>
    <w:r w:rsidR="006263CB">
      <w:t>June</w:t>
    </w:r>
    <w:r w:rsidR="00690336">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31AC" w14:textId="6FA03133" w:rsidR="00383A54" w:rsidRDefault="00383A54" w:rsidP="007909C3">
    <w:pPr>
      <w:pStyle w:val="Footer"/>
    </w:pPr>
    <w:r>
      <w:rPr>
        <w:noProof/>
        <w:sz w:val="13"/>
        <w:lang w:eastAsia="en-GB"/>
      </w:rPr>
      <w:drawing>
        <wp:inline distT="0" distB="0" distL="0" distR="0" wp14:anchorId="507EAFD1" wp14:editId="272BC177">
          <wp:extent cx="539497" cy="22250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tab/>
    </w:r>
    <w:r>
      <w:tab/>
    </w:r>
    <w:r w:rsidR="00827FE8">
      <w:t>October</w:t>
    </w:r>
    <w:r w:rsidR="0087035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FD04A" w14:textId="77777777" w:rsidR="00F84930" w:rsidRDefault="00F84930" w:rsidP="007909C3">
      <w:r>
        <w:separator/>
      </w:r>
    </w:p>
  </w:footnote>
  <w:footnote w:type="continuationSeparator" w:id="0">
    <w:p w14:paraId="4360353E" w14:textId="77777777" w:rsidR="00F84930" w:rsidRDefault="00F84930" w:rsidP="0079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4EF"/>
    <w:multiLevelType w:val="hybridMultilevel"/>
    <w:tmpl w:val="01381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D4227"/>
    <w:multiLevelType w:val="hybridMultilevel"/>
    <w:tmpl w:val="24BCB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F7E1B"/>
    <w:multiLevelType w:val="hybridMultilevel"/>
    <w:tmpl w:val="3B00F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7344CB"/>
    <w:multiLevelType w:val="hybridMultilevel"/>
    <w:tmpl w:val="626C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B221E"/>
    <w:multiLevelType w:val="hybridMultilevel"/>
    <w:tmpl w:val="2370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12608"/>
    <w:multiLevelType w:val="hybridMultilevel"/>
    <w:tmpl w:val="7550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E62E7"/>
    <w:multiLevelType w:val="hybridMultilevel"/>
    <w:tmpl w:val="0C9AC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DE0840"/>
    <w:multiLevelType w:val="hybridMultilevel"/>
    <w:tmpl w:val="3A2890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7851CE3"/>
    <w:multiLevelType w:val="hybridMultilevel"/>
    <w:tmpl w:val="B66A9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E80B13"/>
    <w:multiLevelType w:val="hybridMultilevel"/>
    <w:tmpl w:val="2C2298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90285586">
    <w:abstractNumId w:val="3"/>
  </w:num>
  <w:num w:numId="2" w16cid:durableId="987050143">
    <w:abstractNumId w:val="5"/>
  </w:num>
  <w:num w:numId="3" w16cid:durableId="1347630567">
    <w:abstractNumId w:val="8"/>
  </w:num>
  <w:num w:numId="4" w16cid:durableId="1714304817">
    <w:abstractNumId w:val="10"/>
  </w:num>
  <w:num w:numId="5" w16cid:durableId="1409771954">
    <w:abstractNumId w:val="9"/>
  </w:num>
  <w:num w:numId="6" w16cid:durableId="1880435926">
    <w:abstractNumId w:val="2"/>
  </w:num>
  <w:num w:numId="7" w16cid:durableId="1720321285">
    <w:abstractNumId w:val="7"/>
  </w:num>
  <w:num w:numId="8" w16cid:durableId="496459466">
    <w:abstractNumId w:val="6"/>
  </w:num>
  <w:num w:numId="9" w16cid:durableId="339894829">
    <w:abstractNumId w:val="4"/>
  </w:num>
  <w:num w:numId="10" w16cid:durableId="123089266">
    <w:abstractNumId w:val="1"/>
  </w:num>
  <w:num w:numId="11" w16cid:durableId="4221484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DF"/>
    <w:rsid w:val="00007A83"/>
    <w:rsid w:val="00014B00"/>
    <w:rsid w:val="0003501F"/>
    <w:rsid w:val="000445EA"/>
    <w:rsid w:val="00047175"/>
    <w:rsid w:val="00051DB8"/>
    <w:rsid w:val="00052D53"/>
    <w:rsid w:val="00053A7D"/>
    <w:rsid w:val="000676AA"/>
    <w:rsid w:val="0007607C"/>
    <w:rsid w:val="00076DB7"/>
    <w:rsid w:val="00096427"/>
    <w:rsid w:val="000A1DB8"/>
    <w:rsid w:val="000A1EB8"/>
    <w:rsid w:val="000A4068"/>
    <w:rsid w:val="000B1C54"/>
    <w:rsid w:val="000B5DED"/>
    <w:rsid w:val="000C4518"/>
    <w:rsid w:val="000D39B5"/>
    <w:rsid w:val="00100055"/>
    <w:rsid w:val="00121DDE"/>
    <w:rsid w:val="00130E9F"/>
    <w:rsid w:val="00150937"/>
    <w:rsid w:val="00151934"/>
    <w:rsid w:val="00163CC8"/>
    <w:rsid w:val="00164BE9"/>
    <w:rsid w:val="0016537D"/>
    <w:rsid w:val="0017149C"/>
    <w:rsid w:val="001849DB"/>
    <w:rsid w:val="001A014B"/>
    <w:rsid w:val="001A56EE"/>
    <w:rsid w:val="001B293E"/>
    <w:rsid w:val="001B5482"/>
    <w:rsid w:val="001C291E"/>
    <w:rsid w:val="001C3140"/>
    <w:rsid w:val="001D0142"/>
    <w:rsid w:val="001F0421"/>
    <w:rsid w:val="001F28EB"/>
    <w:rsid w:val="002112E3"/>
    <w:rsid w:val="002243E0"/>
    <w:rsid w:val="002544D2"/>
    <w:rsid w:val="0028057F"/>
    <w:rsid w:val="0028306A"/>
    <w:rsid w:val="00284386"/>
    <w:rsid w:val="00287462"/>
    <w:rsid w:val="00297D20"/>
    <w:rsid w:val="002A386D"/>
    <w:rsid w:val="002A760C"/>
    <w:rsid w:val="002B7031"/>
    <w:rsid w:val="002C038B"/>
    <w:rsid w:val="002C17ED"/>
    <w:rsid w:val="002D5A93"/>
    <w:rsid w:val="002D6B55"/>
    <w:rsid w:val="002E79FF"/>
    <w:rsid w:val="00304E07"/>
    <w:rsid w:val="0030517F"/>
    <w:rsid w:val="00310A03"/>
    <w:rsid w:val="00317A38"/>
    <w:rsid w:val="00331B30"/>
    <w:rsid w:val="00341777"/>
    <w:rsid w:val="00350A04"/>
    <w:rsid w:val="00364888"/>
    <w:rsid w:val="003662FE"/>
    <w:rsid w:val="003675E8"/>
    <w:rsid w:val="003679C5"/>
    <w:rsid w:val="0037084A"/>
    <w:rsid w:val="00371258"/>
    <w:rsid w:val="003721C9"/>
    <w:rsid w:val="00383847"/>
    <w:rsid w:val="00383A54"/>
    <w:rsid w:val="00383CC5"/>
    <w:rsid w:val="003872B1"/>
    <w:rsid w:val="00394717"/>
    <w:rsid w:val="003A01D0"/>
    <w:rsid w:val="003A0939"/>
    <w:rsid w:val="003A0AA7"/>
    <w:rsid w:val="003A3E0B"/>
    <w:rsid w:val="003A5EA1"/>
    <w:rsid w:val="003B1091"/>
    <w:rsid w:val="003B42C3"/>
    <w:rsid w:val="003B47BF"/>
    <w:rsid w:val="003E1755"/>
    <w:rsid w:val="003F1A3A"/>
    <w:rsid w:val="00432265"/>
    <w:rsid w:val="00433C32"/>
    <w:rsid w:val="004655E8"/>
    <w:rsid w:val="00470C0F"/>
    <w:rsid w:val="0048178D"/>
    <w:rsid w:val="004B3656"/>
    <w:rsid w:val="004C5CB1"/>
    <w:rsid w:val="004C6BED"/>
    <w:rsid w:val="004E5F2D"/>
    <w:rsid w:val="00506D7F"/>
    <w:rsid w:val="00520948"/>
    <w:rsid w:val="00521D47"/>
    <w:rsid w:val="00523AE2"/>
    <w:rsid w:val="00534740"/>
    <w:rsid w:val="005374A0"/>
    <w:rsid w:val="00550B09"/>
    <w:rsid w:val="00557E9D"/>
    <w:rsid w:val="00560ADF"/>
    <w:rsid w:val="0056112A"/>
    <w:rsid w:val="005617A9"/>
    <w:rsid w:val="00562B5A"/>
    <w:rsid w:val="00566C50"/>
    <w:rsid w:val="00575111"/>
    <w:rsid w:val="00594773"/>
    <w:rsid w:val="005A38DA"/>
    <w:rsid w:val="005A7F37"/>
    <w:rsid w:val="005B1A2C"/>
    <w:rsid w:val="005B6E51"/>
    <w:rsid w:val="005C2563"/>
    <w:rsid w:val="005C31E2"/>
    <w:rsid w:val="005C3CE2"/>
    <w:rsid w:val="005F1105"/>
    <w:rsid w:val="005F42DB"/>
    <w:rsid w:val="00601C48"/>
    <w:rsid w:val="006172B8"/>
    <w:rsid w:val="006263CB"/>
    <w:rsid w:val="00630CB4"/>
    <w:rsid w:val="006629FB"/>
    <w:rsid w:val="00684989"/>
    <w:rsid w:val="0068542C"/>
    <w:rsid w:val="00686FE4"/>
    <w:rsid w:val="00690336"/>
    <w:rsid w:val="006A774D"/>
    <w:rsid w:val="006B4F2B"/>
    <w:rsid w:val="006E26D1"/>
    <w:rsid w:val="006E3D7B"/>
    <w:rsid w:val="006F093A"/>
    <w:rsid w:val="007030B7"/>
    <w:rsid w:val="00732CE6"/>
    <w:rsid w:val="00734652"/>
    <w:rsid w:val="00742E67"/>
    <w:rsid w:val="00761464"/>
    <w:rsid w:val="00787BA5"/>
    <w:rsid w:val="0079078F"/>
    <w:rsid w:val="007909C3"/>
    <w:rsid w:val="00792C42"/>
    <w:rsid w:val="007A31AE"/>
    <w:rsid w:val="007A6E02"/>
    <w:rsid w:val="007C5570"/>
    <w:rsid w:val="007D3436"/>
    <w:rsid w:val="007E18E4"/>
    <w:rsid w:val="007F044F"/>
    <w:rsid w:val="007F1855"/>
    <w:rsid w:val="0080238C"/>
    <w:rsid w:val="008072D2"/>
    <w:rsid w:val="0081642A"/>
    <w:rsid w:val="00827FE8"/>
    <w:rsid w:val="00837B4D"/>
    <w:rsid w:val="008400C9"/>
    <w:rsid w:val="00842E14"/>
    <w:rsid w:val="00862815"/>
    <w:rsid w:val="00870354"/>
    <w:rsid w:val="008810B3"/>
    <w:rsid w:val="00885EE2"/>
    <w:rsid w:val="00890B23"/>
    <w:rsid w:val="00894352"/>
    <w:rsid w:val="008A2AEF"/>
    <w:rsid w:val="008A3E64"/>
    <w:rsid w:val="008A6AF7"/>
    <w:rsid w:val="008C0B9E"/>
    <w:rsid w:val="008C66BC"/>
    <w:rsid w:val="008D2039"/>
    <w:rsid w:val="00905F02"/>
    <w:rsid w:val="009108ED"/>
    <w:rsid w:val="00920C27"/>
    <w:rsid w:val="00922D21"/>
    <w:rsid w:val="00931096"/>
    <w:rsid w:val="00931A71"/>
    <w:rsid w:val="00946212"/>
    <w:rsid w:val="0095030D"/>
    <w:rsid w:val="00953DFA"/>
    <w:rsid w:val="009756E2"/>
    <w:rsid w:val="00980DA8"/>
    <w:rsid w:val="00983E23"/>
    <w:rsid w:val="009846C4"/>
    <w:rsid w:val="009A721C"/>
    <w:rsid w:val="009B241F"/>
    <w:rsid w:val="009B5E88"/>
    <w:rsid w:val="009C22A2"/>
    <w:rsid w:val="009C318B"/>
    <w:rsid w:val="009D2732"/>
    <w:rsid w:val="009E14AC"/>
    <w:rsid w:val="009E2578"/>
    <w:rsid w:val="009E5F4F"/>
    <w:rsid w:val="009F1555"/>
    <w:rsid w:val="009F7AC9"/>
    <w:rsid w:val="00A00C8F"/>
    <w:rsid w:val="00A01100"/>
    <w:rsid w:val="00A041A7"/>
    <w:rsid w:val="00A128CC"/>
    <w:rsid w:val="00A17C46"/>
    <w:rsid w:val="00A40321"/>
    <w:rsid w:val="00A52257"/>
    <w:rsid w:val="00A6661E"/>
    <w:rsid w:val="00A71850"/>
    <w:rsid w:val="00A86EB5"/>
    <w:rsid w:val="00A9155E"/>
    <w:rsid w:val="00AA2250"/>
    <w:rsid w:val="00AA2E11"/>
    <w:rsid w:val="00AA7BB9"/>
    <w:rsid w:val="00AC6922"/>
    <w:rsid w:val="00AD11D3"/>
    <w:rsid w:val="00AD7CAA"/>
    <w:rsid w:val="00AF1D87"/>
    <w:rsid w:val="00AF7C38"/>
    <w:rsid w:val="00AF7FFC"/>
    <w:rsid w:val="00B16D53"/>
    <w:rsid w:val="00B221D6"/>
    <w:rsid w:val="00B37BF8"/>
    <w:rsid w:val="00B4247C"/>
    <w:rsid w:val="00B43BEE"/>
    <w:rsid w:val="00B452EC"/>
    <w:rsid w:val="00B47BFE"/>
    <w:rsid w:val="00B53501"/>
    <w:rsid w:val="00B6100A"/>
    <w:rsid w:val="00B624BB"/>
    <w:rsid w:val="00B65BEA"/>
    <w:rsid w:val="00B73289"/>
    <w:rsid w:val="00B83148"/>
    <w:rsid w:val="00B900B4"/>
    <w:rsid w:val="00B91690"/>
    <w:rsid w:val="00B97697"/>
    <w:rsid w:val="00BB0161"/>
    <w:rsid w:val="00BB3D47"/>
    <w:rsid w:val="00BC5B4D"/>
    <w:rsid w:val="00BD0E20"/>
    <w:rsid w:val="00BE14AF"/>
    <w:rsid w:val="00BE73A7"/>
    <w:rsid w:val="00C00E0A"/>
    <w:rsid w:val="00C05997"/>
    <w:rsid w:val="00C13E92"/>
    <w:rsid w:val="00C20E88"/>
    <w:rsid w:val="00C352B4"/>
    <w:rsid w:val="00C43079"/>
    <w:rsid w:val="00C5020E"/>
    <w:rsid w:val="00C6146D"/>
    <w:rsid w:val="00C74F71"/>
    <w:rsid w:val="00C84BB0"/>
    <w:rsid w:val="00C87597"/>
    <w:rsid w:val="00C97823"/>
    <w:rsid w:val="00CA025D"/>
    <w:rsid w:val="00CA13FA"/>
    <w:rsid w:val="00CA6426"/>
    <w:rsid w:val="00CC2256"/>
    <w:rsid w:val="00CC4392"/>
    <w:rsid w:val="00CC7BD8"/>
    <w:rsid w:val="00CF38AF"/>
    <w:rsid w:val="00D021FE"/>
    <w:rsid w:val="00D41C86"/>
    <w:rsid w:val="00D45C1A"/>
    <w:rsid w:val="00D56C5C"/>
    <w:rsid w:val="00D771F7"/>
    <w:rsid w:val="00D77342"/>
    <w:rsid w:val="00DB2C0A"/>
    <w:rsid w:val="00DB3F55"/>
    <w:rsid w:val="00DD0D9F"/>
    <w:rsid w:val="00DD13E8"/>
    <w:rsid w:val="00DF6DD1"/>
    <w:rsid w:val="00E04976"/>
    <w:rsid w:val="00E04FD2"/>
    <w:rsid w:val="00E2354D"/>
    <w:rsid w:val="00E32999"/>
    <w:rsid w:val="00E364E4"/>
    <w:rsid w:val="00E36C52"/>
    <w:rsid w:val="00E40C67"/>
    <w:rsid w:val="00E46DB5"/>
    <w:rsid w:val="00E55444"/>
    <w:rsid w:val="00E7173A"/>
    <w:rsid w:val="00E80933"/>
    <w:rsid w:val="00E83736"/>
    <w:rsid w:val="00E962C5"/>
    <w:rsid w:val="00E970FD"/>
    <w:rsid w:val="00EC091D"/>
    <w:rsid w:val="00EC2F6A"/>
    <w:rsid w:val="00EC48E4"/>
    <w:rsid w:val="00ED412F"/>
    <w:rsid w:val="00ED4F43"/>
    <w:rsid w:val="00ED7717"/>
    <w:rsid w:val="00EE12A8"/>
    <w:rsid w:val="00EF6D1B"/>
    <w:rsid w:val="00EF74D1"/>
    <w:rsid w:val="00F01329"/>
    <w:rsid w:val="00F07C92"/>
    <w:rsid w:val="00F10A49"/>
    <w:rsid w:val="00F13B08"/>
    <w:rsid w:val="00F23A62"/>
    <w:rsid w:val="00F25A81"/>
    <w:rsid w:val="00F301D3"/>
    <w:rsid w:val="00F33302"/>
    <w:rsid w:val="00F35E8F"/>
    <w:rsid w:val="00F50551"/>
    <w:rsid w:val="00F52BBA"/>
    <w:rsid w:val="00F54CB1"/>
    <w:rsid w:val="00F81187"/>
    <w:rsid w:val="00F84930"/>
    <w:rsid w:val="00F90667"/>
    <w:rsid w:val="00FB2049"/>
    <w:rsid w:val="00FC005D"/>
    <w:rsid w:val="00FD45B9"/>
    <w:rsid w:val="00FE314B"/>
    <w:rsid w:val="00FE48AC"/>
    <w:rsid w:val="00FF1B4D"/>
    <w:rsid w:val="00FF245F"/>
    <w:rsid w:val="00FF2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DB"/>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5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1">
    <w:name w:val="Unresolved Mention1"/>
    <w:basedOn w:val="DefaultParagraphFont"/>
    <w:uiPriority w:val="99"/>
    <w:semiHidden/>
    <w:unhideWhenUsed/>
    <w:rsid w:val="00121DDE"/>
    <w:rPr>
      <w:color w:val="605E5C"/>
      <w:shd w:val="clear" w:color="auto" w:fill="E1DFDD"/>
    </w:rPr>
  </w:style>
  <w:style w:type="character" w:styleId="PlaceholderText">
    <w:name w:val="Placeholder Text"/>
    <w:basedOn w:val="DefaultParagraphFont"/>
    <w:uiPriority w:val="99"/>
    <w:semiHidden/>
    <w:rsid w:val="006E26D1"/>
    <w:rPr>
      <w:color w:val="666666"/>
    </w:rPr>
  </w:style>
  <w:style w:type="character" w:customStyle="1" w:styleId="UnresolvedMention2">
    <w:name w:val="Unresolved Mention2"/>
    <w:basedOn w:val="DefaultParagraphFont"/>
    <w:uiPriority w:val="99"/>
    <w:semiHidden/>
    <w:unhideWhenUsed/>
    <w:rsid w:val="00BB0161"/>
    <w:rPr>
      <w:color w:val="605E5C"/>
      <w:shd w:val="clear" w:color="auto" w:fill="E1DFDD"/>
    </w:rPr>
  </w:style>
  <w:style w:type="character" w:styleId="UnresolvedMention">
    <w:name w:val="Unresolved Mention"/>
    <w:basedOn w:val="DefaultParagraphFont"/>
    <w:uiPriority w:val="99"/>
    <w:semiHidden/>
    <w:unhideWhenUsed/>
    <w:rsid w:val="00931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7808">
      <w:bodyDiv w:val="1"/>
      <w:marLeft w:val="0"/>
      <w:marRight w:val="0"/>
      <w:marTop w:val="0"/>
      <w:marBottom w:val="0"/>
      <w:divBdr>
        <w:top w:val="none" w:sz="0" w:space="0" w:color="auto"/>
        <w:left w:val="none" w:sz="0" w:space="0" w:color="auto"/>
        <w:bottom w:val="none" w:sz="0" w:space="0" w:color="auto"/>
        <w:right w:val="none" w:sz="0" w:space="0" w:color="auto"/>
      </w:divBdr>
    </w:div>
    <w:div w:id="112025128">
      <w:bodyDiv w:val="1"/>
      <w:marLeft w:val="0"/>
      <w:marRight w:val="0"/>
      <w:marTop w:val="0"/>
      <w:marBottom w:val="0"/>
      <w:divBdr>
        <w:top w:val="none" w:sz="0" w:space="0" w:color="auto"/>
        <w:left w:val="none" w:sz="0" w:space="0" w:color="auto"/>
        <w:bottom w:val="none" w:sz="0" w:space="0" w:color="auto"/>
        <w:right w:val="none" w:sz="0" w:space="0" w:color="auto"/>
      </w:divBdr>
    </w:div>
    <w:div w:id="114521755">
      <w:bodyDiv w:val="1"/>
      <w:marLeft w:val="0"/>
      <w:marRight w:val="0"/>
      <w:marTop w:val="0"/>
      <w:marBottom w:val="0"/>
      <w:divBdr>
        <w:top w:val="none" w:sz="0" w:space="0" w:color="auto"/>
        <w:left w:val="none" w:sz="0" w:space="0" w:color="auto"/>
        <w:bottom w:val="none" w:sz="0" w:space="0" w:color="auto"/>
        <w:right w:val="none" w:sz="0" w:space="0" w:color="auto"/>
      </w:divBdr>
    </w:div>
    <w:div w:id="198671306">
      <w:bodyDiv w:val="1"/>
      <w:marLeft w:val="0"/>
      <w:marRight w:val="0"/>
      <w:marTop w:val="0"/>
      <w:marBottom w:val="0"/>
      <w:divBdr>
        <w:top w:val="none" w:sz="0" w:space="0" w:color="auto"/>
        <w:left w:val="none" w:sz="0" w:space="0" w:color="auto"/>
        <w:bottom w:val="none" w:sz="0" w:space="0" w:color="auto"/>
        <w:right w:val="none" w:sz="0" w:space="0" w:color="auto"/>
      </w:divBdr>
    </w:div>
    <w:div w:id="300158391">
      <w:bodyDiv w:val="1"/>
      <w:marLeft w:val="0"/>
      <w:marRight w:val="0"/>
      <w:marTop w:val="0"/>
      <w:marBottom w:val="0"/>
      <w:divBdr>
        <w:top w:val="none" w:sz="0" w:space="0" w:color="auto"/>
        <w:left w:val="none" w:sz="0" w:space="0" w:color="auto"/>
        <w:bottom w:val="none" w:sz="0" w:space="0" w:color="auto"/>
        <w:right w:val="none" w:sz="0" w:space="0" w:color="auto"/>
      </w:divBdr>
    </w:div>
    <w:div w:id="346441806">
      <w:bodyDiv w:val="1"/>
      <w:marLeft w:val="0"/>
      <w:marRight w:val="0"/>
      <w:marTop w:val="0"/>
      <w:marBottom w:val="0"/>
      <w:divBdr>
        <w:top w:val="none" w:sz="0" w:space="0" w:color="auto"/>
        <w:left w:val="none" w:sz="0" w:space="0" w:color="auto"/>
        <w:bottom w:val="none" w:sz="0" w:space="0" w:color="auto"/>
        <w:right w:val="none" w:sz="0" w:space="0" w:color="auto"/>
      </w:divBdr>
    </w:div>
    <w:div w:id="775443979">
      <w:bodyDiv w:val="1"/>
      <w:marLeft w:val="0"/>
      <w:marRight w:val="0"/>
      <w:marTop w:val="0"/>
      <w:marBottom w:val="0"/>
      <w:divBdr>
        <w:top w:val="none" w:sz="0" w:space="0" w:color="auto"/>
        <w:left w:val="none" w:sz="0" w:space="0" w:color="auto"/>
        <w:bottom w:val="none" w:sz="0" w:space="0" w:color="auto"/>
        <w:right w:val="none" w:sz="0" w:space="0" w:color="auto"/>
      </w:divBdr>
    </w:div>
    <w:div w:id="886140396">
      <w:bodyDiv w:val="1"/>
      <w:marLeft w:val="0"/>
      <w:marRight w:val="0"/>
      <w:marTop w:val="0"/>
      <w:marBottom w:val="0"/>
      <w:divBdr>
        <w:top w:val="none" w:sz="0" w:space="0" w:color="auto"/>
        <w:left w:val="none" w:sz="0" w:space="0" w:color="auto"/>
        <w:bottom w:val="none" w:sz="0" w:space="0" w:color="auto"/>
        <w:right w:val="none" w:sz="0" w:space="0" w:color="auto"/>
      </w:divBdr>
    </w:div>
    <w:div w:id="934630087">
      <w:bodyDiv w:val="1"/>
      <w:marLeft w:val="0"/>
      <w:marRight w:val="0"/>
      <w:marTop w:val="0"/>
      <w:marBottom w:val="0"/>
      <w:divBdr>
        <w:top w:val="none" w:sz="0" w:space="0" w:color="auto"/>
        <w:left w:val="none" w:sz="0" w:space="0" w:color="auto"/>
        <w:bottom w:val="none" w:sz="0" w:space="0" w:color="auto"/>
        <w:right w:val="none" w:sz="0" w:space="0" w:color="auto"/>
      </w:divBdr>
    </w:div>
    <w:div w:id="1008141092">
      <w:bodyDiv w:val="1"/>
      <w:marLeft w:val="0"/>
      <w:marRight w:val="0"/>
      <w:marTop w:val="0"/>
      <w:marBottom w:val="0"/>
      <w:divBdr>
        <w:top w:val="none" w:sz="0" w:space="0" w:color="auto"/>
        <w:left w:val="none" w:sz="0" w:space="0" w:color="auto"/>
        <w:bottom w:val="none" w:sz="0" w:space="0" w:color="auto"/>
        <w:right w:val="none" w:sz="0" w:space="0" w:color="auto"/>
      </w:divBdr>
    </w:div>
    <w:div w:id="1025978457">
      <w:bodyDiv w:val="1"/>
      <w:marLeft w:val="0"/>
      <w:marRight w:val="0"/>
      <w:marTop w:val="0"/>
      <w:marBottom w:val="0"/>
      <w:divBdr>
        <w:top w:val="none" w:sz="0" w:space="0" w:color="auto"/>
        <w:left w:val="none" w:sz="0" w:space="0" w:color="auto"/>
        <w:bottom w:val="none" w:sz="0" w:space="0" w:color="auto"/>
        <w:right w:val="none" w:sz="0" w:space="0" w:color="auto"/>
      </w:divBdr>
    </w:div>
    <w:div w:id="1152916666">
      <w:bodyDiv w:val="1"/>
      <w:marLeft w:val="0"/>
      <w:marRight w:val="0"/>
      <w:marTop w:val="0"/>
      <w:marBottom w:val="0"/>
      <w:divBdr>
        <w:top w:val="none" w:sz="0" w:space="0" w:color="auto"/>
        <w:left w:val="none" w:sz="0" w:space="0" w:color="auto"/>
        <w:bottom w:val="none" w:sz="0" w:space="0" w:color="auto"/>
        <w:right w:val="none" w:sz="0" w:space="0" w:color="auto"/>
      </w:divBdr>
    </w:div>
    <w:div w:id="1208184424">
      <w:bodyDiv w:val="1"/>
      <w:marLeft w:val="0"/>
      <w:marRight w:val="0"/>
      <w:marTop w:val="0"/>
      <w:marBottom w:val="0"/>
      <w:divBdr>
        <w:top w:val="none" w:sz="0" w:space="0" w:color="auto"/>
        <w:left w:val="none" w:sz="0" w:space="0" w:color="auto"/>
        <w:bottom w:val="none" w:sz="0" w:space="0" w:color="auto"/>
        <w:right w:val="none" w:sz="0" w:space="0" w:color="auto"/>
      </w:divBdr>
    </w:div>
    <w:div w:id="1431200122">
      <w:bodyDiv w:val="1"/>
      <w:marLeft w:val="0"/>
      <w:marRight w:val="0"/>
      <w:marTop w:val="0"/>
      <w:marBottom w:val="0"/>
      <w:divBdr>
        <w:top w:val="none" w:sz="0" w:space="0" w:color="auto"/>
        <w:left w:val="none" w:sz="0" w:space="0" w:color="auto"/>
        <w:bottom w:val="none" w:sz="0" w:space="0" w:color="auto"/>
        <w:right w:val="none" w:sz="0" w:space="0" w:color="auto"/>
      </w:divBdr>
    </w:div>
    <w:div w:id="1439984504">
      <w:bodyDiv w:val="1"/>
      <w:marLeft w:val="0"/>
      <w:marRight w:val="0"/>
      <w:marTop w:val="0"/>
      <w:marBottom w:val="0"/>
      <w:divBdr>
        <w:top w:val="none" w:sz="0" w:space="0" w:color="auto"/>
        <w:left w:val="none" w:sz="0" w:space="0" w:color="auto"/>
        <w:bottom w:val="none" w:sz="0" w:space="0" w:color="auto"/>
        <w:right w:val="none" w:sz="0" w:space="0" w:color="auto"/>
      </w:divBdr>
    </w:div>
    <w:div w:id="1552109665">
      <w:bodyDiv w:val="1"/>
      <w:marLeft w:val="0"/>
      <w:marRight w:val="0"/>
      <w:marTop w:val="0"/>
      <w:marBottom w:val="0"/>
      <w:divBdr>
        <w:top w:val="none" w:sz="0" w:space="0" w:color="auto"/>
        <w:left w:val="none" w:sz="0" w:space="0" w:color="auto"/>
        <w:bottom w:val="none" w:sz="0" w:space="0" w:color="auto"/>
        <w:right w:val="none" w:sz="0" w:space="0" w:color="auto"/>
      </w:divBdr>
    </w:div>
    <w:div w:id="1601331229">
      <w:bodyDiv w:val="1"/>
      <w:marLeft w:val="0"/>
      <w:marRight w:val="0"/>
      <w:marTop w:val="0"/>
      <w:marBottom w:val="0"/>
      <w:divBdr>
        <w:top w:val="none" w:sz="0" w:space="0" w:color="auto"/>
        <w:left w:val="none" w:sz="0" w:space="0" w:color="auto"/>
        <w:bottom w:val="none" w:sz="0" w:space="0" w:color="auto"/>
        <w:right w:val="none" w:sz="0" w:space="0" w:color="auto"/>
      </w:divBdr>
    </w:div>
    <w:div w:id="1615556189">
      <w:bodyDiv w:val="1"/>
      <w:marLeft w:val="0"/>
      <w:marRight w:val="0"/>
      <w:marTop w:val="0"/>
      <w:marBottom w:val="0"/>
      <w:divBdr>
        <w:top w:val="none" w:sz="0" w:space="0" w:color="auto"/>
        <w:left w:val="none" w:sz="0" w:space="0" w:color="auto"/>
        <w:bottom w:val="none" w:sz="0" w:space="0" w:color="auto"/>
        <w:right w:val="none" w:sz="0" w:space="0" w:color="auto"/>
      </w:divBdr>
    </w:div>
    <w:div w:id="1643803443">
      <w:bodyDiv w:val="1"/>
      <w:marLeft w:val="0"/>
      <w:marRight w:val="0"/>
      <w:marTop w:val="0"/>
      <w:marBottom w:val="0"/>
      <w:divBdr>
        <w:top w:val="none" w:sz="0" w:space="0" w:color="auto"/>
        <w:left w:val="none" w:sz="0" w:space="0" w:color="auto"/>
        <w:bottom w:val="none" w:sz="0" w:space="0" w:color="auto"/>
        <w:right w:val="none" w:sz="0" w:space="0" w:color="auto"/>
      </w:divBdr>
    </w:div>
    <w:div w:id="1674456943">
      <w:bodyDiv w:val="1"/>
      <w:marLeft w:val="0"/>
      <w:marRight w:val="0"/>
      <w:marTop w:val="0"/>
      <w:marBottom w:val="0"/>
      <w:divBdr>
        <w:top w:val="none" w:sz="0" w:space="0" w:color="auto"/>
        <w:left w:val="none" w:sz="0" w:space="0" w:color="auto"/>
        <w:bottom w:val="none" w:sz="0" w:space="0" w:color="auto"/>
        <w:right w:val="none" w:sz="0" w:space="0" w:color="auto"/>
      </w:divBdr>
    </w:div>
    <w:div w:id="1682854767">
      <w:bodyDiv w:val="1"/>
      <w:marLeft w:val="0"/>
      <w:marRight w:val="0"/>
      <w:marTop w:val="0"/>
      <w:marBottom w:val="0"/>
      <w:divBdr>
        <w:top w:val="none" w:sz="0" w:space="0" w:color="auto"/>
        <w:left w:val="none" w:sz="0" w:space="0" w:color="auto"/>
        <w:bottom w:val="none" w:sz="0" w:space="0" w:color="auto"/>
        <w:right w:val="none" w:sz="0" w:space="0" w:color="auto"/>
      </w:divBdr>
    </w:div>
    <w:div w:id="1860973079">
      <w:bodyDiv w:val="1"/>
      <w:marLeft w:val="0"/>
      <w:marRight w:val="0"/>
      <w:marTop w:val="0"/>
      <w:marBottom w:val="0"/>
      <w:divBdr>
        <w:top w:val="none" w:sz="0" w:space="0" w:color="auto"/>
        <w:left w:val="none" w:sz="0" w:space="0" w:color="auto"/>
        <w:bottom w:val="none" w:sz="0" w:space="0" w:color="auto"/>
        <w:right w:val="none" w:sz="0" w:space="0" w:color="auto"/>
      </w:divBdr>
    </w:div>
    <w:div w:id="2146123265">
      <w:bodyDiv w:val="1"/>
      <w:marLeft w:val="0"/>
      <w:marRight w:val="0"/>
      <w:marTop w:val="0"/>
      <w:marBottom w:val="0"/>
      <w:divBdr>
        <w:top w:val="none" w:sz="0" w:space="0" w:color="auto"/>
        <w:left w:val="none" w:sz="0" w:space="0" w:color="auto"/>
        <w:bottom w:val="none" w:sz="0" w:space="0" w:color="auto"/>
        <w:right w:val="none" w:sz="0" w:space="0" w:color="auto"/>
      </w:divBdr>
      <w:divsChild>
        <w:div w:id="1944919474">
          <w:marLeft w:val="0"/>
          <w:marRight w:val="0"/>
          <w:marTop w:val="0"/>
          <w:marBottom w:val="0"/>
          <w:divBdr>
            <w:top w:val="none" w:sz="0" w:space="0" w:color="auto"/>
            <w:left w:val="none" w:sz="0" w:space="0" w:color="auto"/>
            <w:bottom w:val="none" w:sz="0" w:space="0" w:color="auto"/>
            <w:right w:val="none" w:sz="0" w:space="0" w:color="auto"/>
          </w:divBdr>
        </w:div>
        <w:div w:id="892541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guidance/ta1060" TargetMode="External"/><Relationship Id="rId18" Type="http://schemas.openxmlformats.org/officeDocument/2006/relationships/hyperlink" Target="mailto:nuth.nyrdtc.rxsupp@nhs.ne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twitter.com/RDTC_Rx" TargetMode="External"/><Relationship Id="rId7" Type="http://schemas.openxmlformats.org/officeDocument/2006/relationships/endnotes" Target="endnotes.xml"/><Relationship Id="rId12" Type="http://schemas.openxmlformats.org/officeDocument/2006/relationships/hyperlink" Target="https://www.nice.org.uk/guidance/ta1059" TargetMode="External"/><Relationship Id="rId17" Type="http://schemas.openxmlformats.org/officeDocument/2006/relationships/hyperlink" Target="https://www.nice.org.uk/guidance/ta10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guidance/ta106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75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ice.org.uk/guidance/ta1063" TargetMode="External"/><Relationship Id="rId23" Type="http://schemas.openxmlformats.org/officeDocument/2006/relationships/footer" Target="footer2.xml"/><Relationship Id="rId10" Type="http://schemas.openxmlformats.org/officeDocument/2006/relationships/hyperlink" Target="https://humberandnorthyorkshire.org.uk/area-prescribing-committee-apc/apc-consultations/" TargetMode="External"/><Relationship Id="rId19" Type="http://schemas.openxmlformats.org/officeDocument/2006/relationships/hyperlink" Target="https://humberandnorthyorkshire.org.uk/area-prescribing-committee-ap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guidance/ta1062"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A717F1D-BC65-42D3-AE1B-4745896D4804}"/>
      </w:docPartPr>
      <w:docPartBody>
        <w:p w:rsidR="00540650" w:rsidRDefault="00540650">
          <w:r w:rsidRPr="00291D84">
            <w:rPr>
              <w:rStyle w:val="PlaceholderText"/>
            </w:rPr>
            <w:t>Click or tap to enter a date.</w:t>
          </w:r>
        </w:p>
      </w:docPartBody>
    </w:docPart>
    <w:docPart>
      <w:docPartPr>
        <w:name w:val="EB204C4DF5064812AF3CB43D0F743EC8"/>
        <w:category>
          <w:name w:val="General"/>
          <w:gallery w:val="placeholder"/>
        </w:category>
        <w:types>
          <w:type w:val="bbPlcHdr"/>
        </w:types>
        <w:behaviors>
          <w:behavior w:val="content"/>
        </w:behaviors>
        <w:guid w:val="{D78FA6A5-3985-4C0C-81D6-0DEAB1A4CBF7}"/>
      </w:docPartPr>
      <w:docPartBody>
        <w:p w:rsidR="00120061" w:rsidRDefault="00120061" w:rsidP="00120061">
          <w:pPr>
            <w:pStyle w:val="EB204C4DF5064812AF3CB43D0F743EC8"/>
          </w:pPr>
          <w:r w:rsidRPr="00B028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50"/>
    <w:rsid w:val="000A1EB8"/>
    <w:rsid w:val="000B5DED"/>
    <w:rsid w:val="000F675B"/>
    <w:rsid w:val="00120061"/>
    <w:rsid w:val="00534740"/>
    <w:rsid w:val="00540650"/>
    <w:rsid w:val="0080238C"/>
    <w:rsid w:val="0081642A"/>
    <w:rsid w:val="00A86EB5"/>
    <w:rsid w:val="00AA2ADD"/>
    <w:rsid w:val="00B452EC"/>
    <w:rsid w:val="00C6146D"/>
    <w:rsid w:val="00DA1EBE"/>
    <w:rsid w:val="00F54E0B"/>
    <w:rsid w:val="00F90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061"/>
    <w:rPr>
      <w:color w:val="666666"/>
    </w:rPr>
  </w:style>
  <w:style w:type="paragraph" w:customStyle="1" w:styleId="EB204C4DF5064812AF3CB43D0F743EC8">
    <w:name w:val="EB204C4DF5064812AF3CB43D0F743EC8"/>
    <w:rsid w:val="00120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47D5-6BB8-43AC-90D7-32D47FCCC66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2181</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 (THE NEWCASTLE UPON TYNE HOSPITALS NHS FOUNDATION TRUST)</cp:lastModifiedBy>
  <cp:revision>66</cp:revision>
  <dcterms:created xsi:type="dcterms:W3CDTF">2025-06-25T18:30:00Z</dcterms:created>
  <dcterms:modified xsi:type="dcterms:W3CDTF">2025-07-11T13:40:00Z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