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5C52" w14:textId="083EAF97" w:rsidR="007030B7" w:rsidRDefault="006E26D1" w:rsidP="007909C3">
      <w:pPr>
        <w:pStyle w:val="BodyText"/>
      </w:pPr>
      <w:r w:rsidRPr="00EC13F4">
        <w:rPr>
          <w:noProof/>
          <w:lang w:eastAsia="en-GB"/>
        </w:rPr>
        <w:drawing>
          <wp:anchor distT="0" distB="0" distL="114300" distR="114300" simplePos="0" relativeHeight="251662336" behindDoc="1" locked="0" layoutInCell="1" allowOverlap="1" wp14:anchorId="19741DDF" wp14:editId="7531D5E9">
            <wp:simplePos x="0" y="0"/>
            <wp:positionH relativeFrom="column">
              <wp:posOffset>-140335</wp:posOffset>
            </wp:positionH>
            <wp:positionV relativeFrom="paragraph">
              <wp:posOffset>0</wp:posOffset>
            </wp:positionV>
            <wp:extent cx="2209800" cy="466725"/>
            <wp:effectExtent l="0" t="0" r="0" b="9525"/>
            <wp:wrapTight wrapText="bothSides">
              <wp:wrapPolygon edited="0">
                <wp:start x="0" y="0"/>
                <wp:lineTo x="0" y="21159"/>
                <wp:lineTo x="21414" y="21159"/>
                <wp:lineTo x="21414" y="0"/>
                <wp:lineTo x="0" y="0"/>
              </wp:wrapPolygon>
            </wp:wrapTight>
            <wp:docPr id="986309439" name="Picture 986309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09439" name="Picture 986309439"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74E5E3DB" wp14:editId="74FB1C3C">
                <wp:simplePos x="0" y="0"/>
                <wp:positionH relativeFrom="column">
                  <wp:posOffset>1082675</wp:posOffset>
                </wp:positionH>
                <wp:positionV relativeFrom="paragraph">
                  <wp:posOffset>308610</wp:posOffset>
                </wp:positionV>
                <wp:extent cx="83566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685800"/>
                        </a:xfrm>
                        <a:prstGeom prst="rect">
                          <a:avLst/>
                        </a:prstGeom>
                        <a:noFill/>
                        <a:ln w="9525">
                          <a:noFill/>
                          <a:miter lim="800000"/>
                          <a:headEnd/>
                          <a:tailEnd/>
                        </a:ln>
                      </wps:spPr>
                      <wps:txb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E5E3DB" id="_x0000_t202" coordsize="21600,21600" o:spt="202" path="m,l,21600r21600,l21600,xe">
                <v:stroke joinstyle="miter"/>
                <v:path gradientshapeok="t" o:connecttype="rect"/>
              </v:shapetype>
              <v:shape id="Text Box 2" o:spid="_x0000_s1026" type="#_x0000_t202" style="position:absolute;margin-left:85.25pt;margin-top:24.3pt;width:658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mv9wEAAM8DAAAOAAAAZHJzL2Uyb0RvYy54bWysU8tu2zAQvBfoPxC815Jd23UEy0GaNEWB&#10;9AGk/QCaoiyiJJdd0pbcr8+SchyjvRXVgeBqucOd2eH6erCGHRQGDa7m00nJmXISGu12Nf/x/f7N&#10;irMQhWuEAadqflSBX29ev1r3vlIz6MA0ChmBuFD1vuZdjL4qiiA7ZUWYgFeOki2gFZFC3BUNip7Q&#10;rSlmZbksesDGI0gVAv29G5N8k/HbVsn4tW2DiszUnHqLecW8btNabNai2qHwnZanNsQ/dGGFdnTp&#10;GepORMH2qP+CsloiBGjjRIItoG21VJkDsZmWf7B57IRXmQuJE/xZpvD/YOWXw6P/hiwO72GgAWYS&#10;wT+A/BmYg9tOuJ26QYS+U6Khi6dJsqL3oTqVJqlDFRLItv8MDQ1Z7CNkoKFFm1QhnozQaQDHs+hq&#10;iEzSz9XbxXJZUkpSbrlarGifrhDVc7XHED8qsCxtao401IwuDg8hjkefj6TLHNxrY/JgjWN9za8W&#10;s0UuuMhYHcl3RltqoEzf6IRE8oNrcnEU2ox76sW4E+tEdKQch+1ABxP7LTRH4o8w+oveA206wN+c&#10;9eStmodfe4GKM/PJkYZX0/k8mTEH88W7GQV4mdleZoSTBFVzGZGzMbiN2cIj2xtSu9VZiJdeTt2S&#10;a7KUJ4cnW17G+dTLO9w8AQAA//8DAFBLAwQUAAYACAAAACEAt57rqd4AAAALAQAADwAAAGRycy9k&#10;b3ducmV2LnhtbEyPwU7DMBBE70j8g7VIXBC1QdStQpwKIVVCFRwofIATb+Oo8TqK3TT8PdsT3GZ2&#10;R7Nvy80cejHhmLpIBh4WCgRSE11HrYHvr+39GkTKlpztI6GBH0ywqa6vSlu4eKZPnPa5FVxCqbAG&#10;fM5DIWVqPAabFnFA4t0hjsFmtmMr3WjPXB56+aiUlsF2xBe8HfDVY3Pcn4KBOz+oj/fDW711uvHH&#10;XbKrMO2Mub2ZX55BZJzzXxgu+IwOFTPV8UQuiZ79Si05auBprUFcAix4UrNaag2yKuX/H6pfAAAA&#10;//8DAFBLAQItABQABgAIAAAAIQC2gziS/gAAAOEBAAATAAAAAAAAAAAAAAAAAAAAAABbQ29udGVu&#10;dF9UeXBlc10ueG1sUEsBAi0AFAAGAAgAAAAhADj9If/WAAAAlAEAAAsAAAAAAAAAAAAAAAAALwEA&#10;AF9yZWxzLy5yZWxzUEsBAi0AFAAGAAgAAAAhAGC+aa/3AQAAzwMAAA4AAAAAAAAAAAAAAAAALgIA&#10;AGRycy9lMm9Eb2MueG1sUEsBAi0AFAAGAAgAAAAhALee66neAAAACwEAAA8AAAAAAAAAAAAAAAAA&#10;UQQAAGRycy9kb3ducmV2LnhtbFBLBQYAAAAABAAEAPMAAABcBQAAAAA=&#10;" filled="f" stroked="f">
                <v:textbo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v:textbox>
                <w10:wrap type="square"/>
              </v:shape>
            </w:pict>
          </mc:Fallback>
        </mc:AlternateContent>
      </w:r>
      <w:r w:rsidRPr="00EC13F4">
        <w:rPr>
          <w:noProof/>
          <w:lang w:eastAsia="en-GB"/>
        </w:rPr>
        <w:drawing>
          <wp:anchor distT="0" distB="0" distL="114300" distR="114300" simplePos="0" relativeHeight="251661312" behindDoc="1" locked="0" layoutInCell="1" allowOverlap="1" wp14:anchorId="18B67ECE" wp14:editId="7CB0FB35">
            <wp:simplePos x="0" y="0"/>
            <wp:positionH relativeFrom="column">
              <wp:posOffset>8972550</wp:posOffset>
            </wp:positionH>
            <wp:positionV relativeFrom="paragraph">
              <wp:posOffset>0</wp:posOffset>
            </wp:positionV>
            <wp:extent cx="1259840" cy="766445"/>
            <wp:effectExtent l="0" t="0" r="0" b="0"/>
            <wp:wrapTight wrapText="bothSides">
              <wp:wrapPolygon edited="0">
                <wp:start x="0" y="0"/>
                <wp:lineTo x="0" y="20938"/>
                <wp:lineTo x="21230" y="20938"/>
                <wp:lineTo x="21230" y="0"/>
                <wp:lineTo x="0" y="0"/>
              </wp:wrapPolygon>
            </wp:wrapTight>
            <wp:docPr id="1580305060" name="Picture 15803050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05060" name="Picture 158030506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p>
    <w:p w14:paraId="39EEFB36" w14:textId="77777777" w:rsidR="007030B7" w:rsidRDefault="007030B7" w:rsidP="007909C3">
      <w:pPr>
        <w:pStyle w:val="BodyText"/>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10768"/>
        <w:gridCol w:w="4677"/>
      </w:tblGrid>
      <w:tr w:rsidR="00CF38AF" w:rsidRPr="00096427" w14:paraId="4A0106AA" w14:textId="77777777" w:rsidTr="00AB3FD8">
        <w:trPr>
          <w:cantSplit/>
          <w:tblHeader/>
        </w:trPr>
        <w:tc>
          <w:tcPr>
            <w:tcW w:w="3486" w:type="pct"/>
            <w:shd w:val="clear" w:color="auto" w:fill="C9ECFB"/>
          </w:tcPr>
          <w:p w14:paraId="761B604A" w14:textId="0BB5FE9E" w:rsidR="00CF38AF" w:rsidRPr="00CF38AF" w:rsidRDefault="00121DDE" w:rsidP="00773CBE">
            <w:pPr>
              <w:tabs>
                <w:tab w:val="clear" w:pos="975"/>
              </w:tabs>
              <w:rPr>
                <w:rFonts w:ascii="Helvetica" w:eastAsia="Calibri" w:hAnsi="Helvetica" w:cs="Helvetica"/>
                <w:b/>
                <w:sz w:val="22"/>
                <w:szCs w:val="22"/>
              </w:rPr>
            </w:pPr>
            <w:r>
              <w:rPr>
                <w:rFonts w:ascii="Helvetica" w:eastAsia="Calibri" w:hAnsi="Helvetica" w:cs="Helvetica"/>
                <w:b/>
                <w:sz w:val="22"/>
                <w:szCs w:val="22"/>
              </w:rPr>
              <w:t>Recommendations</w:t>
            </w:r>
            <w:r w:rsidR="00CF38AF" w:rsidRPr="00CF38AF">
              <w:rPr>
                <w:rFonts w:ascii="Helvetica" w:eastAsia="Calibri" w:hAnsi="Helvetica" w:cs="Helvetica"/>
                <w:b/>
                <w:sz w:val="22"/>
                <w:szCs w:val="22"/>
              </w:rPr>
              <w:t xml:space="preserve"> made by</w:t>
            </w:r>
            <w:r>
              <w:rPr>
                <w:rFonts w:ascii="Helvetica" w:eastAsia="Calibri" w:hAnsi="Helvetica" w:cs="Helvetica"/>
                <w:b/>
                <w:sz w:val="22"/>
                <w:szCs w:val="22"/>
              </w:rPr>
              <w:t xml:space="preserve"> </w:t>
            </w:r>
            <w:r w:rsidR="00787BA5">
              <w:rPr>
                <w:rFonts w:ascii="Helvetica" w:eastAsia="Calibri" w:hAnsi="Helvetica" w:cs="Helvetica"/>
                <w:b/>
                <w:color w:val="000000"/>
                <w:sz w:val="22"/>
                <w:szCs w:val="22"/>
              </w:rPr>
              <w:t>the Medicines, Formulary, and Guidelines Group</w:t>
            </w:r>
            <w:r>
              <w:rPr>
                <w:rFonts w:ascii="Helvetica" w:eastAsia="Calibri" w:hAnsi="Helvetica" w:cs="Helvetica"/>
                <w:b/>
                <w:sz w:val="22"/>
                <w:szCs w:val="22"/>
              </w:rPr>
              <w:t xml:space="preserve"> a</w:t>
            </w:r>
            <w:r w:rsidRPr="00CF38AF">
              <w:rPr>
                <w:rFonts w:ascii="Helvetica" w:eastAsia="Calibri" w:hAnsi="Helvetica" w:cs="Helvetica"/>
                <w:b/>
                <w:sz w:val="22"/>
                <w:szCs w:val="22"/>
              </w:rPr>
              <w:t>t their meeting on:</w:t>
            </w:r>
          </w:p>
        </w:tc>
        <w:sdt>
          <w:sdtPr>
            <w:rPr>
              <w:rFonts w:ascii="Helvetica" w:eastAsia="Calibri" w:hAnsi="Helvetica" w:cs="Helvetica"/>
              <w:bCs/>
              <w:sz w:val="22"/>
              <w:szCs w:val="22"/>
            </w:rPr>
            <w:id w:val="-1408532192"/>
            <w:placeholder>
              <w:docPart w:val="DefaultPlaceholder_-1854013437"/>
            </w:placeholder>
            <w:date w:fullDate="2025-07-16T00:00:00Z">
              <w:dateFormat w:val="dd MMMM yyyy"/>
              <w:lid w:val="en-GB"/>
              <w:storeMappedDataAs w:val="dateTime"/>
              <w:calendar w:val="gregorian"/>
            </w:date>
          </w:sdtPr>
          <w:sdtEndPr/>
          <w:sdtContent>
            <w:tc>
              <w:tcPr>
                <w:tcW w:w="1514" w:type="pct"/>
                <w:shd w:val="clear" w:color="auto" w:fill="C9ECFB"/>
              </w:tcPr>
              <w:p w14:paraId="17CF765C" w14:textId="5F35EA23" w:rsidR="00CF38AF" w:rsidRPr="00870354" w:rsidRDefault="002B5248" w:rsidP="00773CBE">
                <w:pPr>
                  <w:tabs>
                    <w:tab w:val="clear" w:pos="975"/>
                  </w:tabs>
                  <w:rPr>
                    <w:rFonts w:ascii="Helvetica" w:eastAsia="Calibri" w:hAnsi="Helvetica" w:cs="Helvetica"/>
                    <w:bCs/>
                    <w:sz w:val="22"/>
                    <w:szCs w:val="22"/>
                  </w:rPr>
                </w:pPr>
                <w:r>
                  <w:rPr>
                    <w:rFonts w:ascii="Helvetica" w:eastAsia="Calibri" w:hAnsi="Helvetica" w:cs="Helvetica"/>
                    <w:bCs/>
                    <w:sz w:val="22"/>
                    <w:szCs w:val="22"/>
                  </w:rPr>
                  <w:t>16 July 2025</w:t>
                </w:r>
              </w:p>
            </w:tc>
          </w:sdtContent>
        </w:sdt>
      </w:tr>
    </w:tbl>
    <w:p w14:paraId="4E883551" w14:textId="5362DBFE" w:rsidR="006629FB" w:rsidRDefault="006629FB" w:rsidP="00D51C7C">
      <w:pPr>
        <w:tabs>
          <w:tab w:val="clear" w:pos="975"/>
        </w:tabs>
        <w:spacing w:before="0" w:after="0"/>
        <w:rPr>
          <w:sz w:val="20"/>
          <w:lang w:val="en-US" w:eastAsia="ja-JP"/>
        </w:rPr>
      </w:pPr>
    </w:p>
    <w:tbl>
      <w:tblPr>
        <w:tblpPr w:leftFromText="180" w:rightFromText="180" w:vertAnchor="text" w:horzAnchor="margin" w:tblpX="-22" w:tblpY="21"/>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62A5E34" w14:textId="77777777" w:rsidTr="009C22A2">
        <w:trPr>
          <w:cantSplit/>
        </w:trPr>
        <w:tc>
          <w:tcPr>
            <w:tcW w:w="5000" w:type="pct"/>
            <w:shd w:val="clear" w:color="auto" w:fill="auto"/>
          </w:tcPr>
          <w:p w14:paraId="1334A854" w14:textId="48C7ECFD" w:rsidR="009C22A2" w:rsidRPr="00383A54" w:rsidRDefault="009C22A2" w:rsidP="00901B84">
            <w:pPr>
              <w:tabs>
                <w:tab w:val="clear" w:pos="975"/>
              </w:tabs>
              <w:spacing w:before="120" w:after="120"/>
              <w:jc w:val="center"/>
              <w:rPr>
                <w:sz w:val="24"/>
                <w:szCs w:val="24"/>
              </w:rPr>
            </w:pPr>
            <w:r>
              <w:rPr>
                <w:rFonts w:eastAsia="Calibri"/>
                <w:b/>
                <w:color w:val="1F497D"/>
                <w:sz w:val="24"/>
                <w:szCs w:val="24"/>
              </w:rPr>
              <w:t xml:space="preserve">NICE Technology Appraisals </w:t>
            </w:r>
          </w:p>
        </w:tc>
      </w:tr>
    </w:tbl>
    <w:p w14:paraId="6D0E09B9" w14:textId="77777777" w:rsidR="00ED412F" w:rsidRPr="00383A54" w:rsidRDefault="00ED412F" w:rsidP="00383A54">
      <w:pPr>
        <w:spacing w:before="0" w:after="0"/>
        <w:rPr>
          <w:sz w:val="20"/>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126"/>
        <w:gridCol w:w="1843"/>
        <w:gridCol w:w="3827"/>
        <w:gridCol w:w="2261"/>
      </w:tblGrid>
      <w:tr w:rsidR="006E26D1" w:rsidRPr="00253EC1" w14:paraId="735BDCC7" w14:textId="77777777" w:rsidTr="00D45C1A">
        <w:trPr>
          <w:cantSplit/>
          <w:trHeight w:val="548"/>
          <w:tblHeader/>
        </w:trPr>
        <w:tc>
          <w:tcPr>
            <w:tcW w:w="5382" w:type="dxa"/>
            <w:tcBorders>
              <w:bottom w:val="single" w:sz="4" w:space="0" w:color="auto"/>
            </w:tcBorders>
            <w:shd w:val="clear" w:color="auto" w:fill="C9ECFB"/>
          </w:tcPr>
          <w:p w14:paraId="07A40E0F" w14:textId="6207FA31" w:rsidR="006E26D1" w:rsidRPr="007909C3" w:rsidRDefault="006E26D1" w:rsidP="00063CFB">
            <w:pPr>
              <w:tabs>
                <w:tab w:val="clear" w:pos="975"/>
              </w:tabs>
              <w:rPr>
                <w:rFonts w:eastAsia="Calibri"/>
                <w:b/>
              </w:rPr>
            </w:pPr>
            <w:r>
              <w:rPr>
                <w:rFonts w:eastAsia="Calibri"/>
                <w:b/>
              </w:rPr>
              <w:t>NICE Technology appraisal or guidance</w:t>
            </w:r>
          </w:p>
        </w:tc>
        <w:tc>
          <w:tcPr>
            <w:tcW w:w="2126" w:type="dxa"/>
            <w:tcBorders>
              <w:bottom w:val="single" w:sz="4" w:space="0" w:color="auto"/>
            </w:tcBorders>
            <w:shd w:val="clear" w:color="auto" w:fill="C9ECFB"/>
          </w:tcPr>
          <w:p w14:paraId="38F6EF07" w14:textId="77777777" w:rsidR="006E26D1" w:rsidRPr="007909C3" w:rsidRDefault="006E26D1" w:rsidP="00063CFB">
            <w:pPr>
              <w:tabs>
                <w:tab w:val="clear" w:pos="975"/>
              </w:tabs>
              <w:rPr>
                <w:rFonts w:eastAsia="Calibri"/>
                <w:b/>
              </w:rPr>
            </w:pPr>
            <w:r>
              <w:rPr>
                <w:rFonts w:eastAsia="Calibri"/>
                <w:b/>
              </w:rPr>
              <w:t>Status and formulary position assigned</w:t>
            </w:r>
          </w:p>
        </w:tc>
        <w:tc>
          <w:tcPr>
            <w:tcW w:w="1843" w:type="dxa"/>
            <w:tcBorders>
              <w:bottom w:val="single" w:sz="4" w:space="0" w:color="auto"/>
            </w:tcBorders>
            <w:shd w:val="clear" w:color="auto" w:fill="C9ECFB"/>
          </w:tcPr>
          <w:p w14:paraId="743CAF7D" w14:textId="77777777" w:rsidR="006E26D1" w:rsidRPr="007909C3" w:rsidRDefault="006E26D1" w:rsidP="00063CFB">
            <w:pPr>
              <w:tabs>
                <w:tab w:val="clear" w:pos="975"/>
              </w:tabs>
              <w:rPr>
                <w:rFonts w:eastAsia="Calibri"/>
                <w:b/>
              </w:rPr>
            </w:pPr>
            <w:r>
              <w:rPr>
                <w:rFonts w:eastAsia="Calibri"/>
                <w:b/>
              </w:rPr>
              <w:t>Notes on decision</w:t>
            </w:r>
          </w:p>
        </w:tc>
        <w:tc>
          <w:tcPr>
            <w:tcW w:w="3827" w:type="dxa"/>
            <w:tcBorders>
              <w:bottom w:val="single" w:sz="4" w:space="0" w:color="auto"/>
            </w:tcBorders>
            <w:shd w:val="clear" w:color="auto" w:fill="C9ECFB"/>
          </w:tcPr>
          <w:p w14:paraId="57254758" w14:textId="77777777" w:rsidR="006E26D1" w:rsidRPr="007909C3" w:rsidRDefault="006E26D1" w:rsidP="00063CFB">
            <w:pPr>
              <w:tabs>
                <w:tab w:val="clear" w:pos="975"/>
              </w:tabs>
              <w:rPr>
                <w:rFonts w:eastAsia="Calibri"/>
                <w:b/>
              </w:rPr>
            </w:pPr>
            <w:r>
              <w:rPr>
                <w:rFonts w:eastAsia="Calibri"/>
                <w:b/>
              </w:rPr>
              <w:t>Cost impact</w:t>
            </w:r>
          </w:p>
        </w:tc>
        <w:tc>
          <w:tcPr>
            <w:tcW w:w="2261" w:type="dxa"/>
            <w:tcBorders>
              <w:bottom w:val="single" w:sz="4" w:space="0" w:color="auto"/>
            </w:tcBorders>
            <w:shd w:val="clear" w:color="auto" w:fill="C9ECFB"/>
          </w:tcPr>
          <w:p w14:paraId="4C2EDB67" w14:textId="77777777" w:rsidR="006E26D1" w:rsidRPr="007909C3" w:rsidRDefault="006E26D1" w:rsidP="00063CFB">
            <w:pPr>
              <w:tabs>
                <w:tab w:val="clear" w:pos="975"/>
              </w:tabs>
              <w:rPr>
                <w:rFonts w:eastAsia="Calibri"/>
                <w:b/>
              </w:rPr>
            </w:pPr>
            <w:r>
              <w:rPr>
                <w:rFonts w:eastAsia="Calibri"/>
                <w:b/>
              </w:rPr>
              <w:t>Commissioning / service implications</w:t>
            </w:r>
          </w:p>
        </w:tc>
      </w:tr>
      <w:tr w:rsidR="002B5248" w:rsidRPr="00253EC1" w14:paraId="264B4BB7" w14:textId="77777777" w:rsidTr="00C351A1">
        <w:trPr>
          <w:cantSplit/>
          <w:trHeight w:val="548"/>
        </w:trPr>
        <w:tc>
          <w:tcPr>
            <w:tcW w:w="5382" w:type="dxa"/>
            <w:shd w:val="clear" w:color="auto" w:fill="auto"/>
          </w:tcPr>
          <w:p w14:paraId="0E972978" w14:textId="77777777" w:rsidR="002B5248" w:rsidRDefault="002B5248" w:rsidP="002B5248">
            <w:pPr>
              <w:tabs>
                <w:tab w:val="left" w:pos="720"/>
              </w:tabs>
              <w:rPr>
                <w:rStyle w:val="Hyperlink"/>
                <w:b/>
                <w:lang w:val="en-US"/>
              </w:rPr>
            </w:pPr>
            <w:hyperlink r:id="rId10" w:history="1">
              <w:r>
                <w:rPr>
                  <w:rStyle w:val="Hyperlink"/>
                  <w:b/>
                  <w:lang w:val="en-US"/>
                </w:rPr>
                <w:t>TA1066: Somapacitan for treating growth hormone deficiency in people 3 to 17 years</w:t>
              </w:r>
            </w:hyperlink>
          </w:p>
          <w:p w14:paraId="581EA288" w14:textId="77777777" w:rsidR="002B5248" w:rsidRDefault="002B5248" w:rsidP="002B5248">
            <w:pPr>
              <w:tabs>
                <w:tab w:val="left" w:pos="720"/>
              </w:tabs>
              <w:rPr>
                <w:bCs/>
              </w:rPr>
            </w:pPr>
            <w:r>
              <w:rPr>
                <w:b/>
                <w:bCs/>
                <w:lang w:val="en-US"/>
              </w:rPr>
              <w:t>3</w:t>
            </w:r>
            <w:r>
              <w:rPr>
                <w:b/>
                <w:bCs/>
                <w:vertAlign w:val="superscript"/>
                <w:lang w:val="en-US"/>
              </w:rPr>
              <w:t>rd</w:t>
            </w:r>
            <w:r>
              <w:rPr>
                <w:b/>
                <w:bCs/>
                <w:lang w:val="en-US"/>
              </w:rPr>
              <w:t xml:space="preserve"> June 2025</w:t>
            </w:r>
          </w:p>
          <w:p w14:paraId="2A4E0F41" w14:textId="77777777" w:rsidR="002B5248" w:rsidRDefault="002B5248" w:rsidP="002B5248">
            <w:pPr>
              <w:tabs>
                <w:tab w:val="left" w:pos="720"/>
              </w:tabs>
              <w:rPr>
                <w:b/>
                <w:bCs/>
                <w:lang w:val="en-US"/>
              </w:rPr>
            </w:pPr>
            <w:r>
              <w:rPr>
                <w:b/>
                <w:bCs/>
                <w:lang w:val="en-US"/>
              </w:rPr>
              <w:t>Commissioning: ICB, tariff excluded, 30-day NICE TA</w:t>
            </w:r>
          </w:p>
          <w:p w14:paraId="0FABEDE8" w14:textId="77777777" w:rsidR="002B5248" w:rsidRPr="006C45A5" w:rsidRDefault="002B5248" w:rsidP="002B5248">
            <w:pPr>
              <w:tabs>
                <w:tab w:val="left" w:pos="720"/>
              </w:tabs>
              <w:rPr>
                <w:rStyle w:val="Hyperlink"/>
                <w:color w:val="000000"/>
                <w:u w:val="none"/>
              </w:rPr>
            </w:pPr>
            <w:r w:rsidRPr="006C45A5">
              <w:rPr>
                <w:rStyle w:val="Hyperlink"/>
                <w:bCs/>
                <w:color w:val="000000"/>
                <w:u w:val="none"/>
                <w:lang w:val="en-US"/>
              </w:rPr>
              <w:t xml:space="preserve">Somapacitan can be used, within its marketing </w:t>
            </w:r>
            <w:proofErr w:type="spellStart"/>
            <w:r w:rsidRPr="006C45A5">
              <w:rPr>
                <w:rStyle w:val="Hyperlink"/>
                <w:bCs/>
                <w:color w:val="000000"/>
                <w:u w:val="none"/>
                <w:lang w:val="en-US"/>
              </w:rPr>
              <w:t>authorisation</w:t>
            </w:r>
            <w:proofErr w:type="spellEnd"/>
            <w:r w:rsidRPr="006C45A5">
              <w:rPr>
                <w:rStyle w:val="Hyperlink"/>
                <w:bCs/>
                <w:color w:val="000000"/>
                <w:u w:val="none"/>
                <w:lang w:val="en-US"/>
              </w:rPr>
              <w:t>, as an option to treat growth failure caused by growth hormone deficiency in people 3 to 17 years. Somapacitan can be used if the company provides it at the same price or lower than that agreed with the Medicines Procurement and Supply Chain, where applicable.</w:t>
            </w:r>
          </w:p>
          <w:p w14:paraId="7D68FF88" w14:textId="51D2A716" w:rsidR="002B5248" w:rsidRDefault="002B5248" w:rsidP="002B5248">
            <w:pPr>
              <w:tabs>
                <w:tab w:val="left" w:pos="720"/>
              </w:tabs>
            </w:pPr>
            <w:r w:rsidRPr="006C45A5">
              <w:rPr>
                <w:rStyle w:val="Hyperlink"/>
                <w:bCs/>
                <w:color w:val="000000"/>
                <w:u w:val="none"/>
                <w:lang w:val="en-US"/>
              </w:rPr>
              <w:t>Use the least expensive option of the available treatments (including somapacitan and any preparation of somatropin). Take account of administration costs, dosages, price per dose and commercial arrangements. If the least expensive option is unsuitable, people with the condition and their healthcare professional should discuss the advantages and disadvantages of other treatments.</w:t>
            </w:r>
          </w:p>
        </w:tc>
        <w:tc>
          <w:tcPr>
            <w:tcW w:w="2126" w:type="dxa"/>
            <w:shd w:val="clear" w:color="auto" w:fill="auto"/>
          </w:tcPr>
          <w:p w14:paraId="078F08CB" w14:textId="77777777" w:rsidR="002B5248" w:rsidRPr="006C45A5" w:rsidRDefault="002B5248" w:rsidP="002B5248">
            <w:pPr>
              <w:tabs>
                <w:tab w:val="left" w:pos="720"/>
              </w:tabs>
              <w:rPr>
                <w:lang w:val="en-US"/>
              </w:rPr>
            </w:pPr>
            <w:r>
              <w:rPr>
                <w:lang w:val="en-US"/>
              </w:rPr>
              <w:t>Add somapacitan to formulary as a RED drug in this indication with a link to TA1066.</w:t>
            </w:r>
          </w:p>
          <w:p w14:paraId="1550F9AA" w14:textId="77777777" w:rsidR="002B5248" w:rsidRDefault="002B5248" w:rsidP="002B5248">
            <w:pPr>
              <w:tabs>
                <w:tab w:val="left" w:pos="720"/>
              </w:tabs>
              <w:rPr>
                <w:iCs/>
                <w:lang w:val="en-US"/>
              </w:rPr>
            </w:pPr>
          </w:p>
          <w:p w14:paraId="5E869EC9" w14:textId="24AB5E95" w:rsidR="002B5248" w:rsidRDefault="002B5248" w:rsidP="002B5248">
            <w:pPr>
              <w:tabs>
                <w:tab w:val="left" w:pos="720"/>
              </w:tabs>
              <w:rPr>
                <w:iCs/>
                <w:lang w:val="en-US"/>
              </w:rPr>
            </w:pPr>
            <w:r>
              <w:rPr>
                <w:iCs/>
                <w:lang w:val="en-US"/>
              </w:rPr>
              <w:t>Somapacitan is subject to a commercial arrangement that is likely not accessible in primary</w:t>
            </w:r>
            <w:r w:rsidR="00AE22C3">
              <w:rPr>
                <w:iCs/>
                <w:lang w:val="en-US"/>
              </w:rPr>
              <w:t xml:space="preserve"> care</w:t>
            </w:r>
            <w:r>
              <w:rPr>
                <w:iCs/>
                <w:lang w:val="en-US"/>
              </w:rPr>
              <w:t xml:space="preserve">. To supply it in accordance with NICE it therefore likely requires a RED traffic light status. </w:t>
            </w:r>
          </w:p>
          <w:p w14:paraId="6D866F6A" w14:textId="77777777" w:rsidR="002B5248" w:rsidRDefault="002B5248" w:rsidP="002B5248">
            <w:pPr>
              <w:tabs>
                <w:tab w:val="left" w:pos="720"/>
              </w:tabs>
              <w:rPr>
                <w:iCs/>
                <w:lang w:val="en-US"/>
              </w:rPr>
            </w:pPr>
          </w:p>
          <w:p w14:paraId="40200116" w14:textId="596D3303" w:rsidR="002B5248" w:rsidRDefault="002B5248" w:rsidP="002B5248">
            <w:pPr>
              <w:tabs>
                <w:tab w:val="left" w:pos="720"/>
              </w:tabs>
              <w:rPr>
                <w:lang w:val="en-US"/>
              </w:rPr>
            </w:pPr>
            <w:r>
              <w:rPr>
                <w:iCs/>
                <w:lang w:val="en-US"/>
              </w:rPr>
              <w:t>NB: somapacitan is also licensed for use in adults, but NICE have not assessed this patient group and this indication is not in timetable.</w:t>
            </w:r>
          </w:p>
        </w:tc>
        <w:tc>
          <w:tcPr>
            <w:tcW w:w="1843" w:type="dxa"/>
            <w:shd w:val="clear" w:color="auto" w:fill="auto"/>
          </w:tcPr>
          <w:p w14:paraId="26D68C6D" w14:textId="3F4A2B7E" w:rsidR="002B5248" w:rsidRPr="000B1C54" w:rsidRDefault="002B5248" w:rsidP="002B5248">
            <w:r>
              <w:t xml:space="preserve">The group acknowledged that there is currently variation across the ICB in traffic light status of growth hormone. </w:t>
            </w:r>
          </w:p>
        </w:tc>
        <w:tc>
          <w:tcPr>
            <w:tcW w:w="3827" w:type="dxa"/>
            <w:shd w:val="clear" w:color="auto" w:fill="auto"/>
          </w:tcPr>
          <w:p w14:paraId="0B96ECF5" w14:textId="77777777" w:rsidR="002B5248" w:rsidRDefault="002B5248" w:rsidP="002B5248">
            <w:pPr>
              <w:rPr>
                <w:lang w:val="en-US"/>
              </w:rPr>
            </w:pPr>
            <w:r>
              <w:rPr>
                <w:lang w:val="en-US"/>
              </w:rPr>
              <w:t>Somapacitan works in a similar way to somatrogon or somatropin, and would be offered to the same population. Clinical trial evidence shows that somapacitan works as well as somatropin. Both somapacitan and somatrogon are administered once per week whereas somatropin is administered daily.</w:t>
            </w:r>
          </w:p>
          <w:p w14:paraId="380D364A" w14:textId="77777777" w:rsidR="002B5248" w:rsidRDefault="002B5248" w:rsidP="002B5248">
            <w:pPr>
              <w:rPr>
                <w:lang w:val="en-US"/>
              </w:rPr>
            </w:pPr>
            <w:r>
              <w:rPr>
                <w:lang w:val="en-US"/>
              </w:rPr>
              <w:t>NICE cost modelling used a range of dosages of somatropin that reflects the range used in the NHS. It also took into account the costs of somapacitan and somatropin in primary and secondary care. The cost comparison suggests that the cost of somapacitan is similar to or lower than the cost of somatropin. So somapacitan can be used.</w:t>
            </w:r>
          </w:p>
          <w:p w14:paraId="6DE89311" w14:textId="77777777" w:rsidR="002B5248" w:rsidRDefault="002B5248" w:rsidP="002B5248">
            <w:pPr>
              <w:rPr>
                <w:lang w:val="en-US"/>
              </w:rPr>
            </w:pPr>
            <w:r>
              <w:rPr>
                <w:lang w:val="en-US"/>
              </w:rPr>
              <w:t>The company has agreed a nationally available price reduction for somapacitan with the Medicines Procurement and Supply Chain. The prices agreed through the framework are commercial in confidence.</w:t>
            </w:r>
          </w:p>
          <w:p w14:paraId="0FD5E680" w14:textId="0E5ED962" w:rsidR="002B5248" w:rsidRDefault="002B5248" w:rsidP="002B5248">
            <w:r>
              <w:rPr>
                <w:lang w:val="en-US"/>
              </w:rPr>
              <w:t xml:space="preserve">A NICE resource impact template is available, but requires local completion of drug prices and expected proportion of patients receiving each available treatment. </w:t>
            </w:r>
          </w:p>
        </w:tc>
        <w:tc>
          <w:tcPr>
            <w:tcW w:w="2261" w:type="dxa"/>
            <w:shd w:val="clear" w:color="auto" w:fill="auto"/>
          </w:tcPr>
          <w:p w14:paraId="00E22C8F" w14:textId="77777777" w:rsidR="002B5248" w:rsidRDefault="002B5248" w:rsidP="002B5248">
            <w:r>
              <w:t xml:space="preserve">Some patients are referred to out of area services for care, and a RED traffic light status may have a particular impact on this group. </w:t>
            </w:r>
          </w:p>
          <w:p w14:paraId="1BF8791F" w14:textId="3323D654" w:rsidR="002B5248" w:rsidRPr="002B5248" w:rsidRDefault="002B5248" w:rsidP="002B5248">
            <w:r>
              <w:t xml:space="preserve">Feedback on impact on these patients is particularly sought at consultation. </w:t>
            </w:r>
          </w:p>
        </w:tc>
      </w:tr>
      <w:tr w:rsidR="002B5248" w:rsidRPr="00253EC1" w14:paraId="17BE52D7" w14:textId="77777777" w:rsidTr="00C351A1">
        <w:trPr>
          <w:cantSplit/>
          <w:trHeight w:val="548"/>
        </w:trPr>
        <w:tc>
          <w:tcPr>
            <w:tcW w:w="5382" w:type="dxa"/>
            <w:shd w:val="clear" w:color="auto" w:fill="auto"/>
          </w:tcPr>
          <w:p w14:paraId="67C62EC9" w14:textId="77777777" w:rsidR="002B5248" w:rsidRPr="00033885" w:rsidRDefault="002B5248" w:rsidP="002B5248">
            <w:pPr>
              <w:tabs>
                <w:tab w:val="clear" w:pos="975"/>
              </w:tabs>
              <w:rPr>
                <w:rStyle w:val="Hyperlink"/>
                <w:rFonts w:cs="Arial"/>
                <w:b/>
                <w:bCs/>
              </w:rPr>
            </w:pPr>
            <w:hyperlink r:id="rId11" w:history="1">
              <w:r w:rsidRPr="00033885">
                <w:rPr>
                  <w:rStyle w:val="Hyperlink"/>
                  <w:rFonts w:cs="Arial"/>
                  <w:b/>
                  <w:bCs/>
                </w:rPr>
                <w:t>TA1075: Dapagliflozin for treating chronic kidney disease</w:t>
              </w:r>
            </w:hyperlink>
          </w:p>
          <w:p w14:paraId="38FDB8FA" w14:textId="77777777" w:rsidR="002B5248" w:rsidRDefault="002B5248" w:rsidP="002B5248">
            <w:pPr>
              <w:tabs>
                <w:tab w:val="clear" w:pos="975"/>
              </w:tabs>
              <w:rPr>
                <w:b/>
                <w:bCs/>
              </w:rPr>
            </w:pPr>
            <w:r>
              <w:rPr>
                <w:b/>
                <w:bCs/>
              </w:rPr>
              <w:t>2</w:t>
            </w:r>
            <w:r w:rsidRPr="00033885">
              <w:rPr>
                <w:b/>
                <w:bCs/>
                <w:vertAlign w:val="superscript"/>
              </w:rPr>
              <w:t>nd</w:t>
            </w:r>
            <w:r>
              <w:rPr>
                <w:b/>
                <w:bCs/>
              </w:rPr>
              <w:t xml:space="preserve"> July 2025</w:t>
            </w:r>
          </w:p>
          <w:p w14:paraId="78AE0E22" w14:textId="77777777" w:rsidR="002B5248" w:rsidRDefault="002B5248" w:rsidP="002B5248">
            <w:pPr>
              <w:tabs>
                <w:tab w:val="clear" w:pos="975"/>
              </w:tabs>
              <w:rPr>
                <w:b/>
                <w:bCs/>
              </w:rPr>
            </w:pPr>
            <w:r w:rsidRPr="000231B3">
              <w:rPr>
                <w:b/>
                <w:bCs/>
              </w:rPr>
              <w:t xml:space="preserve">Commissioning: </w:t>
            </w:r>
            <w:r>
              <w:rPr>
                <w:b/>
                <w:bCs/>
              </w:rPr>
              <w:t>ICB</w:t>
            </w:r>
            <w:r w:rsidRPr="000231B3">
              <w:rPr>
                <w:b/>
                <w:bCs/>
              </w:rPr>
              <w:t xml:space="preserve">, tariff </w:t>
            </w:r>
            <w:r>
              <w:rPr>
                <w:b/>
                <w:bCs/>
              </w:rPr>
              <w:t>included</w:t>
            </w:r>
            <w:r w:rsidRPr="000231B3">
              <w:rPr>
                <w:b/>
                <w:bCs/>
              </w:rPr>
              <w:t>, 30-day NICE TA</w:t>
            </w:r>
          </w:p>
          <w:p w14:paraId="48611AD9" w14:textId="77777777" w:rsidR="002B5248" w:rsidRPr="00033885" w:rsidRDefault="002B5248" w:rsidP="002B5248">
            <w:pPr>
              <w:tabs>
                <w:tab w:val="clear" w:pos="975"/>
              </w:tabs>
              <w:rPr>
                <w:rStyle w:val="Hyperlink"/>
                <w:rFonts w:cs="Arial"/>
                <w:bCs/>
                <w:color w:val="auto"/>
                <w:u w:val="none"/>
              </w:rPr>
            </w:pPr>
            <w:r w:rsidRPr="00033885">
              <w:rPr>
                <w:rStyle w:val="Hyperlink"/>
                <w:rFonts w:cs="Arial"/>
                <w:bCs/>
                <w:color w:val="auto"/>
                <w:u w:val="none"/>
              </w:rPr>
              <w:t>Dapagliflozin can be used as an option to treat chronic kidney disease (CKD) in adults, if:</w:t>
            </w:r>
          </w:p>
          <w:p w14:paraId="504FD145" w14:textId="77777777" w:rsidR="002B5248" w:rsidRDefault="002B5248" w:rsidP="002B5248">
            <w:pPr>
              <w:pStyle w:val="ListParagraph"/>
              <w:numPr>
                <w:ilvl w:val="0"/>
                <w:numId w:val="15"/>
              </w:numPr>
              <w:tabs>
                <w:tab w:val="clear" w:pos="975"/>
              </w:tabs>
              <w:rPr>
                <w:rStyle w:val="Hyperlink"/>
                <w:rFonts w:cs="Arial"/>
                <w:bCs/>
                <w:color w:val="auto"/>
                <w:u w:val="none"/>
              </w:rPr>
            </w:pPr>
            <w:r w:rsidRPr="00033885">
              <w:rPr>
                <w:rStyle w:val="Hyperlink"/>
                <w:rFonts w:cs="Arial"/>
                <w:bCs/>
                <w:color w:val="auto"/>
                <w:u w:val="none"/>
              </w:rPr>
              <w:t>it is an add-on to optimised standard care including the highest tolerated licensed dose of angiotensin-converting enzyme (ACE) inhibitors or angiotensin</w:t>
            </w:r>
            <w:r w:rsidRPr="00033885">
              <w:rPr>
                <w:rStyle w:val="Hyperlink"/>
                <w:rFonts w:ascii="Cambria Math" w:hAnsi="Cambria Math" w:cs="Cambria Math"/>
                <w:bCs/>
                <w:color w:val="auto"/>
                <w:u w:val="none"/>
              </w:rPr>
              <w:t>‑</w:t>
            </w:r>
            <w:r w:rsidRPr="00033885">
              <w:rPr>
                <w:rStyle w:val="Hyperlink"/>
                <w:rFonts w:cs="Arial"/>
                <w:bCs/>
                <w:color w:val="auto"/>
                <w:u w:val="none"/>
              </w:rPr>
              <w:t>2 receptor antagonists, unless these are contraindicated, and</w:t>
            </w:r>
          </w:p>
          <w:p w14:paraId="211C2720" w14:textId="77777777" w:rsidR="002B5248" w:rsidRDefault="002B5248" w:rsidP="002B5248">
            <w:pPr>
              <w:pStyle w:val="ListParagraph"/>
              <w:numPr>
                <w:ilvl w:val="0"/>
                <w:numId w:val="15"/>
              </w:numPr>
              <w:tabs>
                <w:tab w:val="clear" w:pos="975"/>
              </w:tabs>
              <w:rPr>
                <w:rStyle w:val="Hyperlink"/>
                <w:rFonts w:cs="Arial"/>
                <w:bCs/>
                <w:color w:val="auto"/>
                <w:u w:val="none"/>
              </w:rPr>
            </w:pPr>
            <w:r w:rsidRPr="00033885">
              <w:rPr>
                <w:rStyle w:val="Hyperlink"/>
                <w:rFonts w:cs="Arial"/>
                <w:bCs/>
                <w:color w:val="auto"/>
                <w:u w:val="none"/>
              </w:rPr>
              <w:t>people have an estimated glomerular filtration rate (eGFR) of:</w:t>
            </w:r>
          </w:p>
          <w:p w14:paraId="5015AF0C" w14:textId="77777777" w:rsidR="002B5248" w:rsidRDefault="002B5248" w:rsidP="002B5248">
            <w:pPr>
              <w:pStyle w:val="ListParagraph"/>
              <w:numPr>
                <w:ilvl w:val="1"/>
                <w:numId w:val="15"/>
              </w:numPr>
              <w:tabs>
                <w:tab w:val="clear" w:pos="975"/>
              </w:tabs>
              <w:ind w:left="731"/>
              <w:rPr>
                <w:rStyle w:val="Hyperlink"/>
                <w:rFonts w:cs="Arial"/>
                <w:bCs/>
                <w:color w:val="auto"/>
                <w:u w:val="none"/>
              </w:rPr>
            </w:pPr>
            <w:r w:rsidRPr="00033885">
              <w:rPr>
                <w:rStyle w:val="Hyperlink"/>
                <w:rFonts w:cs="Arial"/>
                <w:bCs/>
                <w:color w:val="auto"/>
                <w:u w:val="none"/>
              </w:rPr>
              <w:t>20 ml/min/1.73 m</w:t>
            </w:r>
            <w:r w:rsidRPr="005B778E">
              <w:rPr>
                <w:rStyle w:val="Hyperlink"/>
                <w:rFonts w:cs="Arial"/>
                <w:bCs/>
                <w:color w:val="auto"/>
                <w:u w:val="none"/>
                <w:vertAlign w:val="superscript"/>
              </w:rPr>
              <w:t>2</w:t>
            </w:r>
            <w:r w:rsidRPr="00033885">
              <w:rPr>
                <w:rStyle w:val="Hyperlink"/>
                <w:rFonts w:cs="Arial"/>
                <w:bCs/>
                <w:color w:val="auto"/>
                <w:u w:val="none"/>
              </w:rPr>
              <w:t xml:space="preserve"> to less than 45 ml/min/1.73 m</w:t>
            </w:r>
            <w:r w:rsidRPr="005B778E">
              <w:rPr>
                <w:rStyle w:val="Hyperlink"/>
                <w:rFonts w:cs="Arial"/>
                <w:bCs/>
                <w:color w:val="auto"/>
                <w:u w:val="none"/>
                <w:vertAlign w:val="superscript"/>
              </w:rPr>
              <w:t>2</w:t>
            </w:r>
            <w:r w:rsidRPr="00033885">
              <w:rPr>
                <w:rStyle w:val="Hyperlink"/>
                <w:rFonts w:cs="Arial"/>
                <w:bCs/>
                <w:color w:val="auto"/>
                <w:u w:val="none"/>
              </w:rPr>
              <w:t xml:space="preserve"> or</w:t>
            </w:r>
          </w:p>
          <w:p w14:paraId="6AE93094" w14:textId="77777777" w:rsidR="002B5248" w:rsidRDefault="002B5248" w:rsidP="002B5248">
            <w:pPr>
              <w:pStyle w:val="ListParagraph"/>
              <w:numPr>
                <w:ilvl w:val="1"/>
                <w:numId w:val="15"/>
              </w:numPr>
              <w:tabs>
                <w:tab w:val="clear" w:pos="975"/>
              </w:tabs>
              <w:ind w:left="731"/>
              <w:rPr>
                <w:rStyle w:val="Hyperlink"/>
                <w:rFonts w:cs="Arial"/>
                <w:bCs/>
                <w:color w:val="auto"/>
                <w:u w:val="none"/>
              </w:rPr>
            </w:pPr>
            <w:r w:rsidRPr="00033885">
              <w:rPr>
                <w:rStyle w:val="Hyperlink"/>
                <w:rFonts w:cs="Arial"/>
                <w:bCs/>
                <w:color w:val="auto"/>
                <w:u w:val="none"/>
              </w:rPr>
              <w:t>45 ml/min/1.73 m</w:t>
            </w:r>
            <w:r w:rsidRPr="005B778E">
              <w:rPr>
                <w:rStyle w:val="Hyperlink"/>
                <w:rFonts w:cs="Arial"/>
                <w:bCs/>
                <w:color w:val="auto"/>
                <w:u w:val="none"/>
                <w:vertAlign w:val="superscript"/>
              </w:rPr>
              <w:t>2</w:t>
            </w:r>
            <w:r w:rsidRPr="00033885">
              <w:rPr>
                <w:rStyle w:val="Hyperlink"/>
                <w:rFonts w:cs="Arial"/>
                <w:bCs/>
                <w:color w:val="auto"/>
                <w:u w:val="none"/>
              </w:rPr>
              <w:t xml:space="preserve"> to 90 ml/min/1.73 m</w:t>
            </w:r>
            <w:r w:rsidRPr="005B778E">
              <w:rPr>
                <w:rStyle w:val="Hyperlink"/>
                <w:rFonts w:cs="Arial"/>
                <w:bCs/>
                <w:color w:val="auto"/>
                <w:u w:val="none"/>
                <w:vertAlign w:val="superscript"/>
              </w:rPr>
              <w:t>2</w:t>
            </w:r>
            <w:r w:rsidRPr="00033885">
              <w:rPr>
                <w:rStyle w:val="Hyperlink"/>
                <w:rFonts w:cs="Arial"/>
                <w:bCs/>
                <w:color w:val="auto"/>
                <w:u w:val="none"/>
              </w:rPr>
              <w:t>, and either:</w:t>
            </w:r>
          </w:p>
          <w:p w14:paraId="0EF99A13" w14:textId="77777777" w:rsidR="002B5248" w:rsidRDefault="002B5248" w:rsidP="002B5248">
            <w:pPr>
              <w:pStyle w:val="ListParagraph"/>
              <w:numPr>
                <w:ilvl w:val="2"/>
                <w:numId w:val="15"/>
              </w:numPr>
              <w:tabs>
                <w:tab w:val="clear" w:pos="975"/>
              </w:tabs>
              <w:ind w:left="1156"/>
              <w:rPr>
                <w:rStyle w:val="Hyperlink"/>
                <w:rFonts w:cs="Arial"/>
                <w:bCs/>
                <w:color w:val="auto"/>
                <w:u w:val="none"/>
              </w:rPr>
            </w:pPr>
            <w:r w:rsidRPr="00033885">
              <w:rPr>
                <w:rStyle w:val="Hyperlink"/>
                <w:rFonts w:cs="Arial"/>
                <w:bCs/>
                <w:color w:val="auto"/>
                <w:u w:val="none"/>
              </w:rPr>
              <w:t>a urine albumin-to-creatinine ratio of 22.6 mg/mmol or more, or</w:t>
            </w:r>
          </w:p>
          <w:p w14:paraId="18988B91" w14:textId="77777777" w:rsidR="002B5248" w:rsidRPr="00033885" w:rsidRDefault="002B5248" w:rsidP="002B5248">
            <w:pPr>
              <w:pStyle w:val="ListParagraph"/>
              <w:numPr>
                <w:ilvl w:val="2"/>
                <w:numId w:val="15"/>
              </w:numPr>
              <w:tabs>
                <w:tab w:val="clear" w:pos="975"/>
              </w:tabs>
              <w:ind w:left="1156"/>
              <w:rPr>
                <w:rStyle w:val="Hyperlink"/>
                <w:rFonts w:cs="Arial"/>
                <w:bCs/>
                <w:color w:val="auto"/>
                <w:u w:val="none"/>
              </w:rPr>
            </w:pPr>
            <w:r w:rsidRPr="00033885">
              <w:rPr>
                <w:rStyle w:val="Hyperlink"/>
                <w:rFonts w:cs="Arial"/>
                <w:bCs/>
                <w:color w:val="auto"/>
                <w:u w:val="none"/>
              </w:rPr>
              <w:t>type 2 diabetes.</w:t>
            </w:r>
          </w:p>
          <w:p w14:paraId="768DE9D1" w14:textId="2F2F0A26" w:rsidR="002B5248" w:rsidRPr="0047015D" w:rsidRDefault="002B5248" w:rsidP="002B5248">
            <w:pPr>
              <w:tabs>
                <w:tab w:val="left" w:pos="720"/>
              </w:tabs>
            </w:pPr>
            <w:r w:rsidRPr="005B778E">
              <w:rPr>
                <w:rStyle w:val="Hyperlink"/>
                <w:rFonts w:cs="Arial"/>
                <w:color w:val="auto"/>
                <w:u w:val="none"/>
              </w:rPr>
              <w:t xml:space="preserve">This guidance updates and replaces NICE TA775, dapagliflozin for CKD. </w:t>
            </w:r>
            <w:r w:rsidRPr="00605472">
              <w:t>It e</w:t>
            </w:r>
            <w:r>
              <w:t xml:space="preserve">xpands the eligible population to align with </w:t>
            </w:r>
            <w:hyperlink r:id="rId12" w:history="1">
              <w:r w:rsidRPr="00605472">
                <w:rPr>
                  <w:rStyle w:val="Hyperlink"/>
                  <w:rFonts w:cs="Arial"/>
                </w:rPr>
                <w:t>NICE TA942 for empagliflozin</w:t>
              </w:r>
            </w:hyperlink>
            <w:r>
              <w:t xml:space="preserve">. </w:t>
            </w:r>
          </w:p>
        </w:tc>
        <w:tc>
          <w:tcPr>
            <w:tcW w:w="2126" w:type="dxa"/>
            <w:shd w:val="clear" w:color="auto" w:fill="auto"/>
          </w:tcPr>
          <w:p w14:paraId="68522123" w14:textId="77777777" w:rsidR="002B5248" w:rsidRDefault="002B5248" w:rsidP="002B5248">
            <w:pPr>
              <w:tabs>
                <w:tab w:val="clear" w:pos="975"/>
              </w:tabs>
            </w:pPr>
            <w:r w:rsidRPr="004148F0">
              <w:t xml:space="preserve">Add </w:t>
            </w:r>
            <w:r>
              <w:t xml:space="preserve">links </w:t>
            </w:r>
            <w:r w:rsidRPr="004148F0">
              <w:t>TA1</w:t>
            </w:r>
            <w:r>
              <w:t>075 to formulary.</w:t>
            </w:r>
          </w:p>
          <w:p w14:paraId="31CE39F8" w14:textId="77777777" w:rsidR="002B5248" w:rsidRDefault="002B5248" w:rsidP="002B5248">
            <w:pPr>
              <w:tabs>
                <w:tab w:val="clear" w:pos="975"/>
              </w:tabs>
            </w:pPr>
            <w:r>
              <w:t>Remove links to TA942.</w:t>
            </w:r>
          </w:p>
          <w:p w14:paraId="3D4FFD6C" w14:textId="59DA423D" w:rsidR="002B5248" w:rsidRPr="00E064C8" w:rsidRDefault="002B5248" w:rsidP="002B5248">
            <w:pPr>
              <w:tabs>
                <w:tab w:val="clear" w:pos="975"/>
              </w:tabs>
            </w:pPr>
          </w:p>
        </w:tc>
        <w:tc>
          <w:tcPr>
            <w:tcW w:w="1843" w:type="dxa"/>
            <w:shd w:val="clear" w:color="auto" w:fill="auto"/>
          </w:tcPr>
          <w:p w14:paraId="40B9F3DF" w14:textId="576C863F" w:rsidR="002B5248" w:rsidRPr="000B1C54" w:rsidRDefault="002B5248" w:rsidP="002B5248">
            <w:r>
              <w:t xml:space="preserve">Traffic light status is not harmonised across the ICB, and the same is true for empagliflozin. </w:t>
            </w:r>
          </w:p>
        </w:tc>
        <w:tc>
          <w:tcPr>
            <w:tcW w:w="3827" w:type="dxa"/>
            <w:shd w:val="clear" w:color="auto" w:fill="auto"/>
          </w:tcPr>
          <w:p w14:paraId="3D1CA81B" w14:textId="77777777" w:rsidR="002B5248" w:rsidRPr="005B778E" w:rsidRDefault="002B5248" w:rsidP="002B5248">
            <w:r w:rsidRPr="005B778E">
              <w:t>The company has proposed that dapagliflozin should be available for the same population as empagliflozin. Empagliflozin is used in a similar but broader population to dapagliflozin, but this still does not include everyone who dapagliflozin is licensed for.</w:t>
            </w:r>
          </w:p>
          <w:p w14:paraId="0F69E7CE" w14:textId="77777777" w:rsidR="002B5248" w:rsidRPr="005B778E" w:rsidRDefault="002B5248" w:rsidP="002B5248">
            <w:r w:rsidRPr="005B778E">
              <w:t>Dapagliflozin has not been directly compared with empagliflozin in a clinical trial, but an indirect treatment comparison considered in NICE's technology appraisal guidance on empagliflozin for treating CKD suggested that they have similar effectiveness and safety. Also, both treatments work in a similar way so are likely to have similar clinical effectiveness and safety for the population considered for this evaluation.</w:t>
            </w:r>
          </w:p>
          <w:p w14:paraId="6CEE9510" w14:textId="77777777" w:rsidR="002B5248" w:rsidRPr="005B778E" w:rsidRDefault="002B5248" w:rsidP="002B5248">
            <w:r>
              <w:t>B</w:t>
            </w:r>
            <w:r w:rsidRPr="005B778E">
              <w:t>oth options have list prices of £36.59 for a pack of 28 tablets So, dapagliflozin can be used in the same population as empagliflozin.</w:t>
            </w:r>
            <w:r>
              <w:t xml:space="preserve"> </w:t>
            </w:r>
            <w:r w:rsidRPr="005B778E">
              <w:t>Dapagliflozin and empagliflozin are oral tablets, usually taken at a dose of 10 mg once daily. No additional capacity impacts are anticipated from implementing this guidance.</w:t>
            </w:r>
          </w:p>
          <w:p w14:paraId="779368F4" w14:textId="77777777" w:rsidR="004321C4" w:rsidRDefault="004321C4" w:rsidP="002B5248">
            <w:r w:rsidRPr="004321C4">
              <w:t>NICE expect that the resource impact of implementing the recommendations in England will be less than £8,800 per 100,000 population. This is because the technology is a further treatment option with the same list price as the other main option. So, the overall cost of treatment will be similar for this population.</w:t>
            </w:r>
          </w:p>
          <w:p w14:paraId="38CD9179" w14:textId="7642B129" w:rsidR="00FC7F64" w:rsidRPr="00C10CB3" w:rsidRDefault="002B5248" w:rsidP="002B5248">
            <w:r w:rsidRPr="005B778E">
              <w:t>Any resource increase in future years is likely to be because of population growth, not because of the cost of treatment or any change in market share between the 2 options.</w:t>
            </w:r>
          </w:p>
        </w:tc>
        <w:tc>
          <w:tcPr>
            <w:tcW w:w="2261" w:type="dxa"/>
            <w:shd w:val="clear" w:color="auto" w:fill="auto"/>
          </w:tcPr>
          <w:p w14:paraId="4152922B" w14:textId="5256A1BB" w:rsidR="002B5248" w:rsidRPr="00F10222" w:rsidRDefault="00FC7F64" w:rsidP="00FC7F64">
            <w:r>
              <w:t xml:space="preserve">None expected; existing patient cohort. </w:t>
            </w:r>
          </w:p>
        </w:tc>
      </w:tr>
      <w:tr w:rsidR="00FC7F64" w:rsidRPr="00253EC1" w14:paraId="107AC722" w14:textId="77777777" w:rsidTr="00C351A1">
        <w:trPr>
          <w:cantSplit/>
          <w:trHeight w:val="548"/>
        </w:trPr>
        <w:tc>
          <w:tcPr>
            <w:tcW w:w="5382" w:type="dxa"/>
            <w:shd w:val="clear" w:color="auto" w:fill="auto"/>
          </w:tcPr>
          <w:p w14:paraId="672E5E4F" w14:textId="77777777" w:rsidR="00FC7F64" w:rsidRPr="00033885" w:rsidRDefault="00FC7F64" w:rsidP="00FC7F64">
            <w:pPr>
              <w:tabs>
                <w:tab w:val="clear" w:pos="975"/>
              </w:tabs>
              <w:rPr>
                <w:rStyle w:val="Hyperlink"/>
                <w:rFonts w:cs="Arial"/>
                <w:b/>
                <w:bCs/>
              </w:rPr>
            </w:pPr>
            <w:hyperlink r:id="rId13" w:history="1">
              <w:r w:rsidRPr="005B7F7E">
                <w:rPr>
                  <w:rStyle w:val="Hyperlink"/>
                  <w:rFonts w:cs="Arial"/>
                  <w:b/>
                  <w:bCs/>
                </w:rPr>
                <w:t>TA1080 Mirikizumab for treating moderately to severely active Crohn's disease</w:t>
              </w:r>
            </w:hyperlink>
          </w:p>
          <w:p w14:paraId="78E4E6DF" w14:textId="77777777" w:rsidR="00FC7F64" w:rsidRDefault="00FC7F64" w:rsidP="00FC7F64">
            <w:pPr>
              <w:tabs>
                <w:tab w:val="clear" w:pos="975"/>
              </w:tabs>
              <w:rPr>
                <w:b/>
                <w:bCs/>
              </w:rPr>
            </w:pPr>
            <w:r>
              <w:rPr>
                <w:b/>
                <w:bCs/>
              </w:rPr>
              <w:t>10</w:t>
            </w:r>
            <w:r w:rsidRPr="00D57107">
              <w:rPr>
                <w:b/>
                <w:bCs/>
                <w:vertAlign w:val="superscript"/>
              </w:rPr>
              <w:t>th</w:t>
            </w:r>
            <w:r>
              <w:rPr>
                <w:b/>
                <w:bCs/>
              </w:rPr>
              <w:t xml:space="preserve"> July 2025</w:t>
            </w:r>
          </w:p>
          <w:p w14:paraId="0079E19E" w14:textId="77777777" w:rsidR="00FC7F64" w:rsidRDefault="00FC7F64" w:rsidP="00FC7F64">
            <w:pPr>
              <w:tabs>
                <w:tab w:val="clear" w:pos="975"/>
              </w:tabs>
              <w:rPr>
                <w:b/>
                <w:bCs/>
              </w:rPr>
            </w:pPr>
            <w:r w:rsidRPr="000231B3">
              <w:rPr>
                <w:b/>
                <w:bCs/>
              </w:rPr>
              <w:t xml:space="preserve">Commissioning: </w:t>
            </w:r>
            <w:r>
              <w:rPr>
                <w:b/>
                <w:bCs/>
              </w:rPr>
              <w:t>ICB</w:t>
            </w:r>
            <w:r w:rsidRPr="000231B3">
              <w:rPr>
                <w:b/>
                <w:bCs/>
              </w:rPr>
              <w:t xml:space="preserve">, tariff </w:t>
            </w:r>
            <w:r>
              <w:rPr>
                <w:b/>
                <w:bCs/>
              </w:rPr>
              <w:t>included</w:t>
            </w:r>
            <w:r w:rsidRPr="000231B3">
              <w:rPr>
                <w:b/>
                <w:bCs/>
              </w:rPr>
              <w:t>, 30-day NICE TA</w:t>
            </w:r>
          </w:p>
          <w:p w14:paraId="5ED10D63" w14:textId="77777777" w:rsidR="00FC7F64" w:rsidRDefault="00FC7F64" w:rsidP="00FC7F64">
            <w:pPr>
              <w:tabs>
                <w:tab w:val="clear" w:pos="975"/>
              </w:tabs>
              <w:rPr>
                <w:rStyle w:val="Hyperlink"/>
                <w:rFonts w:cs="Arial"/>
                <w:bCs/>
                <w:color w:val="auto"/>
                <w:u w:val="none"/>
              </w:rPr>
            </w:pPr>
            <w:r w:rsidRPr="00D57107">
              <w:rPr>
                <w:rStyle w:val="Hyperlink"/>
                <w:rFonts w:cs="Arial"/>
                <w:bCs/>
                <w:color w:val="auto"/>
                <w:u w:val="none"/>
              </w:rPr>
              <w:t>Mirikizumab can be used as an option to treat moderately to severely active Crohn's disease in adults, only if:</w:t>
            </w:r>
          </w:p>
          <w:p w14:paraId="14FB8881" w14:textId="77777777" w:rsidR="00FC7F64" w:rsidRDefault="00FC7F64" w:rsidP="00FC7F64">
            <w:pPr>
              <w:pStyle w:val="ListParagraph"/>
              <w:numPr>
                <w:ilvl w:val="0"/>
                <w:numId w:val="16"/>
              </w:numPr>
              <w:tabs>
                <w:tab w:val="clear" w:pos="975"/>
              </w:tabs>
              <w:rPr>
                <w:rStyle w:val="Hyperlink"/>
                <w:rFonts w:cs="Arial"/>
                <w:bCs/>
                <w:color w:val="auto"/>
                <w:u w:val="none"/>
              </w:rPr>
            </w:pPr>
            <w:r w:rsidRPr="00D57107">
              <w:rPr>
                <w:rStyle w:val="Hyperlink"/>
                <w:rFonts w:cs="Arial"/>
                <w:bCs/>
                <w:color w:val="auto"/>
                <w:u w:val="none"/>
              </w:rPr>
              <w:t>the disease has not responded well enough or stopped responding to a previous biological treatment, or</w:t>
            </w:r>
          </w:p>
          <w:p w14:paraId="10B06D45" w14:textId="77777777" w:rsidR="00FC7F64" w:rsidRPr="00D57107" w:rsidRDefault="00FC7F64" w:rsidP="00FC7F64">
            <w:pPr>
              <w:pStyle w:val="ListParagraph"/>
              <w:numPr>
                <w:ilvl w:val="0"/>
                <w:numId w:val="16"/>
              </w:numPr>
              <w:tabs>
                <w:tab w:val="clear" w:pos="975"/>
              </w:tabs>
              <w:rPr>
                <w:rStyle w:val="Hyperlink"/>
                <w:rFonts w:cs="Arial"/>
                <w:bCs/>
                <w:color w:val="auto"/>
                <w:u w:val="none"/>
              </w:rPr>
            </w:pPr>
            <w:r w:rsidRPr="00D57107">
              <w:rPr>
                <w:rStyle w:val="Hyperlink"/>
                <w:rFonts w:cs="Arial"/>
                <w:bCs/>
                <w:color w:val="auto"/>
                <w:u w:val="none"/>
              </w:rPr>
              <w:t>a previous biological treatment was not tolerated, or</w:t>
            </w:r>
            <w:r>
              <w:rPr>
                <w:rStyle w:val="Hyperlink"/>
                <w:rFonts w:cs="Arial"/>
                <w:bCs/>
                <w:color w:val="auto"/>
                <w:u w:val="none"/>
              </w:rPr>
              <w:t xml:space="preserve"> </w:t>
            </w:r>
            <w:r w:rsidRPr="00D57107">
              <w:rPr>
                <w:rStyle w:val="Hyperlink"/>
                <w:rFonts w:cs="Arial"/>
                <w:bCs/>
                <w:color w:val="auto"/>
                <w:u w:val="none"/>
              </w:rPr>
              <w:t>tumour necrosis factor (TNF)-alpha inhibitors are not suitable.</w:t>
            </w:r>
          </w:p>
          <w:p w14:paraId="5B5CB094" w14:textId="77777777" w:rsidR="00FC7F64" w:rsidRPr="00D57107" w:rsidRDefault="00FC7F64" w:rsidP="00FC7F64">
            <w:pPr>
              <w:tabs>
                <w:tab w:val="clear" w:pos="975"/>
              </w:tabs>
              <w:rPr>
                <w:rStyle w:val="Hyperlink"/>
                <w:rFonts w:cs="Arial"/>
                <w:bCs/>
                <w:color w:val="auto"/>
                <w:u w:val="none"/>
              </w:rPr>
            </w:pPr>
            <w:r w:rsidRPr="00D57107">
              <w:rPr>
                <w:rStyle w:val="Hyperlink"/>
                <w:rFonts w:cs="Arial"/>
                <w:bCs/>
                <w:color w:val="auto"/>
                <w:u w:val="none"/>
              </w:rPr>
              <w:t xml:space="preserve">Mirikizumab can only be used if the company provides it according to the commercial arrangement. </w:t>
            </w:r>
          </w:p>
          <w:p w14:paraId="101FE4A4" w14:textId="0DEF06AB" w:rsidR="00FC7F64" w:rsidRPr="0047015D" w:rsidRDefault="00FC7F64" w:rsidP="00FC7F64">
            <w:pPr>
              <w:tabs>
                <w:tab w:val="left" w:pos="720"/>
              </w:tabs>
            </w:pPr>
            <w:r w:rsidRPr="00D57107">
              <w:rPr>
                <w:rStyle w:val="Hyperlink"/>
                <w:rFonts w:cs="Arial"/>
                <w:bCs/>
                <w:color w:val="auto"/>
                <w:u w:val="none"/>
              </w:rPr>
              <w:t>If people with the condition and their healthcare professional consider mirikizumab to be 1 of a range of suitable treatments, after discussing the advantages and disadvantages of all the options, the least expensive</w:t>
            </w:r>
            <w:r>
              <w:rPr>
                <w:rStyle w:val="Hyperlink"/>
                <w:rFonts w:cs="Arial"/>
                <w:bCs/>
                <w:color w:val="auto"/>
                <w:u w:val="none"/>
              </w:rPr>
              <w:t xml:space="preserve"> </w:t>
            </w:r>
            <w:r w:rsidRPr="00D57107">
              <w:rPr>
                <w:rStyle w:val="Hyperlink"/>
                <w:rFonts w:cs="Arial"/>
                <w:bCs/>
                <w:color w:val="auto"/>
                <w:u w:val="none"/>
              </w:rPr>
              <w:t>should be used. Take into account the administration costs, dosage, price per dose and commercial arrangements.</w:t>
            </w:r>
          </w:p>
        </w:tc>
        <w:tc>
          <w:tcPr>
            <w:tcW w:w="2126" w:type="dxa"/>
            <w:shd w:val="clear" w:color="auto" w:fill="auto"/>
          </w:tcPr>
          <w:p w14:paraId="1B52FD89" w14:textId="77777777" w:rsidR="00FC7F64" w:rsidRDefault="00FC7F64" w:rsidP="00FC7F64">
            <w:pPr>
              <w:tabs>
                <w:tab w:val="clear" w:pos="975"/>
              </w:tabs>
            </w:pPr>
            <w:r w:rsidRPr="004148F0">
              <w:t xml:space="preserve">Add </w:t>
            </w:r>
            <w:r>
              <w:t>m</w:t>
            </w:r>
            <w:r w:rsidRPr="00D57107">
              <w:t xml:space="preserve">irikizumab </w:t>
            </w:r>
            <w:r w:rsidRPr="004148F0">
              <w:t xml:space="preserve">to formulary as a </w:t>
            </w:r>
            <w:r>
              <w:t>RED</w:t>
            </w:r>
            <w:r w:rsidRPr="004148F0">
              <w:t xml:space="preserve"> drug in this indication with a link to TA</w:t>
            </w:r>
            <w:r>
              <w:t>1080</w:t>
            </w:r>
            <w:r w:rsidRPr="004148F0">
              <w:t>.</w:t>
            </w:r>
          </w:p>
          <w:p w14:paraId="32932D1D" w14:textId="77777777" w:rsidR="00FC7F64" w:rsidRPr="00E064C8" w:rsidRDefault="00FC7F64" w:rsidP="00FC7F64">
            <w:pPr>
              <w:tabs>
                <w:tab w:val="clear" w:pos="975"/>
              </w:tabs>
            </w:pPr>
          </w:p>
        </w:tc>
        <w:tc>
          <w:tcPr>
            <w:tcW w:w="1843" w:type="dxa"/>
            <w:shd w:val="clear" w:color="auto" w:fill="auto"/>
          </w:tcPr>
          <w:p w14:paraId="53367A97" w14:textId="77777777" w:rsidR="00FC7F64" w:rsidRPr="000B1C54" w:rsidRDefault="00FC7F64" w:rsidP="00FC7F64"/>
        </w:tc>
        <w:tc>
          <w:tcPr>
            <w:tcW w:w="3827" w:type="dxa"/>
            <w:shd w:val="clear" w:color="auto" w:fill="auto"/>
          </w:tcPr>
          <w:p w14:paraId="3CF52262" w14:textId="77777777" w:rsidR="00FC7F64" w:rsidRPr="000C502A" w:rsidRDefault="00FC7F64" w:rsidP="00FC7F64">
            <w:r w:rsidRPr="000C502A">
              <w:t xml:space="preserve">Usual treatment for moderately to severely active Crohn's disease includes biological treatments such as TNF-alpha inhibitors, risankizumab, ustekinumab and vedolizumab. Mirikizumab is another biological treatment. </w:t>
            </w:r>
          </w:p>
          <w:p w14:paraId="2334EA69" w14:textId="77777777" w:rsidR="00FC7F64" w:rsidRPr="000C502A" w:rsidRDefault="00FC7F64" w:rsidP="00FC7F64">
            <w:r w:rsidRPr="000C502A">
              <w:t>Clinical trial evidence shows that mirikizumab works as well as ustekinumab in reducing symptoms and achieving disease remission. Indirect comparisons of mirikizumab with other biological treatments are uncertain. But, together with clinical expert opinion, there is enough evidence that mirikizumab is likely to work as well as risankizumab. Clinical expert opinion also suggests that mirikizumab would be used at the same point in the treatment pathway as risankizumab.</w:t>
            </w:r>
          </w:p>
          <w:p w14:paraId="40118BB2" w14:textId="77777777" w:rsidR="00FC7F64" w:rsidRPr="000C502A" w:rsidRDefault="00FC7F64" w:rsidP="00FC7F64">
            <w:r w:rsidRPr="000C502A">
              <w:t>To be recommended as a treatment option, mirikizumab needs to cost less or have similar costs to 1 relevant comparator recommended in a published NICE technology appraisal guidance .A NICE cost comparison suggests the costs for mirikizumab are similar to or lower than risankizumab, which is recommended after biological treatment has not worked well enough, stopped working or was not tolerated, or when TNF-alpha inhibitors are unsuitable. So,</w:t>
            </w:r>
            <w:r>
              <w:t xml:space="preserve"> </w:t>
            </w:r>
            <w:r w:rsidRPr="000C502A">
              <w:t>mirikizumab can be used for this population.</w:t>
            </w:r>
          </w:p>
          <w:p w14:paraId="6C09D083" w14:textId="7C29056D" w:rsidR="00FC7F64" w:rsidRPr="00C10CB3" w:rsidRDefault="00FC7F64" w:rsidP="00FC7F64">
            <w:r w:rsidRPr="000C502A">
              <w:t>The company has a commercial arrangement (simple discount patient access scheme). This makes mirikizumab available to the NHS with a discount. The size of the discount is commercial in confidence.</w:t>
            </w:r>
          </w:p>
        </w:tc>
        <w:tc>
          <w:tcPr>
            <w:tcW w:w="2261" w:type="dxa"/>
            <w:shd w:val="clear" w:color="auto" w:fill="auto"/>
          </w:tcPr>
          <w:p w14:paraId="4F9133BD" w14:textId="4CE3B053" w:rsidR="00FC7F64" w:rsidRPr="00F10222" w:rsidRDefault="00B3703F" w:rsidP="00FC7F64">
            <w:r>
              <w:t xml:space="preserve">None expected. </w:t>
            </w:r>
            <w:r w:rsidR="00FC7F64">
              <w:t xml:space="preserve"> </w:t>
            </w:r>
          </w:p>
        </w:tc>
      </w:tr>
    </w:tbl>
    <w:p w14:paraId="6A3D49F8" w14:textId="4C4B9C0A" w:rsidR="00686FE4" w:rsidRPr="00432265" w:rsidRDefault="00686FE4" w:rsidP="00432265">
      <w:pPr>
        <w:pStyle w:val="BodyText"/>
        <w:tabs>
          <w:tab w:val="clear" w:pos="975"/>
        </w:tabs>
        <w:spacing w:before="68" w:after="0"/>
        <w:ind w:left="1"/>
        <w:jc w:val="center"/>
        <w:rPr>
          <w:rFonts w:ascii="Helvetica" w:hAnsi="Helvetica" w:cs="Helvetica"/>
          <w:color w:val="4C4D4F"/>
        </w:rPr>
      </w:pPr>
    </w:p>
    <w:p w14:paraId="2AD71F3F" w14:textId="1F7D0753" w:rsidR="00121DDE" w:rsidRDefault="006E26D1" w:rsidP="00432265">
      <w:pPr>
        <w:pStyle w:val="BodyText"/>
        <w:spacing w:before="68"/>
        <w:ind w:left="1"/>
        <w:jc w:val="center"/>
        <w:rPr>
          <w:color w:val="4C4D4F"/>
        </w:rPr>
      </w:pPr>
      <w:r>
        <w:rPr>
          <w:color w:val="4C4D4F"/>
        </w:rPr>
        <w:t>HNY APC</w:t>
      </w:r>
      <w:r w:rsidR="00121DDE">
        <w:rPr>
          <w:color w:val="4C4D4F"/>
        </w:rPr>
        <w:t xml:space="preserve"> Professional Secretariat Provided by:</w:t>
      </w:r>
    </w:p>
    <w:p w14:paraId="6B573C23" w14:textId="1FD433E2" w:rsidR="00432265" w:rsidRDefault="00432265" w:rsidP="00432265">
      <w:pPr>
        <w:pStyle w:val="BodyText"/>
        <w:spacing w:before="68"/>
        <w:ind w:left="1"/>
        <w:jc w:val="center"/>
      </w:pPr>
      <w:r>
        <w:rPr>
          <w:color w:val="4C4D4F"/>
        </w:rPr>
        <w:t>Regional Drug and Therapeutics Centre</w:t>
      </w:r>
    </w:p>
    <w:p w14:paraId="0CAAF172" w14:textId="77777777" w:rsidR="00432265" w:rsidRDefault="00432265" w:rsidP="00432265">
      <w:pPr>
        <w:pStyle w:val="BodyText"/>
        <w:spacing w:before="4"/>
        <w:ind w:left="1"/>
        <w:jc w:val="center"/>
      </w:pPr>
      <w:r>
        <w:rPr>
          <w:color w:val="4C4D4F"/>
        </w:rPr>
        <w:t>16/17 Framlington Place, Newcastle upon Tyne, NE2 4AB</w:t>
      </w:r>
    </w:p>
    <w:p w14:paraId="5602DB6E" w14:textId="3B4A21C8" w:rsidR="00432265" w:rsidRDefault="00432265" w:rsidP="00BB0161">
      <w:pPr>
        <w:tabs>
          <w:tab w:val="left" w:pos="1770"/>
          <w:tab w:val="left" w:pos="3611"/>
          <w:tab w:val="left" w:pos="6712"/>
        </w:tabs>
        <w:spacing w:before="3"/>
        <w:jc w:val="center"/>
        <w:rPr>
          <w:sz w:val="15"/>
        </w:rPr>
      </w:pPr>
      <w:bookmarkStart w:id="0"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14" w:history="1">
        <w:r w:rsidR="00BB0161" w:rsidRPr="00EF6157">
          <w:rPr>
            <w:rStyle w:val="Hyperlink"/>
            <w:rFonts w:cs="Arial"/>
          </w:rPr>
          <w:t>nuth.nyrdtc.rxsupp@nhs.net</w:t>
        </w:r>
      </w:hyperlink>
      <w:r w:rsidR="00BB0161">
        <w:t xml:space="preserve"> </w:t>
      </w:r>
      <w:r w:rsidR="00121DDE">
        <w:rPr>
          <w:color w:val="4C4D4F"/>
          <w:spacing w:val="19"/>
        </w:rPr>
        <w:t xml:space="preserve"> </w:t>
      </w:r>
      <w:r w:rsidR="006E26D1">
        <w:rPr>
          <w:color w:val="4C4D4F"/>
          <w:spacing w:val="19"/>
        </w:rPr>
        <w:t xml:space="preserve"> </w:t>
      </w:r>
      <w:r>
        <w:rPr>
          <w:color w:val="4C4D4F"/>
        </w:rPr>
        <w:t>visit:</w:t>
      </w:r>
      <w:r>
        <w:rPr>
          <w:color w:val="4C4D4F"/>
          <w:spacing w:val="4"/>
        </w:rPr>
        <w:t xml:space="preserve"> </w:t>
      </w:r>
      <w:hyperlink r:id="rId15" w:history="1">
        <w:r w:rsidR="00BB0161" w:rsidRPr="00EF6157">
          <w:rPr>
            <w:rStyle w:val="Hyperlink"/>
            <w:rFonts w:cs="Arial"/>
          </w:rPr>
          <w:t>https://humberandnorthyorkshire.org.uk/area-prescribing-committee-apc/</w:t>
        </w:r>
      </w:hyperlink>
      <w:r w:rsidR="00BB0161">
        <w:t xml:space="preserve"> </w:t>
      </w:r>
    </w:p>
    <w:bookmarkEnd w:id="0"/>
    <w:p w14:paraId="46A8EF24" w14:textId="77777777" w:rsidR="00432265" w:rsidRDefault="00432265" w:rsidP="00432265">
      <w:pPr>
        <w:ind w:left="12"/>
        <w:jc w:val="center"/>
      </w:pPr>
      <w:r>
        <w:rPr>
          <w:noProof/>
          <w:position w:val="-15"/>
          <w:lang w:eastAsia="en-GB"/>
        </w:rPr>
        <w:drawing>
          <wp:inline distT="0" distB="0" distL="0" distR="0" wp14:anchorId="29439FBE" wp14:editId="22541797">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17">
        <w:r>
          <w:rPr>
            <w:color w:val="456DA9"/>
          </w:rPr>
          <w:t>@RDTC_Rx</w:t>
        </w:r>
      </w:hyperlink>
    </w:p>
    <w:p w14:paraId="59EB0C4C" w14:textId="77777777" w:rsidR="00432265" w:rsidRDefault="00432265" w:rsidP="00432265">
      <w:pPr>
        <w:spacing w:before="56" w:line="266" w:lineRule="auto"/>
        <w:ind w:left="613" w:right="610"/>
        <w:jc w:val="center"/>
        <w:rPr>
          <w:sz w:val="13"/>
        </w:rPr>
      </w:pPr>
      <w:r>
        <w:rPr>
          <w:color w:val="4C4D4F"/>
          <w:sz w:val="13"/>
        </w:rPr>
        <w:lastRenderedPageBreak/>
        <w:t>THIS DOCUMENT IS INTENDED FOR USE BY NHS HEALTHCARE PROFESSIONALS AND CANNOT BE USED FOR COMMERCIAL OR MARKETING PURPOSES. PATIENT INFORMATION ON MANY TOPICS CAN BE ACCESSED VIA NHS CHOICES</w:t>
      </w:r>
    </w:p>
    <w:p w14:paraId="0C19F98F" w14:textId="2FE1250D" w:rsidR="00560ADF" w:rsidRDefault="00560ADF" w:rsidP="00432265">
      <w:pPr>
        <w:pStyle w:val="BodyText"/>
        <w:tabs>
          <w:tab w:val="clear" w:pos="975"/>
        </w:tabs>
        <w:spacing w:before="68" w:after="0"/>
        <w:ind w:left="1"/>
        <w:jc w:val="center"/>
      </w:pPr>
    </w:p>
    <w:p w14:paraId="074452F2" w14:textId="77777777" w:rsidR="0016537D" w:rsidRDefault="0016537D" w:rsidP="00432265">
      <w:pPr>
        <w:pStyle w:val="BodyText"/>
        <w:tabs>
          <w:tab w:val="clear" w:pos="975"/>
        </w:tabs>
        <w:spacing w:before="68" w:after="0"/>
        <w:ind w:left="1"/>
        <w:jc w:val="center"/>
      </w:pPr>
    </w:p>
    <w:p w14:paraId="15C073DB" w14:textId="77777777" w:rsidR="0016537D" w:rsidRDefault="0016537D" w:rsidP="00432265">
      <w:pPr>
        <w:pStyle w:val="BodyText"/>
        <w:tabs>
          <w:tab w:val="clear" w:pos="975"/>
        </w:tabs>
        <w:spacing w:before="68" w:after="0"/>
        <w:ind w:left="1"/>
        <w:jc w:val="center"/>
      </w:pPr>
    </w:p>
    <w:p w14:paraId="30F536DA" w14:textId="77777777" w:rsidR="0016537D" w:rsidRDefault="0016537D" w:rsidP="00432265">
      <w:pPr>
        <w:pStyle w:val="BodyText"/>
        <w:tabs>
          <w:tab w:val="clear" w:pos="975"/>
        </w:tabs>
        <w:spacing w:before="68" w:after="0"/>
        <w:ind w:left="1"/>
        <w:jc w:val="center"/>
      </w:pPr>
    </w:p>
    <w:p w14:paraId="7B2336D5" w14:textId="77777777" w:rsidR="0016537D" w:rsidRDefault="0016537D" w:rsidP="00432265">
      <w:pPr>
        <w:pStyle w:val="BodyText"/>
        <w:tabs>
          <w:tab w:val="clear" w:pos="975"/>
        </w:tabs>
        <w:spacing w:before="68" w:after="0"/>
        <w:ind w:left="1"/>
        <w:jc w:val="center"/>
      </w:pPr>
    </w:p>
    <w:p w14:paraId="1C69CFD9" w14:textId="77777777" w:rsidR="0016537D" w:rsidRDefault="0016537D" w:rsidP="00432265">
      <w:pPr>
        <w:pStyle w:val="BodyText"/>
        <w:tabs>
          <w:tab w:val="clear" w:pos="975"/>
        </w:tabs>
        <w:spacing w:before="68" w:after="0"/>
        <w:ind w:left="1"/>
        <w:jc w:val="center"/>
      </w:pPr>
    </w:p>
    <w:p w14:paraId="0FC21B9B" w14:textId="41C9A151" w:rsidR="00AB3FD8" w:rsidRDefault="00AB3FD8">
      <w:pPr>
        <w:tabs>
          <w:tab w:val="clear" w:pos="975"/>
        </w:tabs>
        <w:spacing w:before="0" w:after="0"/>
      </w:pPr>
      <w:r>
        <w:br w:type="page"/>
      </w:r>
    </w:p>
    <w:p w14:paraId="6F3E74B8" w14:textId="77777777" w:rsidR="0016537D" w:rsidRDefault="0016537D" w:rsidP="00432265">
      <w:pPr>
        <w:pStyle w:val="BodyText"/>
        <w:tabs>
          <w:tab w:val="clear" w:pos="975"/>
        </w:tabs>
        <w:spacing w:before="68" w:after="0"/>
        <w:ind w:left="1"/>
        <w:jc w:val="center"/>
      </w:pPr>
    </w:p>
    <w:tbl>
      <w:tblPr>
        <w:tblStyle w:val="TableGrid"/>
        <w:tblW w:w="15382" w:type="dxa"/>
        <w:tblInd w:w="279" w:type="dxa"/>
        <w:tblLook w:val="04A0" w:firstRow="1" w:lastRow="0" w:firstColumn="1" w:lastColumn="0" w:noHBand="0" w:noVBand="1"/>
      </w:tblPr>
      <w:tblGrid>
        <w:gridCol w:w="2340"/>
        <w:gridCol w:w="5026"/>
        <w:gridCol w:w="2487"/>
        <w:gridCol w:w="5529"/>
      </w:tblGrid>
      <w:tr w:rsidR="007E18E4" w:rsidRPr="003E1755" w14:paraId="134B13FE" w14:textId="77777777" w:rsidTr="003E1755">
        <w:tc>
          <w:tcPr>
            <w:tcW w:w="15382" w:type="dxa"/>
            <w:gridSpan w:val="4"/>
            <w:shd w:val="clear" w:color="auto" w:fill="auto"/>
          </w:tcPr>
          <w:p w14:paraId="7C4F8FC3" w14:textId="3A66573F" w:rsidR="007E18E4" w:rsidRPr="003E1755" w:rsidRDefault="00FF245F" w:rsidP="007E18E4">
            <w:pPr>
              <w:rPr>
                <w:b/>
                <w:bCs/>
              </w:rPr>
            </w:pPr>
            <w:r>
              <w:br w:type="page"/>
            </w:r>
            <w:r w:rsidR="007E18E4" w:rsidRPr="003E1755">
              <w:rPr>
                <w:b/>
                <w:bCs/>
              </w:rPr>
              <w:t>RAG classifications for joint Humber and North Yorkshire ICB formulary</w:t>
            </w:r>
          </w:p>
        </w:tc>
      </w:tr>
      <w:tr w:rsidR="007E18E4" w:rsidRPr="003E1755" w14:paraId="06FDB248" w14:textId="2D1D7E07" w:rsidTr="003E1755">
        <w:tc>
          <w:tcPr>
            <w:tcW w:w="2340" w:type="dxa"/>
            <w:shd w:val="clear" w:color="auto" w:fill="FF0000"/>
          </w:tcPr>
          <w:p w14:paraId="3E925C72" w14:textId="77777777" w:rsidR="007E18E4" w:rsidRPr="003E1755" w:rsidRDefault="007E18E4" w:rsidP="007E18E4">
            <w:pPr>
              <w:rPr>
                <w:b/>
                <w:bCs/>
              </w:rPr>
            </w:pPr>
            <w:r w:rsidRPr="003E1755">
              <w:rPr>
                <w:b/>
                <w:bCs/>
              </w:rPr>
              <w:t xml:space="preserve">Red </w:t>
            </w:r>
          </w:p>
        </w:tc>
        <w:tc>
          <w:tcPr>
            <w:tcW w:w="5026" w:type="dxa"/>
          </w:tcPr>
          <w:p w14:paraId="0FF14EAB" w14:textId="77777777" w:rsidR="007E18E4" w:rsidRPr="003E1755" w:rsidRDefault="007E18E4" w:rsidP="007E18E4">
            <w:r w:rsidRPr="003E1755">
              <w:t xml:space="preserve">Specialist prescribing only </w:t>
            </w:r>
          </w:p>
          <w:p w14:paraId="3763B403" w14:textId="518F28E6" w:rsidR="007E18E4" w:rsidRPr="003E1755" w:rsidRDefault="007E18E4" w:rsidP="007E18E4">
            <w:r w:rsidRPr="003E1755">
              <w:t xml:space="preserve">The specialist initiates, continues and completes all ongoing monitoring. </w:t>
            </w:r>
          </w:p>
        </w:tc>
        <w:tc>
          <w:tcPr>
            <w:tcW w:w="2487" w:type="dxa"/>
            <w:shd w:val="clear" w:color="auto" w:fill="FFC000"/>
          </w:tcPr>
          <w:p w14:paraId="1F495ACC" w14:textId="77777777" w:rsidR="007E18E4" w:rsidRPr="003E1755" w:rsidRDefault="007E18E4" w:rsidP="007E18E4">
            <w:pPr>
              <w:rPr>
                <w:b/>
                <w:bCs/>
              </w:rPr>
            </w:pPr>
            <w:r w:rsidRPr="003E1755">
              <w:rPr>
                <w:b/>
                <w:bCs/>
              </w:rPr>
              <w:t>Amber specialist recommendation (Amber SR)</w:t>
            </w:r>
          </w:p>
          <w:p w14:paraId="5C2D04D9" w14:textId="77777777" w:rsidR="007E18E4" w:rsidRPr="003E1755" w:rsidRDefault="007E18E4" w:rsidP="007E18E4">
            <w:pPr>
              <w:rPr>
                <w:b/>
                <w:bCs/>
              </w:rPr>
            </w:pPr>
          </w:p>
          <w:p w14:paraId="6447963B" w14:textId="461FD046" w:rsidR="007E18E4" w:rsidRPr="003E1755" w:rsidRDefault="007E18E4" w:rsidP="007E18E4">
            <w:r w:rsidRPr="003E1755">
              <w:t>Formerly known as Amber 1 in Humber</w:t>
            </w:r>
          </w:p>
        </w:tc>
        <w:tc>
          <w:tcPr>
            <w:tcW w:w="5529" w:type="dxa"/>
          </w:tcPr>
          <w:p w14:paraId="4D85E64B" w14:textId="77777777" w:rsidR="007E18E4" w:rsidRPr="003E1755" w:rsidRDefault="007E18E4" w:rsidP="007E18E4">
            <w:r w:rsidRPr="003E1755">
              <w:t>Does not need to be initiated by a specialist but can be recommended by a specialist to general practice.</w:t>
            </w:r>
          </w:p>
          <w:p w14:paraId="5F788FD5" w14:textId="24E0B56C" w:rsidR="007E18E4" w:rsidRPr="003E1755" w:rsidRDefault="007E18E4" w:rsidP="007E18E4">
            <w:r w:rsidRPr="003E1755">
              <w:t>No ongoing arrangements between specialist and general practice. General practice can refer back to specialist at any time in relation to medication query, if required.</w:t>
            </w:r>
          </w:p>
        </w:tc>
      </w:tr>
      <w:tr w:rsidR="007E18E4" w:rsidRPr="003E1755" w14:paraId="35763245" w14:textId="2F32CE8C" w:rsidTr="003E1755">
        <w:tc>
          <w:tcPr>
            <w:tcW w:w="2340" w:type="dxa"/>
            <w:shd w:val="clear" w:color="auto" w:fill="FFC000"/>
          </w:tcPr>
          <w:p w14:paraId="4DAD29CE" w14:textId="77777777" w:rsidR="007E18E4" w:rsidRPr="003E1755" w:rsidRDefault="007E18E4" w:rsidP="007E18E4">
            <w:pPr>
              <w:rPr>
                <w:b/>
                <w:bCs/>
              </w:rPr>
            </w:pPr>
            <w:r w:rsidRPr="003E1755">
              <w:rPr>
                <w:b/>
                <w:bCs/>
                <w:shd w:val="clear" w:color="auto" w:fill="FFC000"/>
              </w:rPr>
              <w:t>Amber shared care</w:t>
            </w:r>
            <w:r w:rsidRPr="003E1755">
              <w:rPr>
                <w:b/>
                <w:bCs/>
              </w:rPr>
              <w:t xml:space="preserve"> (Amber SCP)</w:t>
            </w:r>
          </w:p>
        </w:tc>
        <w:tc>
          <w:tcPr>
            <w:tcW w:w="5026" w:type="dxa"/>
          </w:tcPr>
          <w:p w14:paraId="07299FC7" w14:textId="77777777" w:rsidR="007E18E4" w:rsidRPr="003E1755" w:rsidRDefault="007E18E4" w:rsidP="007E18E4">
            <w:pPr>
              <w:rPr>
                <w:color w:val="000000"/>
                <w:shd w:val="clear" w:color="auto" w:fill="FFFFFF"/>
              </w:rPr>
            </w:pPr>
            <w:r w:rsidRPr="003E1755">
              <w:rPr>
                <w:color w:val="000000"/>
                <w:shd w:val="clear" w:color="auto" w:fill="FFFFFF"/>
              </w:rPr>
              <w:t xml:space="preserve">Specialist initiation with ongoing monitoring </w:t>
            </w:r>
          </w:p>
          <w:p w14:paraId="62E343E6" w14:textId="77777777" w:rsidR="007E18E4" w:rsidRPr="003E1755" w:rsidRDefault="007E18E4" w:rsidP="007E18E4">
            <w:pPr>
              <w:rPr>
                <w:color w:val="000000"/>
                <w:shd w:val="clear" w:color="auto" w:fill="FFFFFF"/>
              </w:rPr>
            </w:pPr>
            <w:r w:rsidRPr="003E1755">
              <w:rPr>
                <w:color w:val="000000"/>
                <w:shd w:val="clear" w:color="auto" w:fill="FFFFFF"/>
              </w:rPr>
              <w:t xml:space="preserve">Medicines that must be initiated by a specialist*, and which require significant monitoring on an ongoing basis. </w:t>
            </w:r>
          </w:p>
          <w:p w14:paraId="43B0A7A5" w14:textId="77777777" w:rsidR="007E18E4" w:rsidRPr="003E1755" w:rsidRDefault="007E18E4" w:rsidP="007E18E4">
            <w:pPr>
              <w:rPr>
                <w:color w:val="000000"/>
                <w:shd w:val="clear" w:color="auto" w:fill="FFFFFF"/>
              </w:rPr>
            </w:pPr>
            <w:r w:rsidRPr="003E1755">
              <w:rPr>
                <w:color w:val="000000"/>
                <w:shd w:val="clear" w:color="auto" w:fill="FFFFFF"/>
              </w:rPr>
              <w:t>Full agreement to share the care of each specific patient must be reached under the shared care protocol (SCP) which must be provided to the primary care provider.</w:t>
            </w:r>
          </w:p>
          <w:p w14:paraId="6B1C3DA7" w14:textId="77777777" w:rsidR="007E18E4" w:rsidRPr="003E1755" w:rsidRDefault="007E18E4" w:rsidP="007E18E4">
            <w:pPr>
              <w:rPr>
                <w:color w:val="000000"/>
                <w:shd w:val="clear" w:color="auto" w:fill="FFFFFF"/>
              </w:rPr>
            </w:pPr>
            <w:r w:rsidRPr="003E1755">
              <w:rPr>
                <w:color w:val="000000"/>
                <w:shd w:val="clear" w:color="auto" w:fill="FFFFFF"/>
              </w:rPr>
              <w:t>If a commissioned SCP is not available these must be treated as red.</w:t>
            </w:r>
          </w:p>
        </w:tc>
        <w:tc>
          <w:tcPr>
            <w:tcW w:w="2487" w:type="dxa"/>
            <w:shd w:val="clear" w:color="auto" w:fill="92D050"/>
          </w:tcPr>
          <w:p w14:paraId="5B9CB278" w14:textId="77777777" w:rsidR="007E18E4" w:rsidRPr="003E1755" w:rsidRDefault="007E18E4" w:rsidP="007E18E4">
            <w:pPr>
              <w:rPr>
                <w:b/>
                <w:bCs/>
              </w:rPr>
            </w:pPr>
            <w:r w:rsidRPr="003E1755">
              <w:rPr>
                <w:b/>
                <w:bCs/>
              </w:rPr>
              <w:t>Green (with pathway/guideline)</w:t>
            </w:r>
          </w:p>
          <w:p w14:paraId="25779550" w14:textId="77777777" w:rsidR="007E18E4" w:rsidRPr="003E1755" w:rsidRDefault="007E18E4" w:rsidP="007E18E4">
            <w:pPr>
              <w:rPr>
                <w:b/>
                <w:bCs/>
              </w:rPr>
            </w:pPr>
          </w:p>
          <w:p w14:paraId="2B8A5296" w14:textId="77A7F13B" w:rsidR="007E18E4" w:rsidRPr="003E1755" w:rsidRDefault="007E18E4" w:rsidP="007E18E4">
            <w:pPr>
              <w:rPr>
                <w:color w:val="000000"/>
                <w:shd w:val="clear" w:color="auto" w:fill="FFFFFF"/>
              </w:rPr>
            </w:pPr>
            <w:r w:rsidRPr="003E1755">
              <w:t>Formerly known as Amber 1 in Humber</w:t>
            </w:r>
          </w:p>
        </w:tc>
        <w:tc>
          <w:tcPr>
            <w:tcW w:w="5529" w:type="dxa"/>
          </w:tcPr>
          <w:p w14:paraId="4B2AA77A" w14:textId="00DE561B" w:rsidR="007E18E4" w:rsidRPr="003E1755" w:rsidRDefault="007E18E4" w:rsidP="007E18E4">
            <w:pPr>
              <w:rPr>
                <w:color w:val="000000"/>
                <w:shd w:val="clear" w:color="auto" w:fill="FFFFFF"/>
              </w:rPr>
            </w:pPr>
            <w:r w:rsidRPr="003E1755">
              <w:t>Can be prescribed in primary care in line with a recommended approved pathway/guideline.</w:t>
            </w:r>
          </w:p>
        </w:tc>
      </w:tr>
      <w:tr w:rsidR="007E18E4" w:rsidRPr="003E1755" w14:paraId="2A87E35C" w14:textId="3E67CC43" w:rsidTr="003E1755">
        <w:tc>
          <w:tcPr>
            <w:tcW w:w="2340" w:type="dxa"/>
            <w:shd w:val="clear" w:color="auto" w:fill="FFC000"/>
          </w:tcPr>
          <w:p w14:paraId="12734BA0" w14:textId="77777777" w:rsidR="007E18E4" w:rsidRPr="003E1755" w:rsidRDefault="007E18E4" w:rsidP="007E18E4">
            <w:pPr>
              <w:rPr>
                <w:b/>
                <w:bCs/>
              </w:rPr>
            </w:pPr>
            <w:r w:rsidRPr="003E1755">
              <w:rPr>
                <w:b/>
                <w:bCs/>
              </w:rPr>
              <w:t>Amber specialist initiation</w:t>
            </w:r>
          </w:p>
          <w:p w14:paraId="6C28E255" w14:textId="77777777" w:rsidR="007E18E4" w:rsidRPr="003E1755" w:rsidRDefault="007E18E4" w:rsidP="007E18E4">
            <w:pPr>
              <w:rPr>
                <w:b/>
                <w:bCs/>
              </w:rPr>
            </w:pPr>
            <w:r w:rsidRPr="003E1755">
              <w:rPr>
                <w:b/>
                <w:bCs/>
              </w:rPr>
              <w:t>(Amber SI)</w:t>
            </w:r>
          </w:p>
          <w:p w14:paraId="777FD355" w14:textId="77777777" w:rsidR="007E18E4" w:rsidRPr="003E1755" w:rsidRDefault="007E18E4" w:rsidP="007E18E4">
            <w:pPr>
              <w:rPr>
                <w:b/>
                <w:bCs/>
              </w:rPr>
            </w:pPr>
          </w:p>
          <w:p w14:paraId="7DDB58D7" w14:textId="77777777" w:rsidR="007E18E4" w:rsidRPr="003E1755" w:rsidRDefault="007E18E4" w:rsidP="007E18E4">
            <w:r w:rsidRPr="003E1755">
              <w:t>Formerly known as Amber 2 in Humber</w:t>
            </w:r>
          </w:p>
        </w:tc>
        <w:tc>
          <w:tcPr>
            <w:tcW w:w="5026" w:type="dxa"/>
          </w:tcPr>
          <w:p w14:paraId="62EC1EC6" w14:textId="6466A9DB" w:rsidR="007E18E4" w:rsidRPr="003E1755" w:rsidRDefault="007E18E4" w:rsidP="007E18E4">
            <w:r w:rsidRPr="003E1755">
              <w:t>Must be started by a specialist and remain with specialist until the patient is stable on the new medicine but can then be transferred to primary care (general practice) to continue prescribing without ongoing arrangements between specialist and general practice. General practice can refer back to specialist at any time in relation to medication query, if required.</w:t>
            </w:r>
          </w:p>
          <w:p w14:paraId="176576B6" w14:textId="77777777" w:rsidR="007E18E4" w:rsidRPr="003E1755" w:rsidRDefault="007E18E4" w:rsidP="007E18E4"/>
        </w:tc>
        <w:tc>
          <w:tcPr>
            <w:tcW w:w="2487" w:type="dxa"/>
            <w:shd w:val="clear" w:color="auto" w:fill="92D050"/>
          </w:tcPr>
          <w:p w14:paraId="2C5B704D" w14:textId="6C99EC0C" w:rsidR="007E18E4" w:rsidRPr="003E1755" w:rsidRDefault="007E18E4" w:rsidP="007E18E4">
            <w:r w:rsidRPr="003E1755">
              <w:rPr>
                <w:b/>
                <w:bCs/>
              </w:rPr>
              <w:t>Green (no pathway/guideline)</w:t>
            </w:r>
          </w:p>
        </w:tc>
        <w:tc>
          <w:tcPr>
            <w:tcW w:w="5529" w:type="dxa"/>
          </w:tcPr>
          <w:p w14:paraId="680188EF" w14:textId="77777777" w:rsidR="007E18E4" w:rsidRPr="003E1755" w:rsidRDefault="007E18E4" w:rsidP="007E18E4">
            <w:r w:rsidRPr="003E1755">
              <w:rPr>
                <w:color w:val="000000"/>
                <w:shd w:val="clear" w:color="auto" w:fill="FFFFFF"/>
              </w:rPr>
              <w:t xml:space="preserve">Medicines suitable for routine use within primary care and secondary care. </w:t>
            </w:r>
          </w:p>
          <w:p w14:paraId="2F13F11F" w14:textId="1DEF38E1" w:rsidR="007E18E4" w:rsidRPr="003E1755" w:rsidRDefault="007E18E4" w:rsidP="007E18E4">
            <w:r w:rsidRPr="003E1755">
              <w:t>Can be prescribed in primary care, as per the wording on the formulary and considering both the drug SPC and BNF.</w:t>
            </w:r>
          </w:p>
        </w:tc>
      </w:tr>
    </w:tbl>
    <w:p w14:paraId="31164644" w14:textId="77777777" w:rsidR="007E18E4" w:rsidRDefault="007E18E4" w:rsidP="00432265">
      <w:pPr>
        <w:pStyle w:val="BodyText"/>
        <w:tabs>
          <w:tab w:val="clear" w:pos="975"/>
        </w:tabs>
        <w:spacing w:before="68" w:after="0"/>
        <w:ind w:left="1"/>
        <w:jc w:val="center"/>
      </w:pPr>
    </w:p>
    <w:sectPr w:rsidR="007E18E4" w:rsidSect="006E26D1">
      <w:footerReference w:type="even" r:id="rId18"/>
      <w:footerReference w:type="default" r:id="rId19"/>
      <w:footerReference w:type="first" r:id="rId20"/>
      <w:pgSz w:w="16840" w:h="11910" w:orient="landscape" w:code="9"/>
      <w:pgMar w:top="567" w:right="522" w:bottom="992" w:left="425" w:header="720" w:footer="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48A3B" w14:textId="77777777" w:rsidR="00A63B3E" w:rsidRDefault="00A63B3E" w:rsidP="007909C3">
      <w:r>
        <w:separator/>
      </w:r>
    </w:p>
  </w:endnote>
  <w:endnote w:type="continuationSeparator" w:id="0">
    <w:p w14:paraId="5F54D4E1" w14:textId="77777777" w:rsidR="00A63B3E" w:rsidRDefault="00A63B3E"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DC2D" w14:textId="40C8110E" w:rsidR="003E1755" w:rsidRDefault="00383A54" w:rsidP="007909C3">
    <w:pPr>
      <w:pStyle w:val="Footer"/>
    </w:pPr>
    <w:r>
      <w:rPr>
        <w:noProof/>
        <w:sz w:val="13"/>
        <w:lang w:eastAsia="en-GB"/>
      </w:rPr>
      <w:drawing>
        <wp:inline distT="0" distB="0" distL="0" distR="0" wp14:anchorId="68613B1F" wp14:editId="7526119D">
          <wp:extent cx="539497" cy="22250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003E1755" w:rsidRPr="003E1755">
      <w:t>* See end of document for full RAG definitions</w:t>
    </w:r>
  </w:p>
  <w:p w14:paraId="1732AC2A" w14:textId="1275B5B0" w:rsidR="00761464" w:rsidRDefault="003E1755" w:rsidP="007909C3">
    <w:pPr>
      <w:pStyle w:val="Footer"/>
    </w:pPr>
    <w:r>
      <w:tab/>
      <w:t xml:space="preserve">           </w:t>
    </w:r>
    <w:r w:rsidR="00383A54" w:rsidRPr="00B47BFE">
      <w:t>Produced by the Regional Drug and Therapeutics Centre</w:t>
    </w:r>
    <w:r w:rsidR="00383A54">
      <w:tab/>
    </w:r>
    <w:r w:rsidR="00383A54">
      <w:tab/>
    </w:r>
    <w:r w:rsidR="00383A54">
      <w:tab/>
    </w:r>
    <w:r w:rsidR="00383A54">
      <w:tab/>
    </w:r>
    <w:r w:rsidR="00383A54">
      <w:tab/>
    </w:r>
    <w:r w:rsidR="00383A54">
      <w:tab/>
    </w:r>
    <w:r w:rsidR="00383A54">
      <w:tab/>
    </w:r>
    <w:r w:rsidR="00383A54">
      <w:tab/>
    </w:r>
    <w:r w:rsidR="00383A54">
      <w:tab/>
    </w:r>
    <w:r w:rsidR="002B5248">
      <w:t>July</w:t>
    </w:r>
    <w:r w:rsidR="00690336">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31AC" w14:textId="6FA03133" w:rsidR="00383A54" w:rsidRDefault="00383A54" w:rsidP="007909C3">
    <w:pPr>
      <w:pStyle w:val="Footer"/>
    </w:pPr>
    <w:r>
      <w:rPr>
        <w:noProof/>
        <w:sz w:val="13"/>
        <w:lang w:eastAsia="en-GB"/>
      </w:rPr>
      <w:drawing>
        <wp:inline distT="0" distB="0" distL="0" distR="0" wp14:anchorId="507EAFD1" wp14:editId="272BC177">
          <wp:extent cx="539497" cy="22250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tab/>
    </w:r>
    <w:r>
      <w:tab/>
    </w:r>
    <w:r w:rsidR="00827FE8">
      <w:t>October</w:t>
    </w:r>
    <w:r w:rsidR="0087035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317F2" w14:textId="77777777" w:rsidR="00A63B3E" w:rsidRDefault="00A63B3E" w:rsidP="007909C3">
      <w:r>
        <w:separator/>
      </w:r>
    </w:p>
  </w:footnote>
  <w:footnote w:type="continuationSeparator" w:id="0">
    <w:p w14:paraId="022321E4" w14:textId="77777777" w:rsidR="00A63B3E" w:rsidRDefault="00A63B3E" w:rsidP="007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F95"/>
    <w:multiLevelType w:val="multilevel"/>
    <w:tmpl w:val="D634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B0C"/>
    <w:multiLevelType w:val="hybridMultilevel"/>
    <w:tmpl w:val="86D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E9D"/>
    <w:multiLevelType w:val="multilevel"/>
    <w:tmpl w:val="8594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F7E1B"/>
    <w:multiLevelType w:val="hybridMultilevel"/>
    <w:tmpl w:val="3B00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3912F1"/>
    <w:multiLevelType w:val="multilevel"/>
    <w:tmpl w:val="D1C2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BF5100"/>
    <w:multiLevelType w:val="hybridMultilevel"/>
    <w:tmpl w:val="5F9C376A"/>
    <w:lvl w:ilvl="0" w:tplc="D540703E">
      <w:numFmt w:val="bullet"/>
      <w:lvlText w:val="-"/>
      <w:lvlJc w:val="left"/>
      <w:pPr>
        <w:ind w:left="360" w:hanging="360"/>
      </w:pPr>
      <w:rPr>
        <w:rFonts w:ascii="Arial" w:eastAsia="Helvetic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135D8"/>
    <w:multiLevelType w:val="multilevel"/>
    <w:tmpl w:val="D9C2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0B221E"/>
    <w:multiLevelType w:val="hybridMultilevel"/>
    <w:tmpl w:val="3E08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31C6A"/>
    <w:multiLevelType w:val="hybridMultilevel"/>
    <w:tmpl w:val="82E2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10BD8"/>
    <w:multiLevelType w:val="multilevel"/>
    <w:tmpl w:val="34E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651ACC"/>
    <w:multiLevelType w:val="multilevel"/>
    <w:tmpl w:val="5BBA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E0840"/>
    <w:multiLevelType w:val="hybridMultilevel"/>
    <w:tmpl w:val="3A289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6F87AA6"/>
    <w:multiLevelType w:val="hybridMultilevel"/>
    <w:tmpl w:val="1C066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851CE3"/>
    <w:multiLevelType w:val="hybridMultilevel"/>
    <w:tmpl w:val="98F43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E80B13"/>
    <w:multiLevelType w:val="hybridMultilevel"/>
    <w:tmpl w:val="2C2298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73443203">
    <w:abstractNumId w:val="4"/>
  </w:num>
  <w:num w:numId="2" w16cid:durableId="1859387674">
    <w:abstractNumId w:val="8"/>
  </w:num>
  <w:num w:numId="3" w16cid:durableId="484005503">
    <w:abstractNumId w:val="12"/>
  </w:num>
  <w:num w:numId="4" w16cid:durableId="689840340">
    <w:abstractNumId w:val="15"/>
  </w:num>
  <w:num w:numId="5" w16cid:durableId="491407461">
    <w:abstractNumId w:val="14"/>
  </w:num>
  <w:num w:numId="6" w16cid:durableId="295720897">
    <w:abstractNumId w:val="3"/>
  </w:num>
  <w:num w:numId="7" w16cid:durableId="1416977997">
    <w:abstractNumId w:val="2"/>
  </w:num>
  <w:num w:numId="8" w16cid:durableId="738796309">
    <w:abstractNumId w:val="10"/>
  </w:num>
  <w:num w:numId="9" w16cid:durableId="1142842890">
    <w:abstractNumId w:val="11"/>
  </w:num>
  <w:num w:numId="10" w16cid:durableId="119230559">
    <w:abstractNumId w:val="5"/>
  </w:num>
  <w:num w:numId="11" w16cid:durableId="701516479">
    <w:abstractNumId w:val="7"/>
  </w:num>
  <w:num w:numId="12" w16cid:durableId="776483647">
    <w:abstractNumId w:val="0"/>
  </w:num>
  <w:num w:numId="13" w16cid:durableId="1011027309">
    <w:abstractNumId w:val="1"/>
  </w:num>
  <w:num w:numId="14" w16cid:durableId="548036731">
    <w:abstractNumId w:val="6"/>
  </w:num>
  <w:num w:numId="15" w16cid:durableId="1799907231">
    <w:abstractNumId w:val="13"/>
  </w:num>
  <w:num w:numId="16" w16cid:durableId="138190508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F"/>
    <w:rsid w:val="00003372"/>
    <w:rsid w:val="00003647"/>
    <w:rsid w:val="00007A83"/>
    <w:rsid w:val="00014B00"/>
    <w:rsid w:val="0003501F"/>
    <w:rsid w:val="000445EA"/>
    <w:rsid w:val="00051DB8"/>
    <w:rsid w:val="00052D53"/>
    <w:rsid w:val="00053A7D"/>
    <w:rsid w:val="000676AA"/>
    <w:rsid w:val="00067940"/>
    <w:rsid w:val="00073791"/>
    <w:rsid w:val="0007607C"/>
    <w:rsid w:val="00096427"/>
    <w:rsid w:val="000A1DB8"/>
    <w:rsid w:val="000A1EB8"/>
    <w:rsid w:val="000A4068"/>
    <w:rsid w:val="000B1C54"/>
    <w:rsid w:val="000B5DED"/>
    <w:rsid w:val="000B69C6"/>
    <w:rsid w:val="000C4518"/>
    <w:rsid w:val="000E675A"/>
    <w:rsid w:val="00121DDE"/>
    <w:rsid w:val="00130E9F"/>
    <w:rsid w:val="001339FA"/>
    <w:rsid w:val="00144439"/>
    <w:rsid w:val="00150937"/>
    <w:rsid w:val="00151934"/>
    <w:rsid w:val="001567A5"/>
    <w:rsid w:val="00163CC8"/>
    <w:rsid w:val="00164BE9"/>
    <w:rsid w:val="0016537D"/>
    <w:rsid w:val="0017149C"/>
    <w:rsid w:val="001849DB"/>
    <w:rsid w:val="001A014B"/>
    <w:rsid w:val="001A287F"/>
    <w:rsid w:val="001A74DA"/>
    <w:rsid w:val="001B293E"/>
    <w:rsid w:val="001B5482"/>
    <w:rsid w:val="001C291E"/>
    <w:rsid w:val="001C3140"/>
    <w:rsid w:val="001D52C1"/>
    <w:rsid w:val="001F0421"/>
    <w:rsid w:val="001F28EB"/>
    <w:rsid w:val="002112E3"/>
    <w:rsid w:val="002243E0"/>
    <w:rsid w:val="002544D2"/>
    <w:rsid w:val="00271E6E"/>
    <w:rsid w:val="0028057F"/>
    <w:rsid w:val="0028306A"/>
    <w:rsid w:val="00284386"/>
    <w:rsid w:val="00287462"/>
    <w:rsid w:val="00297D20"/>
    <w:rsid w:val="002A386D"/>
    <w:rsid w:val="002A760C"/>
    <w:rsid w:val="002B5248"/>
    <w:rsid w:val="002B7031"/>
    <w:rsid w:val="002C038B"/>
    <w:rsid w:val="002D5A93"/>
    <w:rsid w:val="002D6B55"/>
    <w:rsid w:val="00310A03"/>
    <w:rsid w:val="00317A38"/>
    <w:rsid w:val="00341777"/>
    <w:rsid w:val="00344F98"/>
    <w:rsid w:val="00350A04"/>
    <w:rsid w:val="00364888"/>
    <w:rsid w:val="003662FE"/>
    <w:rsid w:val="003675E8"/>
    <w:rsid w:val="003679C5"/>
    <w:rsid w:val="003721C9"/>
    <w:rsid w:val="00383847"/>
    <w:rsid w:val="00383A54"/>
    <w:rsid w:val="00383CC5"/>
    <w:rsid w:val="00394717"/>
    <w:rsid w:val="003A01D0"/>
    <w:rsid w:val="003A0939"/>
    <w:rsid w:val="003A0AA7"/>
    <w:rsid w:val="003A3E0B"/>
    <w:rsid w:val="003B1091"/>
    <w:rsid w:val="003B42C3"/>
    <w:rsid w:val="003C0610"/>
    <w:rsid w:val="003E1755"/>
    <w:rsid w:val="003E2C7A"/>
    <w:rsid w:val="003F1A3A"/>
    <w:rsid w:val="004321C4"/>
    <w:rsid w:val="00432265"/>
    <w:rsid w:val="00433C32"/>
    <w:rsid w:val="004631D7"/>
    <w:rsid w:val="0047015D"/>
    <w:rsid w:val="004A0816"/>
    <w:rsid w:val="004B3656"/>
    <w:rsid w:val="004C6BED"/>
    <w:rsid w:val="004D0AED"/>
    <w:rsid w:val="004D7D6F"/>
    <w:rsid w:val="004E5F2D"/>
    <w:rsid w:val="00521D47"/>
    <w:rsid w:val="00544BBB"/>
    <w:rsid w:val="00550B09"/>
    <w:rsid w:val="00557E9D"/>
    <w:rsid w:val="00560ADF"/>
    <w:rsid w:val="005617A9"/>
    <w:rsid w:val="00562B5A"/>
    <w:rsid w:val="00566C50"/>
    <w:rsid w:val="005A38DA"/>
    <w:rsid w:val="005B1A2C"/>
    <w:rsid w:val="005B6E51"/>
    <w:rsid w:val="005C31E2"/>
    <w:rsid w:val="005C3CE2"/>
    <w:rsid w:val="005F1105"/>
    <w:rsid w:val="005F42DB"/>
    <w:rsid w:val="00601C48"/>
    <w:rsid w:val="00630CB4"/>
    <w:rsid w:val="006629FB"/>
    <w:rsid w:val="00684989"/>
    <w:rsid w:val="0068542C"/>
    <w:rsid w:val="00686FE4"/>
    <w:rsid w:val="00690336"/>
    <w:rsid w:val="006B4F2B"/>
    <w:rsid w:val="006E26D1"/>
    <w:rsid w:val="006E3D7B"/>
    <w:rsid w:val="006F093A"/>
    <w:rsid w:val="007030B7"/>
    <w:rsid w:val="00716065"/>
    <w:rsid w:val="00732CE6"/>
    <w:rsid w:val="00734652"/>
    <w:rsid w:val="00742E67"/>
    <w:rsid w:val="00761464"/>
    <w:rsid w:val="00787BA5"/>
    <w:rsid w:val="0079078F"/>
    <w:rsid w:val="007909C3"/>
    <w:rsid w:val="00792C42"/>
    <w:rsid w:val="007A31AE"/>
    <w:rsid w:val="007A6E02"/>
    <w:rsid w:val="007B088A"/>
    <w:rsid w:val="007D333B"/>
    <w:rsid w:val="007E18E4"/>
    <w:rsid w:val="007F044F"/>
    <w:rsid w:val="007F1855"/>
    <w:rsid w:val="0080238C"/>
    <w:rsid w:val="008072D2"/>
    <w:rsid w:val="0081642A"/>
    <w:rsid w:val="00821A67"/>
    <w:rsid w:val="00827FE8"/>
    <w:rsid w:val="008400C9"/>
    <w:rsid w:val="00842E14"/>
    <w:rsid w:val="00862815"/>
    <w:rsid w:val="00870354"/>
    <w:rsid w:val="00885EE2"/>
    <w:rsid w:val="00890B23"/>
    <w:rsid w:val="00894352"/>
    <w:rsid w:val="008A2AEF"/>
    <w:rsid w:val="008A6AF7"/>
    <w:rsid w:val="008C0B9E"/>
    <w:rsid w:val="008C10A4"/>
    <w:rsid w:val="008D2039"/>
    <w:rsid w:val="00905F02"/>
    <w:rsid w:val="009108ED"/>
    <w:rsid w:val="00917540"/>
    <w:rsid w:val="00920C27"/>
    <w:rsid w:val="00922D21"/>
    <w:rsid w:val="00931096"/>
    <w:rsid w:val="00934C02"/>
    <w:rsid w:val="00946212"/>
    <w:rsid w:val="0095030D"/>
    <w:rsid w:val="00953DFA"/>
    <w:rsid w:val="00955A59"/>
    <w:rsid w:val="00983E23"/>
    <w:rsid w:val="009846C4"/>
    <w:rsid w:val="009A721C"/>
    <w:rsid w:val="009B241F"/>
    <w:rsid w:val="009B25E5"/>
    <w:rsid w:val="009C22A2"/>
    <w:rsid w:val="009C318B"/>
    <w:rsid w:val="009D10CE"/>
    <w:rsid w:val="009E14AC"/>
    <w:rsid w:val="009E2578"/>
    <w:rsid w:val="009E5F4F"/>
    <w:rsid w:val="009F1555"/>
    <w:rsid w:val="00A00C8F"/>
    <w:rsid w:val="00A01100"/>
    <w:rsid w:val="00A05279"/>
    <w:rsid w:val="00A06A54"/>
    <w:rsid w:val="00A17C46"/>
    <w:rsid w:val="00A5090E"/>
    <w:rsid w:val="00A50982"/>
    <w:rsid w:val="00A52257"/>
    <w:rsid w:val="00A63B3E"/>
    <w:rsid w:val="00A6661E"/>
    <w:rsid w:val="00A9155E"/>
    <w:rsid w:val="00AA2250"/>
    <w:rsid w:val="00AA2E11"/>
    <w:rsid w:val="00AA7BB9"/>
    <w:rsid w:val="00AB3FD8"/>
    <w:rsid w:val="00AB6606"/>
    <w:rsid w:val="00AC59A4"/>
    <w:rsid w:val="00AC6922"/>
    <w:rsid w:val="00AE22C3"/>
    <w:rsid w:val="00AF1D87"/>
    <w:rsid w:val="00AF7C38"/>
    <w:rsid w:val="00AF7FFC"/>
    <w:rsid w:val="00B16D53"/>
    <w:rsid w:val="00B221D6"/>
    <w:rsid w:val="00B3703F"/>
    <w:rsid w:val="00B37BF8"/>
    <w:rsid w:val="00B4247C"/>
    <w:rsid w:val="00B43BEE"/>
    <w:rsid w:val="00B452EC"/>
    <w:rsid w:val="00B47BFE"/>
    <w:rsid w:val="00B53501"/>
    <w:rsid w:val="00B6100A"/>
    <w:rsid w:val="00B624BB"/>
    <w:rsid w:val="00B65BEA"/>
    <w:rsid w:val="00B73289"/>
    <w:rsid w:val="00B83148"/>
    <w:rsid w:val="00B900B4"/>
    <w:rsid w:val="00B91690"/>
    <w:rsid w:val="00BB0161"/>
    <w:rsid w:val="00BB3D47"/>
    <w:rsid w:val="00BC5B4D"/>
    <w:rsid w:val="00BD0E20"/>
    <w:rsid w:val="00BD7EA4"/>
    <w:rsid w:val="00BE5CC8"/>
    <w:rsid w:val="00BE73A7"/>
    <w:rsid w:val="00BF616C"/>
    <w:rsid w:val="00C00E0A"/>
    <w:rsid w:val="00C05997"/>
    <w:rsid w:val="00C10CB3"/>
    <w:rsid w:val="00C13E92"/>
    <w:rsid w:val="00C20E88"/>
    <w:rsid w:val="00C351A1"/>
    <w:rsid w:val="00C352B4"/>
    <w:rsid w:val="00C43079"/>
    <w:rsid w:val="00C760FC"/>
    <w:rsid w:val="00C84BB0"/>
    <w:rsid w:val="00C87597"/>
    <w:rsid w:val="00C97823"/>
    <w:rsid w:val="00CA13FA"/>
    <w:rsid w:val="00CA6426"/>
    <w:rsid w:val="00CC2256"/>
    <w:rsid w:val="00CC4392"/>
    <w:rsid w:val="00CC7BD8"/>
    <w:rsid w:val="00CE3FAA"/>
    <w:rsid w:val="00CF38AF"/>
    <w:rsid w:val="00D41C86"/>
    <w:rsid w:val="00D45C1A"/>
    <w:rsid w:val="00D51C7C"/>
    <w:rsid w:val="00D56C5C"/>
    <w:rsid w:val="00D6182B"/>
    <w:rsid w:val="00D771F7"/>
    <w:rsid w:val="00D77342"/>
    <w:rsid w:val="00DC7D6D"/>
    <w:rsid w:val="00DC7E98"/>
    <w:rsid w:val="00DD4AD5"/>
    <w:rsid w:val="00DE573B"/>
    <w:rsid w:val="00DF518F"/>
    <w:rsid w:val="00DF6DD1"/>
    <w:rsid w:val="00DF72D0"/>
    <w:rsid w:val="00E0153D"/>
    <w:rsid w:val="00E064C8"/>
    <w:rsid w:val="00E2354D"/>
    <w:rsid w:val="00E364E4"/>
    <w:rsid w:val="00E36C52"/>
    <w:rsid w:val="00E40C67"/>
    <w:rsid w:val="00E55444"/>
    <w:rsid w:val="00E7173A"/>
    <w:rsid w:val="00E80933"/>
    <w:rsid w:val="00E83736"/>
    <w:rsid w:val="00E962C5"/>
    <w:rsid w:val="00EA0D7A"/>
    <w:rsid w:val="00EC091D"/>
    <w:rsid w:val="00EC2F6A"/>
    <w:rsid w:val="00EC48E4"/>
    <w:rsid w:val="00ED3850"/>
    <w:rsid w:val="00ED412F"/>
    <w:rsid w:val="00ED4F43"/>
    <w:rsid w:val="00ED65E6"/>
    <w:rsid w:val="00ED7717"/>
    <w:rsid w:val="00EE12A8"/>
    <w:rsid w:val="00EF056F"/>
    <w:rsid w:val="00EF6D1B"/>
    <w:rsid w:val="00EF74D1"/>
    <w:rsid w:val="00F01329"/>
    <w:rsid w:val="00F07C92"/>
    <w:rsid w:val="00F10222"/>
    <w:rsid w:val="00F13B08"/>
    <w:rsid w:val="00F23A62"/>
    <w:rsid w:val="00F332F2"/>
    <w:rsid w:val="00F35E8F"/>
    <w:rsid w:val="00F52BBA"/>
    <w:rsid w:val="00F54CB1"/>
    <w:rsid w:val="00F81187"/>
    <w:rsid w:val="00F9158D"/>
    <w:rsid w:val="00FB0330"/>
    <w:rsid w:val="00FB2049"/>
    <w:rsid w:val="00FC005D"/>
    <w:rsid w:val="00FC7F64"/>
    <w:rsid w:val="00FD45B9"/>
    <w:rsid w:val="00FE314B"/>
    <w:rsid w:val="00FF245F"/>
    <w:rsid w:val="00FF2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DB"/>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5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121DDE"/>
    <w:rPr>
      <w:color w:val="605E5C"/>
      <w:shd w:val="clear" w:color="auto" w:fill="E1DFDD"/>
    </w:rPr>
  </w:style>
  <w:style w:type="character" w:styleId="PlaceholderText">
    <w:name w:val="Placeholder Text"/>
    <w:basedOn w:val="DefaultParagraphFont"/>
    <w:uiPriority w:val="99"/>
    <w:semiHidden/>
    <w:rsid w:val="006E26D1"/>
    <w:rPr>
      <w:color w:val="666666"/>
    </w:rPr>
  </w:style>
  <w:style w:type="character" w:customStyle="1" w:styleId="UnresolvedMention2">
    <w:name w:val="Unresolved Mention2"/>
    <w:basedOn w:val="DefaultParagraphFont"/>
    <w:uiPriority w:val="99"/>
    <w:semiHidden/>
    <w:unhideWhenUsed/>
    <w:rsid w:val="00BB0161"/>
    <w:rPr>
      <w:color w:val="605E5C"/>
      <w:shd w:val="clear" w:color="auto" w:fill="E1DFDD"/>
    </w:rPr>
  </w:style>
  <w:style w:type="character" w:customStyle="1" w:styleId="UnresolvedMention3">
    <w:name w:val="Unresolved Mention3"/>
    <w:basedOn w:val="DefaultParagraphFont"/>
    <w:uiPriority w:val="99"/>
    <w:semiHidden/>
    <w:unhideWhenUsed/>
    <w:rsid w:val="001D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2290">
      <w:bodyDiv w:val="1"/>
      <w:marLeft w:val="0"/>
      <w:marRight w:val="0"/>
      <w:marTop w:val="0"/>
      <w:marBottom w:val="0"/>
      <w:divBdr>
        <w:top w:val="none" w:sz="0" w:space="0" w:color="auto"/>
        <w:left w:val="none" w:sz="0" w:space="0" w:color="auto"/>
        <w:bottom w:val="none" w:sz="0" w:space="0" w:color="auto"/>
        <w:right w:val="none" w:sz="0" w:space="0" w:color="auto"/>
      </w:divBdr>
      <w:divsChild>
        <w:div w:id="1698891886">
          <w:marLeft w:val="0"/>
          <w:marRight w:val="0"/>
          <w:marTop w:val="0"/>
          <w:marBottom w:val="0"/>
          <w:divBdr>
            <w:top w:val="none" w:sz="0" w:space="0" w:color="auto"/>
            <w:left w:val="none" w:sz="0" w:space="0" w:color="auto"/>
            <w:bottom w:val="none" w:sz="0" w:space="0" w:color="auto"/>
            <w:right w:val="none" w:sz="0" w:space="0" w:color="auto"/>
          </w:divBdr>
        </w:div>
        <w:div w:id="1846943781">
          <w:marLeft w:val="0"/>
          <w:marRight w:val="0"/>
          <w:marTop w:val="0"/>
          <w:marBottom w:val="0"/>
          <w:divBdr>
            <w:top w:val="none" w:sz="0" w:space="0" w:color="auto"/>
            <w:left w:val="none" w:sz="0" w:space="0" w:color="auto"/>
            <w:bottom w:val="none" w:sz="0" w:space="0" w:color="auto"/>
            <w:right w:val="none" w:sz="0" w:space="0" w:color="auto"/>
          </w:divBdr>
        </w:div>
        <w:div w:id="1074278342">
          <w:marLeft w:val="0"/>
          <w:marRight w:val="0"/>
          <w:marTop w:val="0"/>
          <w:marBottom w:val="0"/>
          <w:divBdr>
            <w:top w:val="none" w:sz="0" w:space="0" w:color="auto"/>
            <w:left w:val="none" w:sz="0" w:space="0" w:color="auto"/>
            <w:bottom w:val="none" w:sz="0" w:space="0" w:color="auto"/>
            <w:right w:val="none" w:sz="0" w:space="0" w:color="auto"/>
          </w:divBdr>
        </w:div>
        <w:div w:id="1437291863">
          <w:marLeft w:val="0"/>
          <w:marRight w:val="0"/>
          <w:marTop w:val="0"/>
          <w:marBottom w:val="0"/>
          <w:divBdr>
            <w:top w:val="none" w:sz="0" w:space="0" w:color="auto"/>
            <w:left w:val="none" w:sz="0" w:space="0" w:color="auto"/>
            <w:bottom w:val="none" w:sz="0" w:space="0" w:color="auto"/>
            <w:right w:val="none" w:sz="0" w:space="0" w:color="auto"/>
          </w:divBdr>
        </w:div>
        <w:div w:id="395475558">
          <w:marLeft w:val="0"/>
          <w:marRight w:val="0"/>
          <w:marTop w:val="0"/>
          <w:marBottom w:val="0"/>
          <w:divBdr>
            <w:top w:val="none" w:sz="0" w:space="0" w:color="auto"/>
            <w:left w:val="none" w:sz="0" w:space="0" w:color="auto"/>
            <w:bottom w:val="none" w:sz="0" w:space="0" w:color="auto"/>
            <w:right w:val="none" w:sz="0" w:space="0" w:color="auto"/>
          </w:divBdr>
        </w:div>
        <w:div w:id="1141918265">
          <w:marLeft w:val="0"/>
          <w:marRight w:val="0"/>
          <w:marTop w:val="0"/>
          <w:marBottom w:val="0"/>
          <w:divBdr>
            <w:top w:val="none" w:sz="0" w:space="0" w:color="auto"/>
            <w:left w:val="none" w:sz="0" w:space="0" w:color="auto"/>
            <w:bottom w:val="none" w:sz="0" w:space="0" w:color="auto"/>
            <w:right w:val="none" w:sz="0" w:space="0" w:color="auto"/>
          </w:divBdr>
        </w:div>
      </w:divsChild>
    </w:div>
    <w:div w:id="88937808">
      <w:bodyDiv w:val="1"/>
      <w:marLeft w:val="0"/>
      <w:marRight w:val="0"/>
      <w:marTop w:val="0"/>
      <w:marBottom w:val="0"/>
      <w:divBdr>
        <w:top w:val="none" w:sz="0" w:space="0" w:color="auto"/>
        <w:left w:val="none" w:sz="0" w:space="0" w:color="auto"/>
        <w:bottom w:val="none" w:sz="0" w:space="0" w:color="auto"/>
        <w:right w:val="none" w:sz="0" w:space="0" w:color="auto"/>
      </w:divBdr>
    </w:div>
    <w:div w:id="112025128">
      <w:bodyDiv w:val="1"/>
      <w:marLeft w:val="0"/>
      <w:marRight w:val="0"/>
      <w:marTop w:val="0"/>
      <w:marBottom w:val="0"/>
      <w:divBdr>
        <w:top w:val="none" w:sz="0" w:space="0" w:color="auto"/>
        <w:left w:val="none" w:sz="0" w:space="0" w:color="auto"/>
        <w:bottom w:val="none" w:sz="0" w:space="0" w:color="auto"/>
        <w:right w:val="none" w:sz="0" w:space="0" w:color="auto"/>
      </w:divBdr>
    </w:div>
    <w:div w:id="114521755">
      <w:bodyDiv w:val="1"/>
      <w:marLeft w:val="0"/>
      <w:marRight w:val="0"/>
      <w:marTop w:val="0"/>
      <w:marBottom w:val="0"/>
      <w:divBdr>
        <w:top w:val="none" w:sz="0" w:space="0" w:color="auto"/>
        <w:left w:val="none" w:sz="0" w:space="0" w:color="auto"/>
        <w:bottom w:val="none" w:sz="0" w:space="0" w:color="auto"/>
        <w:right w:val="none" w:sz="0" w:space="0" w:color="auto"/>
      </w:divBdr>
    </w:div>
    <w:div w:id="198671306">
      <w:bodyDiv w:val="1"/>
      <w:marLeft w:val="0"/>
      <w:marRight w:val="0"/>
      <w:marTop w:val="0"/>
      <w:marBottom w:val="0"/>
      <w:divBdr>
        <w:top w:val="none" w:sz="0" w:space="0" w:color="auto"/>
        <w:left w:val="none" w:sz="0" w:space="0" w:color="auto"/>
        <w:bottom w:val="none" w:sz="0" w:space="0" w:color="auto"/>
        <w:right w:val="none" w:sz="0" w:space="0" w:color="auto"/>
      </w:divBdr>
    </w:div>
    <w:div w:id="202059113">
      <w:bodyDiv w:val="1"/>
      <w:marLeft w:val="0"/>
      <w:marRight w:val="0"/>
      <w:marTop w:val="0"/>
      <w:marBottom w:val="0"/>
      <w:divBdr>
        <w:top w:val="none" w:sz="0" w:space="0" w:color="auto"/>
        <w:left w:val="none" w:sz="0" w:space="0" w:color="auto"/>
        <w:bottom w:val="none" w:sz="0" w:space="0" w:color="auto"/>
        <w:right w:val="none" w:sz="0" w:space="0" w:color="auto"/>
      </w:divBdr>
      <w:divsChild>
        <w:div w:id="1861162532">
          <w:marLeft w:val="0"/>
          <w:marRight w:val="0"/>
          <w:marTop w:val="0"/>
          <w:marBottom w:val="0"/>
          <w:divBdr>
            <w:top w:val="none" w:sz="0" w:space="0" w:color="auto"/>
            <w:left w:val="none" w:sz="0" w:space="0" w:color="auto"/>
            <w:bottom w:val="none" w:sz="0" w:space="0" w:color="auto"/>
            <w:right w:val="none" w:sz="0" w:space="0" w:color="auto"/>
          </w:divBdr>
        </w:div>
        <w:div w:id="1937790105">
          <w:marLeft w:val="0"/>
          <w:marRight w:val="0"/>
          <w:marTop w:val="0"/>
          <w:marBottom w:val="0"/>
          <w:divBdr>
            <w:top w:val="none" w:sz="0" w:space="0" w:color="auto"/>
            <w:left w:val="none" w:sz="0" w:space="0" w:color="auto"/>
            <w:bottom w:val="none" w:sz="0" w:space="0" w:color="auto"/>
            <w:right w:val="none" w:sz="0" w:space="0" w:color="auto"/>
          </w:divBdr>
        </w:div>
      </w:divsChild>
    </w:div>
    <w:div w:id="213739213">
      <w:bodyDiv w:val="1"/>
      <w:marLeft w:val="0"/>
      <w:marRight w:val="0"/>
      <w:marTop w:val="0"/>
      <w:marBottom w:val="0"/>
      <w:divBdr>
        <w:top w:val="none" w:sz="0" w:space="0" w:color="auto"/>
        <w:left w:val="none" w:sz="0" w:space="0" w:color="auto"/>
        <w:bottom w:val="none" w:sz="0" w:space="0" w:color="auto"/>
        <w:right w:val="none" w:sz="0" w:space="0" w:color="auto"/>
      </w:divBdr>
      <w:divsChild>
        <w:div w:id="379745941">
          <w:marLeft w:val="0"/>
          <w:marRight w:val="0"/>
          <w:marTop w:val="0"/>
          <w:marBottom w:val="0"/>
          <w:divBdr>
            <w:top w:val="none" w:sz="0" w:space="0" w:color="auto"/>
            <w:left w:val="none" w:sz="0" w:space="0" w:color="auto"/>
            <w:bottom w:val="none" w:sz="0" w:space="0" w:color="auto"/>
            <w:right w:val="none" w:sz="0" w:space="0" w:color="auto"/>
          </w:divBdr>
        </w:div>
        <w:div w:id="1329287496">
          <w:marLeft w:val="0"/>
          <w:marRight w:val="0"/>
          <w:marTop w:val="0"/>
          <w:marBottom w:val="0"/>
          <w:divBdr>
            <w:top w:val="none" w:sz="0" w:space="0" w:color="auto"/>
            <w:left w:val="none" w:sz="0" w:space="0" w:color="auto"/>
            <w:bottom w:val="none" w:sz="0" w:space="0" w:color="auto"/>
            <w:right w:val="none" w:sz="0" w:space="0" w:color="auto"/>
          </w:divBdr>
        </w:div>
        <w:div w:id="1295410269">
          <w:marLeft w:val="0"/>
          <w:marRight w:val="0"/>
          <w:marTop w:val="0"/>
          <w:marBottom w:val="0"/>
          <w:divBdr>
            <w:top w:val="none" w:sz="0" w:space="0" w:color="auto"/>
            <w:left w:val="none" w:sz="0" w:space="0" w:color="auto"/>
            <w:bottom w:val="none" w:sz="0" w:space="0" w:color="auto"/>
            <w:right w:val="none" w:sz="0" w:space="0" w:color="auto"/>
          </w:divBdr>
        </w:div>
        <w:div w:id="2064060435">
          <w:marLeft w:val="0"/>
          <w:marRight w:val="0"/>
          <w:marTop w:val="0"/>
          <w:marBottom w:val="0"/>
          <w:divBdr>
            <w:top w:val="none" w:sz="0" w:space="0" w:color="auto"/>
            <w:left w:val="none" w:sz="0" w:space="0" w:color="auto"/>
            <w:bottom w:val="none" w:sz="0" w:space="0" w:color="auto"/>
            <w:right w:val="none" w:sz="0" w:space="0" w:color="auto"/>
          </w:divBdr>
        </w:div>
        <w:div w:id="529881084">
          <w:marLeft w:val="0"/>
          <w:marRight w:val="0"/>
          <w:marTop w:val="0"/>
          <w:marBottom w:val="0"/>
          <w:divBdr>
            <w:top w:val="none" w:sz="0" w:space="0" w:color="auto"/>
            <w:left w:val="none" w:sz="0" w:space="0" w:color="auto"/>
            <w:bottom w:val="none" w:sz="0" w:space="0" w:color="auto"/>
            <w:right w:val="none" w:sz="0" w:space="0" w:color="auto"/>
          </w:divBdr>
        </w:div>
        <w:div w:id="1378161902">
          <w:marLeft w:val="0"/>
          <w:marRight w:val="0"/>
          <w:marTop w:val="0"/>
          <w:marBottom w:val="0"/>
          <w:divBdr>
            <w:top w:val="none" w:sz="0" w:space="0" w:color="auto"/>
            <w:left w:val="none" w:sz="0" w:space="0" w:color="auto"/>
            <w:bottom w:val="none" w:sz="0" w:space="0" w:color="auto"/>
            <w:right w:val="none" w:sz="0" w:space="0" w:color="auto"/>
          </w:divBdr>
        </w:div>
      </w:divsChild>
    </w:div>
    <w:div w:id="259264323">
      <w:bodyDiv w:val="1"/>
      <w:marLeft w:val="0"/>
      <w:marRight w:val="0"/>
      <w:marTop w:val="0"/>
      <w:marBottom w:val="0"/>
      <w:divBdr>
        <w:top w:val="none" w:sz="0" w:space="0" w:color="auto"/>
        <w:left w:val="none" w:sz="0" w:space="0" w:color="auto"/>
        <w:bottom w:val="none" w:sz="0" w:space="0" w:color="auto"/>
        <w:right w:val="none" w:sz="0" w:space="0" w:color="auto"/>
      </w:divBdr>
      <w:divsChild>
        <w:div w:id="494802797">
          <w:marLeft w:val="0"/>
          <w:marRight w:val="0"/>
          <w:marTop w:val="0"/>
          <w:marBottom w:val="0"/>
          <w:divBdr>
            <w:top w:val="none" w:sz="0" w:space="0" w:color="auto"/>
            <w:left w:val="none" w:sz="0" w:space="0" w:color="auto"/>
            <w:bottom w:val="none" w:sz="0" w:space="0" w:color="auto"/>
            <w:right w:val="none" w:sz="0" w:space="0" w:color="auto"/>
          </w:divBdr>
        </w:div>
        <w:div w:id="1207571515">
          <w:marLeft w:val="0"/>
          <w:marRight w:val="0"/>
          <w:marTop w:val="0"/>
          <w:marBottom w:val="0"/>
          <w:divBdr>
            <w:top w:val="none" w:sz="0" w:space="0" w:color="auto"/>
            <w:left w:val="none" w:sz="0" w:space="0" w:color="auto"/>
            <w:bottom w:val="none" w:sz="0" w:space="0" w:color="auto"/>
            <w:right w:val="none" w:sz="0" w:space="0" w:color="auto"/>
          </w:divBdr>
        </w:div>
        <w:div w:id="388192737">
          <w:marLeft w:val="0"/>
          <w:marRight w:val="0"/>
          <w:marTop w:val="0"/>
          <w:marBottom w:val="0"/>
          <w:divBdr>
            <w:top w:val="none" w:sz="0" w:space="0" w:color="auto"/>
            <w:left w:val="none" w:sz="0" w:space="0" w:color="auto"/>
            <w:bottom w:val="none" w:sz="0" w:space="0" w:color="auto"/>
            <w:right w:val="none" w:sz="0" w:space="0" w:color="auto"/>
          </w:divBdr>
        </w:div>
        <w:div w:id="944576367">
          <w:marLeft w:val="0"/>
          <w:marRight w:val="0"/>
          <w:marTop w:val="0"/>
          <w:marBottom w:val="0"/>
          <w:divBdr>
            <w:top w:val="none" w:sz="0" w:space="0" w:color="auto"/>
            <w:left w:val="none" w:sz="0" w:space="0" w:color="auto"/>
            <w:bottom w:val="none" w:sz="0" w:space="0" w:color="auto"/>
            <w:right w:val="none" w:sz="0" w:space="0" w:color="auto"/>
          </w:divBdr>
        </w:div>
      </w:divsChild>
    </w:div>
    <w:div w:id="300158391">
      <w:bodyDiv w:val="1"/>
      <w:marLeft w:val="0"/>
      <w:marRight w:val="0"/>
      <w:marTop w:val="0"/>
      <w:marBottom w:val="0"/>
      <w:divBdr>
        <w:top w:val="none" w:sz="0" w:space="0" w:color="auto"/>
        <w:left w:val="none" w:sz="0" w:space="0" w:color="auto"/>
        <w:bottom w:val="none" w:sz="0" w:space="0" w:color="auto"/>
        <w:right w:val="none" w:sz="0" w:space="0" w:color="auto"/>
      </w:divBdr>
    </w:div>
    <w:div w:id="346441806">
      <w:bodyDiv w:val="1"/>
      <w:marLeft w:val="0"/>
      <w:marRight w:val="0"/>
      <w:marTop w:val="0"/>
      <w:marBottom w:val="0"/>
      <w:divBdr>
        <w:top w:val="none" w:sz="0" w:space="0" w:color="auto"/>
        <w:left w:val="none" w:sz="0" w:space="0" w:color="auto"/>
        <w:bottom w:val="none" w:sz="0" w:space="0" w:color="auto"/>
        <w:right w:val="none" w:sz="0" w:space="0" w:color="auto"/>
      </w:divBdr>
    </w:div>
    <w:div w:id="410590431">
      <w:bodyDiv w:val="1"/>
      <w:marLeft w:val="0"/>
      <w:marRight w:val="0"/>
      <w:marTop w:val="0"/>
      <w:marBottom w:val="0"/>
      <w:divBdr>
        <w:top w:val="none" w:sz="0" w:space="0" w:color="auto"/>
        <w:left w:val="none" w:sz="0" w:space="0" w:color="auto"/>
        <w:bottom w:val="none" w:sz="0" w:space="0" w:color="auto"/>
        <w:right w:val="none" w:sz="0" w:space="0" w:color="auto"/>
      </w:divBdr>
      <w:divsChild>
        <w:div w:id="1300382648">
          <w:marLeft w:val="0"/>
          <w:marRight w:val="0"/>
          <w:marTop w:val="0"/>
          <w:marBottom w:val="0"/>
          <w:divBdr>
            <w:top w:val="none" w:sz="0" w:space="0" w:color="auto"/>
            <w:left w:val="none" w:sz="0" w:space="0" w:color="auto"/>
            <w:bottom w:val="none" w:sz="0" w:space="0" w:color="auto"/>
            <w:right w:val="none" w:sz="0" w:space="0" w:color="auto"/>
          </w:divBdr>
        </w:div>
        <w:div w:id="1932464260">
          <w:marLeft w:val="0"/>
          <w:marRight w:val="0"/>
          <w:marTop w:val="0"/>
          <w:marBottom w:val="0"/>
          <w:divBdr>
            <w:top w:val="none" w:sz="0" w:space="0" w:color="auto"/>
            <w:left w:val="none" w:sz="0" w:space="0" w:color="auto"/>
            <w:bottom w:val="none" w:sz="0" w:space="0" w:color="auto"/>
            <w:right w:val="none" w:sz="0" w:space="0" w:color="auto"/>
          </w:divBdr>
        </w:div>
      </w:divsChild>
    </w:div>
    <w:div w:id="490215240">
      <w:bodyDiv w:val="1"/>
      <w:marLeft w:val="0"/>
      <w:marRight w:val="0"/>
      <w:marTop w:val="0"/>
      <w:marBottom w:val="0"/>
      <w:divBdr>
        <w:top w:val="none" w:sz="0" w:space="0" w:color="auto"/>
        <w:left w:val="none" w:sz="0" w:space="0" w:color="auto"/>
        <w:bottom w:val="none" w:sz="0" w:space="0" w:color="auto"/>
        <w:right w:val="none" w:sz="0" w:space="0" w:color="auto"/>
      </w:divBdr>
      <w:divsChild>
        <w:div w:id="798575233">
          <w:marLeft w:val="0"/>
          <w:marRight w:val="0"/>
          <w:marTop w:val="0"/>
          <w:marBottom w:val="0"/>
          <w:divBdr>
            <w:top w:val="none" w:sz="0" w:space="0" w:color="auto"/>
            <w:left w:val="none" w:sz="0" w:space="0" w:color="auto"/>
            <w:bottom w:val="none" w:sz="0" w:space="0" w:color="auto"/>
            <w:right w:val="none" w:sz="0" w:space="0" w:color="auto"/>
          </w:divBdr>
        </w:div>
        <w:div w:id="1238789031">
          <w:marLeft w:val="0"/>
          <w:marRight w:val="0"/>
          <w:marTop w:val="0"/>
          <w:marBottom w:val="0"/>
          <w:divBdr>
            <w:top w:val="none" w:sz="0" w:space="0" w:color="auto"/>
            <w:left w:val="none" w:sz="0" w:space="0" w:color="auto"/>
            <w:bottom w:val="none" w:sz="0" w:space="0" w:color="auto"/>
            <w:right w:val="none" w:sz="0" w:space="0" w:color="auto"/>
          </w:divBdr>
        </w:div>
      </w:divsChild>
    </w:div>
    <w:div w:id="757554535">
      <w:bodyDiv w:val="1"/>
      <w:marLeft w:val="0"/>
      <w:marRight w:val="0"/>
      <w:marTop w:val="0"/>
      <w:marBottom w:val="0"/>
      <w:divBdr>
        <w:top w:val="none" w:sz="0" w:space="0" w:color="auto"/>
        <w:left w:val="none" w:sz="0" w:space="0" w:color="auto"/>
        <w:bottom w:val="none" w:sz="0" w:space="0" w:color="auto"/>
        <w:right w:val="none" w:sz="0" w:space="0" w:color="auto"/>
      </w:divBdr>
      <w:divsChild>
        <w:div w:id="865753850">
          <w:marLeft w:val="0"/>
          <w:marRight w:val="0"/>
          <w:marTop w:val="0"/>
          <w:marBottom w:val="0"/>
          <w:divBdr>
            <w:top w:val="none" w:sz="0" w:space="0" w:color="auto"/>
            <w:left w:val="none" w:sz="0" w:space="0" w:color="auto"/>
            <w:bottom w:val="none" w:sz="0" w:space="0" w:color="auto"/>
            <w:right w:val="none" w:sz="0" w:space="0" w:color="auto"/>
          </w:divBdr>
        </w:div>
        <w:div w:id="1319724593">
          <w:marLeft w:val="0"/>
          <w:marRight w:val="0"/>
          <w:marTop w:val="0"/>
          <w:marBottom w:val="0"/>
          <w:divBdr>
            <w:top w:val="none" w:sz="0" w:space="0" w:color="auto"/>
            <w:left w:val="none" w:sz="0" w:space="0" w:color="auto"/>
            <w:bottom w:val="none" w:sz="0" w:space="0" w:color="auto"/>
            <w:right w:val="none" w:sz="0" w:space="0" w:color="auto"/>
          </w:divBdr>
        </w:div>
        <w:div w:id="188377281">
          <w:marLeft w:val="0"/>
          <w:marRight w:val="0"/>
          <w:marTop w:val="0"/>
          <w:marBottom w:val="0"/>
          <w:divBdr>
            <w:top w:val="none" w:sz="0" w:space="0" w:color="auto"/>
            <w:left w:val="none" w:sz="0" w:space="0" w:color="auto"/>
            <w:bottom w:val="none" w:sz="0" w:space="0" w:color="auto"/>
            <w:right w:val="none" w:sz="0" w:space="0" w:color="auto"/>
          </w:divBdr>
        </w:div>
        <w:div w:id="1431778072">
          <w:marLeft w:val="0"/>
          <w:marRight w:val="0"/>
          <w:marTop w:val="0"/>
          <w:marBottom w:val="0"/>
          <w:divBdr>
            <w:top w:val="none" w:sz="0" w:space="0" w:color="auto"/>
            <w:left w:val="none" w:sz="0" w:space="0" w:color="auto"/>
            <w:bottom w:val="none" w:sz="0" w:space="0" w:color="auto"/>
            <w:right w:val="none" w:sz="0" w:space="0" w:color="auto"/>
          </w:divBdr>
        </w:div>
      </w:divsChild>
    </w:div>
    <w:div w:id="775443979">
      <w:bodyDiv w:val="1"/>
      <w:marLeft w:val="0"/>
      <w:marRight w:val="0"/>
      <w:marTop w:val="0"/>
      <w:marBottom w:val="0"/>
      <w:divBdr>
        <w:top w:val="none" w:sz="0" w:space="0" w:color="auto"/>
        <w:left w:val="none" w:sz="0" w:space="0" w:color="auto"/>
        <w:bottom w:val="none" w:sz="0" w:space="0" w:color="auto"/>
        <w:right w:val="none" w:sz="0" w:space="0" w:color="auto"/>
      </w:divBdr>
    </w:div>
    <w:div w:id="886140396">
      <w:bodyDiv w:val="1"/>
      <w:marLeft w:val="0"/>
      <w:marRight w:val="0"/>
      <w:marTop w:val="0"/>
      <w:marBottom w:val="0"/>
      <w:divBdr>
        <w:top w:val="none" w:sz="0" w:space="0" w:color="auto"/>
        <w:left w:val="none" w:sz="0" w:space="0" w:color="auto"/>
        <w:bottom w:val="none" w:sz="0" w:space="0" w:color="auto"/>
        <w:right w:val="none" w:sz="0" w:space="0" w:color="auto"/>
      </w:divBdr>
    </w:div>
    <w:div w:id="934630087">
      <w:bodyDiv w:val="1"/>
      <w:marLeft w:val="0"/>
      <w:marRight w:val="0"/>
      <w:marTop w:val="0"/>
      <w:marBottom w:val="0"/>
      <w:divBdr>
        <w:top w:val="none" w:sz="0" w:space="0" w:color="auto"/>
        <w:left w:val="none" w:sz="0" w:space="0" w:color="auto"/>
        <w:bottom w:val="none" w:sz="0" w:space="0" w:color="auto"/>
        <w:right w:val="none" w:sz="0" w:space="0" w:color="auto"/>
      </w:divBdr>
    </w:div>
    <w:div w:id="944657769">
      <w:bodyDiv w:val="1"/>
      <w:marLeft w:val="0"/>
      <w:marRight w:val="0"/>
      <w:marTop w:val="0"/>
      <w:marBottom w:val="0"/>
      <w:divBdr>
        <w:top w:val="none" w:sz="0" w:space="0" w:color="auto"/>
        <w:left w:val="none" w:sz="0" w:space="0" w:color="auto"/>
        <w:bottom w:val="none" w:sz="0" w:space="0" w:color="auto"/>
        <w:right w:val="none" w:sz="0" w:space="0" w:color="auto"/>
      </w:divBdr>
      <w:divsChild>
        <w:div w:id="76633725">
          <w:marLeft w:val="0"/>
          <w:marRight w:val="0"/>
          <w:marTop w:val="0"/>
          <w:marBottom w:val="0"/>
          <w:divBdr>
            <w:top w:val="none" w:sz="0" w:space="0" w:color="auto"/>
            <w:left w:val="none" w:sz="0" w:space="0" w:color="auto"/>
            <w:bottom w:val="none" w:sz="0" w:space="0" w:color="auto"/>
            <w:right w:val="none" w:sz="0" w:space="0" w:color="auto"/>
          </w:divBdr>
        </w:div>
        <w:div w:id="306397941">
          <w:marLeft w:val="0"/>
          <w:marRight w:val="0"/>
          <w:marTop w:val="0"/>
          <w:marBottom w:val="0"/>
          <w:divBdr>
            <w:top w:val="none" w:sz="0" w:space="0" w:color="auto"/>
            <w:left w:val="none" w:sz="0" w:space="0" w:color="auto"/>
            <w:bottom w:val="none" w:sz="0" w:space="0" w:color="auto"/>
            <w:right w:val="none" w:sz="0" w:space="0" w:color="auto"/>
          </w:divBdr>
        </w:div>
        <w:div w:id="1416168818">
          <w:marLeft w:val="0"/>
          <w:marRight w:val="0"/>
          <w:marTop w:val="0"/>
          <w:marBottom w:val="0"/>
          <w:divBdr>
            <w:top w:val="none" w:sz="0" w:space="0" w:color="auto"/>
            <w:left w:val="none" w:sz="0" w:space="0" w:color="auto"/>
            <w:bottom w:val="none" w:sz="0" w:space="0" w:color="auto"/>
            <w:right w:val="none" w:sz="0" w:space="0" w:color="auto"/>
          </w:divBdr>
        </w:div>
        <w:div w:id="1726684294">
          <w:marLeft w:val="0"/>
          <w:marRight w:val="0"/>
          <w:marTop w:val="0"/>
          <w:marBottom w:val="0"/>
          <w:divBdr>
            <w:top w:val="none" w:sz="0" w:space="0" w:color="auto"/>
            <w:left w:val="none" w:sz="0" w:space="0" w:color="auto"/>
            <w:bottom w:val="none" w:sz="0" w:space="0" w:color="auto"/>
            <w:right w:val="none" w:sz="0" w:space="0" w:color="auto"/>
          </w:divBdr>
        </w:div>
        <w:div w:id="1729457995">
          <w:marLeft w:val="0"/>
          <w:marRight w:val="0"/>
          <w:marTop w:val="0"/>
          <w:marBottom w:val="0"/>
          <w:divBdr>
            <w:top w:val="none" w:sz="0" w:space="0" w:color="auto"/>
            <w:left w:val="none" w:sz="0" w:space="0" w:color="auto"/>
            <w:bottom w:val="none" w:sz="0" w:space="0" w:color="auto"/>
            <w:right w:val="none" w:sz="0" w:space="0" w:color="auto"/>
          </w:divBdr>
        </w:div>
        <w:div w:id="802116061">
          <w:marLeft w:val="0"/>
          <w:marRight w:val="0"/>
          <w:marTop w:val="0"/>
          <w:marBottom w:val="0"/>
          <w:divBdr>
            <w:top w:val="none" w:sz="0" w:space="0" w:color="auto"/>
            <w:left w:val="none" w:sz="0" w:space="0" w:color="auto"/>
            <w:bottom w:val="none" w:sz="0" w:space="0" w:color="auto"/>
            <w:right w:val="none" w:sz="0" w:space="0" w:color="auto"/>
          </w:divBdr>
        </w:div>
      </w:divsChild>
    </w:div>
    <w:div w:id="1008141092">
      <w:bodyDiv w:val="1"/>
      <w:marLeft w:val="0"/>
      <w:marRight w:val="0"/>
      <w:marTop w:val="0"/>
      <w:marBottom w:val="0"/>
      <w:divBdr>
        <w:top w:val="none" w:sz="0" w:space="0" w:color="auto"/>
        <w:left w:val="none" w:sz="0" w:space="0" w:color="auto"/>
        <w:bottom w:val="none" w:sz="0" w:space="0" w:color="auto"/>
        <w:right w:val="none" w:sz="0" w:space="0" w:color="auto"/>
      </w:divBdr>
    </w:div>
    <w:div w:id="1025978457">
      <w:bodyDiv w:val="1"/>
      <w:marLeft w:val="0"/>
      <w:marRight w:val="0"/>
      <w:marTop w:val="0"/>
      <w:marBottom w:val="0"/>
      <w:divBdr>
        <w:top w:val="none" w:sz="0" w:space="0" w:color="auto"/>
        <w:left w:val="none" w:sz="0" w:space="0" w:color="auto"/>
        <w:bottom w:val="none" w:sz="0" w:space="0" w:color="auto"/>
        <w:right w:val="none" w:sz="0" w:space="0" w:color="auto"/>
      </w:divBdr>
    </w:div>
    <w:div w:id="1089154301">
      <w:bodyDiv w:val="1"/>
      <w:marLeft w:val="0"/>
      <w:marRight w:val="0"/>
      <w:marTop w:val="0"/>
      <w:marBottom w:val="0"/>
      <w:divBdr>
        <w:top w:val="none" w:sz="0" w:space="0" w:color="auto"/>
        <w:left w:val="none" w:sz="0" w:space="0" w:color="auto"/>
        <w:bottom w:val="none" w:sz="0" w:space="0" w:color="auto"/>
        <w:right w:val="none" w:sz="0" w:space="0" w:color="auto"/>
      </w:divBdr>
      <w:divsChild>
        <w:div w:id="869414882">
          <w:marLeft w:val="0"/>
          <w:marRight w:val="0"/>
          <w:marTop w:val="0"/>
          <w:marBottom w:val="0"/>
          <w:divBdr>
            <w:top w:val="none" w:sz="0" w:space="0" w:color="auto"/>
            <w:left w:val="none" w:sz="0" w:space="0" w:color="auto"/>
            <w:bottom w:val="none" w:sz="0" w:space="0" w:color="auto"/>
            <w:right w:val="none" w:sz="0" w:space="0" w:color="auto"/>
          </w:divBdr>
        </w:div>
        <w:div w:id="1986929250">
          <w:marLeft w:val="0"/>
          <w:marRight w:val="0"/>
          <w:marTop w:val="0"/>
          <w:marBottom w:val="0"/>
          <w:divBdr>
            <w:top w:val="none" w:sz="0" w:space="0" w:color="auto"/>
            <w:left w:val="none" w:sz="0" w:space="0" w:color="auto"/>
            <w:bottom w:val="none" w:sz="0" w:space="0" w:color="auto"/>
            <w:right w:val="none" w:sz="0" w:space="0" w:color="auto"/>
          </w:divBdr>
        </w:div>
        <w:div w:id="496727587">
          <w:marLeft w:val="0"/>
          <w:marRight w:val="0"/>
          <w:marTop w:val="0"/>
          <w:marBottom w:val="0"/>
          <w:divBdr>
            <w:top w:val="none" w:sz="0" w:space="0" w:color="auto"/>
            <w:left w:val="none" w:sz="0" w:space="0" w:color="auto"/>
            <w:bottom w:val="none" w:sz="0" w:space="0" w:color="auto"/>
            <w:right w:val="none" w:sz="0" w:space="0" w:color="auto"/>
          </w:divBdr>
        </w:div>
      </w:divsChild>
    </w:div>
    <w:div w:id="1152916666">
      <w:bodyDiv w:val="1"/>
      <w:marLeft w:val="0"/>
      <w:marRight w:val="0"/>
      <w:marTop w:val="0"/>
      <w:marBottom w:val="0"/>
      <w:divBdr>
        <w:top w:val="none" w:sz="0" w:space="0" w:color="auto"/>
        <w:left w:val="none" w:sz="0" w:space="0" w:color="auto"/>
        <w:bottom w:val="none" w:sz="0" w:space="0" w:color="auto"/>
        <w:right w:val="none" w:sz="0" w:space="0" w:color="auto"/>
      </w:divBdr>
    </w:div>
    <w:div w:id="1208184424">
      <w:bodyDiv w:val="1"/>
      <w:marLeft w:val="0"/>
      <w:marRight w:val="0"/>
      <w:marTop w:val="0"/>
      <w:marBottom w:val="0"/>
      <w:divBdr>
        <w:top w:val="none" w:sz="0" w:space="0" w:color="auto"/>
        <w:left w:val="none" w:sz="0" w:space="0" w:color="auto"/>
        <w:bottom w:val="none" w:sz="0" w:space="0" w:color="auto"/>
        <w:right w:val="none" w:sz="0" w:space="0" w:color="auto"/>
      </w:divBdr>
    </w:div>
    <w:div w:id="1332636078">
      <w:bodyDiv w:val="1"/>
      <w:marLeft w:val="0"/>
      <w:marRight w:val="0"/>
      <w:marTop w:val="0"/>
      <w:marBottom w:val="0"/>
      <w:divBdr>
        <w:top w:val="none" w:sz="0" w:space="0" w:color="auto"/>
        <w:left w:val="none" w:sz="0" w:space="0" w:color="auto"/>
        <w:bottom w:val="none" w:sz="0" w:space="0" w:color="auto"/>
        <w:right w:val="none" w:sz="0" w:space="0" w:color="auto"/>
      </w:divBdr>
      <w:divsChild>
        <w:div w:id="87627469">
          <w:marLeft w:val="0"/>
          <w:marRight w:val="0"/>
          <w:marTop w:val="0"/>
          <w:marBottom w:val="0"/>
          <w:divBdr>
            <w:top w:val="none" w:sz="0" w:space="0" w:color="auto"/>
            <w:left w:val="none" w:sz="0" w:space="0" w:color="auto"/>
            <w:bottom w:val="none" w:sz="0" w:space="0" w:color="auto"/>
            <w:right w:val="none" w:sz="0" w:space="0" w:color="auto"/>
          </w:divBdr>
        </w:div>
        <w:div w:id="1004894175">
          <w:marLeft w:val="0"/>
          <w:marRight w:val="0"/>
          <w:marTop w:val="0"/>
          <w:marBottom w:val="0"/>
          <w:divBdr>
            <w:top w:val="none" w:sz="0" w:space="0" w:color="auto"/>
            <w:left w:val="none" w:sz="0" w:space="0" w:color="auto"/>
            <w:bottom w:val="none" w:sz="0" w:space="0" w:color="auto"/>
            <w:right w:val="none" w:sz="0" w:space="0" w:color="auto"/>
          </w:divBdr>
        </w:div>
        <w:div w:id="1275484335">
          <w:marLeft w:val="0"/>
          <w:marRight w:val="0"/>
          <w:marTop w:val="0"/>
          <w:marBottom w:val="0"/>
          <w:divBdr>
            <w:top w:val="none" w:sz="0" w:space="0" w:color="auto"/>
            <w:left w:val="none" w:sz="0" w:space="0" w:color="auto"/>
            <w:bottom w:val="none" w:sz="0" w:space="0" w:color="auto"/>
            <w:right w:val="none" w:sz="0" w:space="0" w:color="auto"/>
          </w:divBdr>
        </w:div>
        <w:div w:id="1716805261">
          <w:marLeft w:val="0"/>
          <w:marRight w:val="0"/>
          <w:marTop w:val="0"/>
          <w:marBottom w:val="0"/>
          <w:divBdr>
            <w:top w:val="none" w:sz="0" w:space="0" w:color="auto"/>
            <w:left w:val="none" w:sz="0" w:space="0" w:color="auto"/>
            <w:bottom w:val="none" w:sz="0" w:space="0" w:color="auto"/>
            <w:right w:val="none" w:sz="0" w:space="0" w:color="auto"/>
          </w:divBdr>
        </w:div>
        <w:div w:id="1919558132">
          <w:marLeft w:val="0"/>
          <w:marRight w:val="0"/>
          <w:marTop w:val="0"/>
          <w:marBottom w:val="0"/>
          <w:divBdr>
            <w:top w:val="none" w:sz="0" w:space="0" w:color="auto"/>
            <w:left w:val="none" w:sz="0" w:space="0" w:color="auto"/>
            <w:bottom w:val="none" w:sz="0" w:space="0" w:color="auto"/>
            <w:right w:val="none" w:sz="0" w:space="0" w:color="auto"/>
          </w:divBdr>
        </w:div>
        <w:div w:id="1857695769">
          <w:marLeft w:val="0"/>
          <w:marRight w:val="0"/>
          <w:marTop w:val="0"/>
          <w:marBottom w:val="0"/>
          <w:divBdr>
            <w:top w:val="none" w:sz="0" w:space="0" w:color="auto"/>
            <w:left w:val="none" w:sz="0" w:space="0" w:color="auto"/>
            <w:bottom w:val="none" w:sz="0" w:space="0" w:color="auto"/>
            <w:right w:val="none" w:sz="0" w:space="0" w:color="auto"/>
          </w:divBdr>
        </w:div>
      </w:divsChild>
    </w:div>
    <w:div w:id="1353409838">
      <w:bodyDiv w:val="1"/>
      <w:marLeft w:val="0"/>
      <w:marRight w:val="0"/>
      <w:marTop w:val="0"/>
      <w:marBottom w:val="0"/>
      <w:divBdr>
        <w:top w:val="none" w:sz="0" w:space="0" w:color="auto"/>
        <w:left w:val="none" w:sz="0" w:space="0" w:color="auto"/>
        <w:bottom w:val="none" w:sz="0" w:space="0" w:color="auto"/>
        <w:right w:val="none" w:sz="0" w:space="0" w:color="auto"/>
      </w:divBdr>
      <w:divsChild>
        <w:div w:id="365301374">
          <w:marLeft w:val="0"/>
          <w:marRight w:val="0"/>
          <w:marTop w:val="0"/>
          <w:marBottom w:val="0"/>
          <w:divBdr>
            <w:top w:val="none" w:sz="0" w:space="0" w:color="auto"/>
            <w:left w:val="none" w:sz="0" w:space="0" w:color="auto"/>
            <w:bottom w:val="none" w:sz="0" w:space="0" w:color="auto"/>
            <w:right w:val="none" w:sz="0" w:space="0" w:color="auto"/>
          </w:divBdr>
        </w:div>
        <w:div w:id="1998806395">
          <w:marLeft w:val="0"/>
          <w:marRight w:val="0"/>
          <w:marTop w:val="0"/>
          <w:marBottom w:val="0"/>
          <w:divBdr>
            <w:top w:val="none" w:sz="0" w:space="0" w:color="auto"/>
            <w:left w:val="none" w:sz="0" w:space="0" w:color="auto"/>
            <w:bottom w:val="none" w:sz="0" w:space="0" w:color="auto"/>
            <w:right w:val="none" w:sz="0" w:space="0" w:color="auto"/>
          </w:divBdr>
        </w:div>
      </w:divsChild>
    </w:div>
    <w:div w:id="1356887105">
      <w:bodyDiv w:val="1"/>
      <w:marLeft w:val="0"/>
      <w:marRight w:val="0"/>
      <w:marTop w:val="0"/>
      <w:marBottom w:val="0"/>
      <w:divBdr>
        <w:top w:val="none" w:sz="0" w:space="0" w:color="auto"/>
        <w:left w:val="none" w:sz="0" w:space="0" w:color="auto"/>
        <w:bottom w:val="none" w:sz="0" w:space="0" w:color="auto"/>
        <w:right w:val="none" w:sz="0" w:space="0" w:color="auto"/>
      </w:divBdr>
      <w:divsChild>
        <w:div w:id="1207913852">
          <w:marLeft w:val="0"/>
          <w:marRight w:val="0"/>
          <w:marTop w:val="0"/>
          <w:marBottom w:val="0"/>
          <w:divBdr>
            <w:top w:val="none" w:sz="0" w:space="0" w:color="auto"/>
            <w:left w:val="none" w:sz="0" w:space="0" w:color="auto"/>
            <w:bottom w:val="none" w:sz="0" w:space="0" w:color="auto"/>
            <w:right w:val="none" w:sz="0" w:space="0" w:color="auto"/>
          </w:divBdr>
        </w:div>
        <w:div w:id="623736507">
          <w:marLeft w:val="0"/>
          <w:marRight w:val="0"/>
          <w:marTop w:val="0"/>
          <w:marBottom w:val="0"/>
          <w:divBdr>
            <w:top w:val="none" w:sz="0" w:space="0" w:color="auto"/>
            <w:left w:val="none" w:sz="0" w:space="0" w:color="auto"/>
            <w:bottom w:val="none" w:sz="0" w:space="0" w:color="auto"/>
            <w:right w:val="none" w:sz="0" w:space="0" w:color="auto"/>
          </w:divBdr>
        </w:div>
        <w:div w:id="396512644">
          <w:marLeft w:val="0"/>
          <w:marRight w:val="0"/>
          <w:marTop w:val="0"/>
          <w:marBottom w:val="0"/>
          <w:divBdr>
            <w:top w:val="none" w:sz="0" w:space="0" w:color="auto"/>
            <w:left w:val="none" w:sz="0" w:space="0" w:color="auto"/>
            <w:bottom w:val="none" w:sz="0" w:space="0" w:color="auto"/>
            <w:right w:val="none" w:sz="0" w:space="0" w:color="auto"/>
          </w:divBdr>
        </w:div>
      </w:divsChild>
    </w:div>
    <w:div w:id="1431200122">
      <w:bodyDiv w:val="1"/>
      <w:marLeft w:val="0"/>
      <w:marRight w:val="0"/>
      <w:marTop w:val="0"/>
      <w:marBottom w:val="0"/>
      <w:divBdr>
        <w:top w:val="none" w:sz="0" w:space="0" w:color="auto"/>
        <w:left w:val="none" w:sz="0" w:space="0" w:color="auto"/>
        <w:bottom w:val="none" w:sz="0" w:space="0" w:color="auto"/>
        <w:right w:val="none" w:sz="0" w:space="0" w:color="auto"/>
      </w:divBdr>
    </w:div>
    <w:div w:id="1439984504">
      <w:bodyDiv w:val="1"/>
      <w:marLeft w:val="0"/>
      <w:marRight w:val="0"/>
      <w:marTop w:val="0"/>
      <w:marBottom w:val="0"/>
      <w:divBdr>
        <w:top w:val="none" w:sz="0" w:space="0" w:color="auto"/>
        <w:left w:val="none" w:sz="0" w:space="0" w:color="auto"/>
        <w:bottom w:val="none" w:sz="0" w:space="0" w:color="auto"/>
        <w:right w:val="none" w:sz="0" w:space="0" w:color="auto"/>
      </w:divBdr>
    </w:div>
    <w:div w:id="1552109665">
      <w:bodyDiv w:val="1"/>
      <w:marLeft w:val="0"/>
      <w:marRight w:val="0"/>
      <w:marTop w:val="0"/>
      <w:marBottom w:val="0"/>
      <w:divBdr>
        <w:top w:val="none" w:sz="0" w:space="0" w:color="auto"/>
        <w:left w:val="none" w:sz="0" w:space="0" w:color="auto"/>
        <w:bottom w:val="none" w:sz="0" w:space="0" w:color="auto"/>
        <w:right w:val="none" w:sz="0" w:space="0" w:color="auto"/>
      </w:divBdr>
    </w:div>
    <w:div w:id="1601331229">
      <w:bodyDiv w:val="1"/>
      <w:marLeft w:val="0"/>
      <w:marRight w:val="0"/>
      <w:marTop w:val="0"/>
      <w:marBottom w:val="0"/>
      <w:divBdr>
        <w:top w:val="none" w:sz="0" w:space="0" w:color="auto"/>
        <w:left w:val="none" w:sz="0" w:space="0" w:color="auto"/>
        <w:bottom w:val="none" w:sz="0" w:space="0" w:color="auto"/>
        <w:right w:val="none" w:sz="0" w:space="0" w:color="auto"/>
      </w:divBdr>
    </w:div>
    <w:div w:id="1615556189">
      <w:bodyDiv w:val="1"/>
      <w:marLeft w:val="0"/>
      <w:marRight w:val="0"/>
      <w:marTop w:val="0"/>
      <w:marBottom w:val="0"/>
      <w:divBdr>
        <w:top w:val="none" w:sz="0" w:space="0" w:color="auto"/>
        <w:left w:val="none" w:sz="0" w:space="0" w:color="auto"/>
        <w:bottom w:val="none" w:sz="0" w:space="0" w:color="auto"/>
        <w:right w:val="none" w:sz="0" w:space="0" w:color="auto"/>
      </w:divBdr>
    </w:div>
    <w:div w:id="1643803443">
      <w:bodyDiv w:val="1"/>
      <w:marLeft w:val="0"/>
      <w:marRight w:val="0"/>
      <w:marTop w:val="0"/>
      <w:marBottom w:val="0"/>
      <w:divBdr>
        <w:top w:val="none" w:sz="0" w:space="0" w:color="auto"/>
        <w:left w:val="none" w:sz="0" w:space="0" w:color="auto"/>
        <w:bottom w:val="none" w:sz="0" w:space="0" w:color="auto"/>
        <w:right w:val="none" w:sz="0" w:space="0" w:color="auto"/>
      </w:divBdr>
    </w:div>
    <w:div w:id="1674456943">
      <w:bodyDiv w:val="1"/>
      <w:marLeft w:val="0"/>
      <w:marRight w:val="0"/>
      <w:marTop w:val="0"/>
      <w:marBottom w:val="0"/>
      <w:divBdr>
        <w:top w:val="none" w:sz="0" w:space="0" w:color="auto"/>
        <w:left w:val="none" w:sz="0" w:space="0" w:color="auto"/>
        <w:bottom w:val="none" w:sz="0" w:space="0" w:color="auto"/>
        <w:right w:val="none" w:sz="0" w:space="0" w:color="auto"/>
      </w:divBdr>
    </w:div>
    <w:div w:id="1682854767">
      <w:bodyDiv w:val="1"/>
      <w:marLeft w:val="0"/>
      <w:marRight w:val="0"/>
      <w:marTop w:val="0"/>
      <w:marBottom w:val="0"/>
      <w:divBdr>
        <w:top w:val="none" w:sz="0" w:space="0" w:color="auto"/>
        <w:left w:val="none" w:sz="0" w:space="0" w:color="auto"/>
        <w:bottom w:val="none" w:sz="0" w:space="0" w:color="auto"/>
        <w:right w:val="none" w:sz="0" w:space="0" w:color="auto"/>
      </w:divBdr>
    </w:div>
    <w:div w:id="1771927537">
      <w:bodyDiv w:val="1"/>
      <w:marLeft w:val="0"/>
      <w:marRight w:val="0"/>
      <w:marTop w:val="0"/>
      <w:marBottom w:val="0"/>
      <w:divBdr>
        <w:top w:val="none" w:sz="0" w:space="0" w:color="auto"/>
        <w:left w:val="none" w:sz="0" w:space="0" w:color="auto"/>
        <w:bottom w:val="none" w:sz="0" w:space="0" w:color="auto"/>
        <w:right w:val="none" w:sz="0" w:space="0" w:color="auto"/>
      </w:divBdr>
      <w:divsChild>
        <w:div w:id="1411459662">
          <w:marLeft w:val="0"/>
          <w:marRight w:val="0"/>
          <w:marTop w:val="0"/>
          <w:marBottom w:val="0"/>
          <w:divBdr>
            <w:top w:val="none" w:sz="0" w:space="0" w:color="auto"/>
            <w:left w:val="none" w:sz="0" w:space="0" w:color="auto"/>
            <w:bottom w:val="none" w:sz="0" w:space="0" w:color="auto"/>
            <w:right w:val="none" w:sz="0" w:space="0" w:color="auto"/>
          </w:divBdr>
        </w:div>
        <w:div w:id="2029604122">
          <w:marLeft w:val="0"/>
          <w:marRight w:val="0"/>
          <w:marTop w:val="0"/>
          <w:marBottom w:val="0"/>
          <w:divBdr>
            <w:top w:val="none" w:sz="0" w:space="0" w:color="auto"/>
            <w:left w:val="none" w:sz="0" w:space="0" w:color="auto"/>
            <w:bottom w:val="none" w:sz="0" w:space="0" w:color="auto"/>
            <w:right w:val="none" w:sz="0" w:space="0" w:color="auto"/>
          </w:divBdr>
        </w:div>
        <w:div w:id="1783068503">
          <w:marLeft w:val="0"/>
          <w:marRight w:val="0"/>
          <w:marTop w:val="0"/>
          <w:marBottom w:val="0"/>
          <w:divBdr>
            <w:top w:val="none" w:sz="0" w:space="0" w:color="auto"/>
            <w:left w:val="none" w:sz="0" w:space="0" w:color="auto"/>
            <w:bottom w:val="none" w:sz="0" w:space="0" w:color="auto"/>
            <w:right w:val="none" w:sz="0" w:space="0" w:color="auto"/>
          </w:divBdr>
        </w:div>
        <w:div w:id="2015842126">
          <w:marLeft w:val="0"/>
          <w:marRight w:val="0"/>
          <w:marTop w:val="0"/>
          <w:marBottom w:val="0"/>
          <w:divBdr>
            <w:top w:val="none" w:sz="0" w:space="0" w:color="auto"/>
            <w:left w:val="none" w:sz="0" w:space="0" w:color="auto"/>
            <w:bottom w:val="none" w:sz="0" w:space="0" w:color="auto"/>
            <w:right w:val="none" w:sz="0" w:space="0" w:color="auto"/>
          </w:divBdr>
        </w:div>
        <w:div w:id="1192956735">
          <w:marLeft w:val="0"/>
          <w:marRight w:val="0"/>
          <w:marTop w:val="0"/>
          <w:marBottom w:val="0"/>
          <w:divBdr>
            <w:top w:val="none" w:sz="0" w:space="0" w:color="auto"/>
            <w:left w:val="none" w:sz="0" w:space="0" w:color="auto"/>
            <w:bottom w:val="none" w:sz="0" w:space="0" w:color="auto"/>
            <w:right w:val="none" w:sz="0" w:space="0" w:color="auto"/>
          </w:divBdr>
        </w:div>
        <w:div w:id="1251502123">
          <w:marLeft w:val="0"/>
          <w:marRight w:val="0"/>
          <w:marTop w:val="0"/>
          <w:marBottom w:val="0"/>
          <w:divBdr>
            <w:top w:val="none" w:sz="0" w:space="0" w:color="auto"/>
            <w:left w:val="none" w:sz="0" w:space="0" w:color="auto"/>
            <w:bottom w:val="none" w:sz="0" w:space="0" w:color="auto"/>
            <w:right w:val="none" w:sz="0" w:space="0" w:color="auto"/>
          </w:divBdr>
        </w:div>
      </w:divsChild>
    </w:div>
    <w:div w:id="1860973079">
      <w:bodyDiv w:val="1"/>
      <w:marLeft w:val="0"/>
      <w:marRight w:val="0"/>
      <w:marTop w:val="0"/>
      <w:marBottom w:val="0"/>
      <w:divBdr>
        <w:top w:val="none" w:sz="0" w:space="0" w:color="auto"/>
        <w:left w:val="none" w:sz="0" w:space="0" w:color="auto"/>
        <w:bottom w:val="none" w:sz="0" w:space="0" w:color="auto"/>
        <w:right w:val="none" w:sz="0" w:space="0" w:color="auto"/>
      </w:divBdr>
    </w:div>
    <w:div w:id="1937519226">
      <w:bodyDiv w:val="1"/>
      <w:marLeft w:val="0"/>
      <w:marRight w:val="0"/>
      <w:marTop w:val="0"/>
      <w:marBottom w:val="0"/>
      <w:divBdr>
        <w:top w:val="none" w:sz="0" w:space="0" w:color="auto"/>
        <w:left w:val="none" w:sz="0" w:space="0" w:color="auto"/>
        <w:bottom w:val="none" w:sz="0" w:space="0" w:color="auto"/>
        <w:right w:val="none" w:sz="0" w:space="0" w:color="auto"/>
      </w:divBdr>
      <w:divsChild>
        <w:div w:id="239825682">
          <w:marLeft w:val="0"/>
          <w:marRight w:val="0"/>
          <w:marTop w:val="0"/>
          <w:marBottom w:val="0"/>
          <w:divBdr>
            <w:top w:val="none" w:sz="0" w:space="0" w:color="auto"/>
            <w:left w:val="none" w:sz="0" w:space="0" w:color="auto"/>
            <w:bottom w:val="none" w:sz="0" w:space="0" w:color="auto"/>
            <w:right w:val="none" w:sz="0" w:space="0" w:color="auto"/>
          </w:divBdr>
        </w:div>
        <w:div w:id="360478888">
          <w:marLeft w:val="0"/>
          <w:marRight w:val="0"/>
          <w:marTop w:val="0"/>
          <w:marBottom w:val="0"/>
          <w:divBdr>
            <w:top w:val="none" w:sz="0" w:space="0" w:color="auto"/>
            <w:left w:val="none" w:sz="0" w:space="0" w:color="auto"/>
            <w:bottom w:val="none" w:sz="0" w:space="0" w:color="auto"/>
            <w:right w:val="none" w:sz="0" w:space="0" w:color="auto"/>
          </w:divBdr>
        </w:div>
        <w:div w:id="1824616146">
          <w:marLeft w:val="0"/>
          <w:marRight w:val="0"/>
          <w:marTop w:val="0"/>
          <w:marBottom w:val="0"/>
          <w:divBdr>
            <w:top w:val="none" w:sz="0" w:space="0" w:color="auto"/>
            <w:left w:val="none" w:sz="0" w:space="0" w:color="auto"/>
            <w:bottom w:val="none" w:sz="0" w:space="0" w:color="auto"/>
            <w:right w:val="none" w:sz="0" w:space="0" w:color="auto"/>
          </w:divBdr>
        </w:div>
        <w:div w:id="410850929">
          <w:marLeft w:val="0"/>
          <w:marRight w:val="0"/>
          <w:marTop w:val="0"/>
          <w:marBottom w:val="0"/>
          <w:divBdr>
            <w:top w:val="none" w:sz="0" w:space="0" w:color="auto"/>
            <w:left w:val="none" w:sz="0" w:space="0" w:color="auto"/>
            <w:bottom w:val="none" w:sz="0" w:space="0" w:color="auto"/>
            <w:right w:val="none" w:sz="0" w:space="0" w:color="auto"/>
          </w:divBdr>
        </w:div>
        <w:div w:id="1607035166">
          <w:marLeft w:val="0"/>
          <w:marRight w:val="0"/>
          <w:marTop w:val="0"/>
          <w:marBottom w:val="0"/>
          <w:divBdr>
            <w:top w:val="none" w:sz="0" w:space="0" w:color="auto"/>
            <w:left w:val="none" w:sz="0" w:space="0" w:color="auto"/>
            <w:bottom w:val="none" w:sz="0" w:space="0" w:color="auto"/>
            <w:right w:val="none" w:sz="0" w:space="0" w:color="auto"/>
          </w:divBdr>
        </w:div>
        <w:div w:id="1771657485">
          <w:marLeft w:val="0"/>
          <w:marRight w:val="0"/>
          <w:marTop w:val="0"/>
          <w:marBottom w:val="0"/>
          <w:divBdr>
            <w:top w:val="none" w:sz="0" w:space="0" w:color="auto"/>
            <w:left w:val="none" w:sz="0" w:space="0" w:color="auto"/>
            <w:bottom w:val="none" w:sz="0" w:space="0" w:color="auto"/>
            <w:right w:val="none" w:sz="0" w:space="0" w:color="auto"/>
          </w:divBdr>
        </w:div>
      </w:divsChild>
    </w:div>
    <w:div w:id="2146123265">
      <w:bodyDiv w:val="1"/>
      <w:marLeft w:val="0"/>
      <w:marRight w:val="0"/>
      <w:marTop w:val="0"/>
      <w:marBottom w:val="0"/>
      <w:divBdr>
        <w:top w:val="none" w:sz="0" w:space="0" w:color="auto"/>
        <w:left w:val="none" w:sz="0" w:space="0" w:color="auto"/>
        <w:bottom w:val="none" w:sz="0" w:space="0" w:color="auto"/>
        <w:right w:val="none" w:sz="0" w:space="0" w:color="auto"/>
      </w:divBdr>
      <w:divsChild>
        <w:div w:id="1944919474">
          <w:marLeft w:val="0"/>
          <w:marRight w:val="0"/>
          <w:marTop w:val="0"/>
          <w:marBottom w:val="0"/>
          <w:divBdr>
            <w:top w:val="none" w:sz="0" w:space="0" w:color="auto"/>
            <w:left w:val="none" w:sz="0" w:space="0" w:color="auto"/>
            <w:bottom w:val="none" w:sz="0" w:space="0" w:color="auto"/>
            <w:right w:val="none" w:sz="0" w:space="0" w:color="auto"/>
          </w:divBdr>
        </w:div>
        <w:div w:id="892541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uidance/ta108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ta942/chapter/1-Recommendations" TargetMode="External"/><Relationship Id="rId17" Type="http://schemas.openxmlformats.org/officeDocument/2006/relationships/hyperlink" Target="https://twitter.com/RDTC_R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1075" TargetMode="External"/><Relationship Id="rId5" Type="http://schemas.openxmlformats.org/officeDocument/2006/relationships/webSettings" Target="webSettings.xml"/><Relationship Id="rId15" Type="http://schemas.openxmlformats.org/officeDocument/2006/relationships/hyperlink" Target="https://humberandnorthyorkshire.org.uk/area-prescribing-committee-apc/" TargetMode="External"/><Relationship Id="rId23" Type="http://schemas.openxmlformats.org/officeDocument/2006/relationships/theme" Target="theme/theme1.xml"/><Relationship Id="rId10" Type="http://schemas.openxmlformats.org/officeDocument/2006/relationships/hyperlink" Target="https://www.nice.org.uk/guidance/ta10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th.nyrdtc.rxsupp@nhs.net"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A717F1D-BC65-42D3-AE1B-4745896D4804}"/>
      </w:docPartPr>
      <w:docPartBody>
        <w:p w:rsidR="00540650" w:rsidRDefault="00540650">
          <w:r w:rsidRPr="00291D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50"/>
    <w:rsid w:val="000A1EB8"/>
    <w:rsid w:val="000B5DED"/>
    <w:rsid w:val="00364CE2"/>
    <w:rsid w:val="00540650"/>
    <w:rsid w:val="0080238C"/>
    <w:rsid w:val="0081642A"/>
    <w:rsid w:val="00B04B03"/>
    <w:rsid w:val="00B452EC"/>
    <w:rsid w:val="00BE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C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DF18-894E-4852-ACDF-D41BF961724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123</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 (THE NEWCASTLE UPON TYNE HOSPITALS NHS FOUNDATION TRUST)</cp:lastModifiedBy>
  <cp:revision>68</cp:revision>
  <dcterms:created xsi:type="dcterms:W3CDTF">2025-05-28T11:30:00Z</dcterms:created>
  <dcterms:modified xsi:type="dcterms:W3CDTF">2025-07-16T15:49:00Z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