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F5C52" w14:textId="083EAF97" w:rsidR="007030B7" w:rsidRPr="004C41F8" w:rsidRDefault="006E26D1" w:rsidP="007909C3">
      <w:pPr>
        <w:pStyle w:val="BodyText"/>
      </w:pPr>
      <w:r w:rsidRPr="004C41F8">
        <w:rPr>
          <w:noProof/>
          <w:lang w:eastAsia="en-GB"/>
        </w:rPr>
        <w:drawing>
          <wp:anchor distT="0" distB="0" distL="114300" distR="114300" simplePos="0" relativeHeight="251662336" behindDoc="1" locked="0" layoutInCell="1" allowOverlap="1" wp14:anchorId="19741DDF" wp14:editId="7531D5E9">
            <wp:simplePos x="0" y="0"/>
            <wp:positionH relativeFrom="column">
              <wp:posOffset>-140335</wp:posOffset>
            </wp:positionH>
            <wp:positionV relativeFrom="paragraph">
              <wp:posOffset>0</wp:posOffset>
            </wp:positionV>
            <wp:extent cx="2209800" cy="466725"/>
            <wp:effectExtent l="0" t="0" r="0" b="9525"/>
            <wp:wrapTight wrapText="bothSides">
              <wp:wrapPolygon edited="0">
                <wp:start x="0" y="0"/>
                <wp:lineTo x="0" y="21159"/>
                <wp:lineTo x="21414" y="21159"/>
                <wp:lineTo x="21414" y="0"/>
                <wp:lineTo x="0" y="0"/>
              </wp:wrapPolygon>
            </wp:wrapTight>
            <wp:docPr id="986309439" name="Picture 9863094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09439" name="Picture 986309439" descr="A close-up of a logo&#10;&#10;Description automatically generated"/>
                    <pic:cNvPicPr/>
                  </pic:nvPicPr>
                  <pic:blipFill rotWithShape="1">
                    <a:blip r:embed="rId8">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C41F8">
        <w:rPr>
          <w:noProof/>
          <w:lang w:eastAsia="en-GB"/>
        </w:rPr>
        <mc:AlternateContent>
          <mc:Choice Requires="wps">
            <w:drawing>
              <wp:anchor distT="45720" distB="45720" distL="114300" distR="114300" simplePos="0" relativeHeight="251659264" behindDoc="0" locked="0" layoutInCell="1" allowOverlap="1" wp14:anchorId="74E5E3DB" wp14:editId="74FB1C3C">
                <wp:simplePos x="0" y="0"/>
                <wp:positionH relativeFrom="column">
                  <wp:posOffset>1082675</wp:posOffset>
                </wp:positionH>
                <wp:positionV relativeFrom="paragraph">
                  <wp:posOffset>308610</wp:posOffset>
                </wp:positionV>
                <wp:extent cx="8356600"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0" cy="685800"/>
                        </a:xfrm>
                        <a:prstGeom prst="rect">
                          <a:avLst/>
                        </a:prstGeom>
                        <a:noFill/>
                        <a:ln w="9525">
                          <a:noFill/>
                          <a:miter lim="800000"/>
                          <a:headEnd/>
                          <a:tailEnd/>
                        </a:ln>
                      </wps:spPr>
                      <wps:txbx>
                        <w:txbxContent>
                          <w:p w14:paraId="71C15149" w14:textId="26299B1E" w:rsidR="007030B7" w:rsidRPr="009E2578" w:rsidRDefault="007030B7" w:rsidP="007030B7">
                            <w:pPr>
                              <w:jc w:val="center"/>
                              <w:rPr>
                                <w:sz w:val="32"/>
                                <w:szCs w:val="32"/>
                              </w:rPr>
                            </w:pPr>
                            <w:r w:rsidRPr="009E2578">
                              <w:rPr>
                                <w:b/>
                                <w:sz w:val="32"/>
                                <w:szCs w:val="32"/>
                              </w:rPr>
                              <w:t xml:space="preserve">SUMMARY OF RECOMMENDATIONS FOR </w:t>
                            </w:r>
                            <w:r w:rsidR="006E26D1">
                              <w:rPr>
                                <w:b/>
                                <w:sz w:val="32"/>
                                <w:szCs w:val="32"/>
                              </w:rPr>
                              <w:t>HNY</w:t>
                            </w:r>
                            <w:r w:rsidRPr="009E2578">
                              <w:rPr>
                                <w:b/>
                                <w:sz w:val="32"/>
                                <w:szCs w:val="32"/>
                              </w:rPr>
                              <w:t>-WIDE CONSULTATION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E5E3DB" id="_x0000_t202" coordsize="21600,21600" o:spt="202" path="m,l,21600r21600,l21600,xe">
                <v:stroke joinstyle="miter"/>
                <v:path gradientshapeok="t" o:connecttype="rect"/>
              </v:shapetype>
              <v:shape id="Text Box 2" o:spid="_x0000_s1026" type="#_x0000_t202" style="position:absolute;margin-left:85.25pt;margin-top:24.3pt;width:658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mv9wEAAM8DAAAOAAAAZHJzL2Uyb0RvYy54bWysU8tu2zAQvBfoPxC815Jd23UEy0GaNEWB&#10;9AGk/QCaoiyiJJdd0pbcr8+SchyjvRXVgeBqucOd2eH6erCGHRQGDa7m00nJmXISGu12Nf/x/f7N&#10;irMQhWuEAadqflSBX29ev1r3vlIz6MA0ChmBuFD1vuZdjL4qiiA7ZUWYgFeOki2gFZFC3BUNip7Q&#10;rSlmZbksesDGI0gVAv29G5N8k/HbVsn4tW2DiszUnHqLecW8btNabNai2qHwnZanNsQ/dGGFdnTp&#10;GepORMH2qP+CsloiBGjjRIItoG21VJkDsZmWf7B57IRXmQuJE/xZpvD/YOWXw6P/hiwO72GgAWYS&#10;wT+A/BmYg9tOuJ26QYS+U6Khi6dJsqL3oTqVJqlDFRLItv8MDQ1Z7CNkoKFFm1QhnozQaQDHs+hq&#10;iEzSz9XbxXJZUkpSbrlarGifrhDVc7XHED8qsCxtao401IwuDg8hjkefj6TLHNxrY/JgjWN9za8W&#10;s0UuuMhYHcl3RltqoEzf6IRE8oNrcnEU2ox76sW4E+tEdKQch+1ABxP7LTRH4o8w+oveA206wN+c&#10;9eStmodfe4GKM/PJkYZX0/k8mTEH88W7GQV4mdleZoSTBFVzGZGzMbiN2cIj2xtSu9VZiJdeTt2S&#10;a7KUJ4cnW17G+dTLO9w8AQAA//8DAFBLAwQUAAYACAAAACEAt57rqd4AAAALAQAADwAAAGRycy9k&#10;b3ducmV2LnhtbEyPwU7DMBBE70j8g7VIXBC1QdStQpwKIVVCFRwofIATb+Oo8TqK3TT8PdsT3GZ2&#10;R7Nvy80cejHhmLpIBh4WCgRSE11HrYHvr+39GkTKlpztI6GBH0ywqa6vSlu4eKZPnPa5FVxCqbAG&#10;fM5DIWVqPAabFnFA4t0hjsFmtmMr3WjPXB56+aiUlsF2xBe8HfDVY3Pcn4KBOz+oj/fDW711uvHH&#10;XbKrMO2Mub2ZX55BZJzzXxgu+IwOFTPV8UQuiZ79Si05auBprUFcAix4UrNaag2yKuX/H6pfAAAA&#10;//8DAFBLAQItABQABgAIAAAAIQC2gziS/gAAAOEBAAATAAAAAAAAAAAAAAAAAAAAAABbQ29udGVu&#10;dF9UeXBlc10ueG1sUEsBAi0AFAAGAAgAAAAhADj9If/WAAAAlAEAAAsAAAAAAAAAAAAAAAAALwEA&#10;AF9yZWxzLy5yZWxzUEsBAi0AFAAGAAgAAAAhAGC+aa/3AQAAzwMAAA4AAAAAAAAAAAAAAAAALgIA&#10;AGRycy9lMm9Eb2MueG1sUEsBAi0AFAAGAAgAAAAhALee66neAAAACwEAAA8AAAAAAAAAAAAAAAAA&#10;UQQAAGRycy9kb3ducmV2LnhtbFBLBQYAAAAABAAEAPMAAABcBQAAAAA=&#10;" filled="f" stroked="f">
                <v:textbox>
                  <w:txbxContent>
                    <w:p w14:paraId="71C15149" w14:textId="26299B1E" w:rsidR="007030B7" w:rsidRPr="009E2578" w:rsidRDefault="007030B7" w:rsidP="007030B7">
                      <w:pPr>
                        <w:jc w:val="center"/>
                        <w:rPr>
                          <w:sz w:val="32"/>
                          <w:szCs w:val="32"/>
                        </w:rPr>
                      </w:pPr>
                      <w:r w:rsidRPr="009E2578">
                        <w:rPr>
                          <w:b/>
                          <w:sz w:val="32"/>
                          <w:szCs w:val="32"/>
                        </w:rPr>
                        <w:t xml:space="preserve">SUMMARY OF RECOMMENDATIONS FOR </w:t>
                      </w:r>
                      <w:r w:rsidR="006E26D1">
                        <w:rPr>
                          <w:b/>
                          <w:sz w:val="32"/>
                          <w:szCs w:val="32"/>
                        </w:rPr>
                        <w:t>HNY</w:t>
                      </w:r>
                      <w:r w:rsidRPr="009E2578">
                        <w:rPr>
                          <w:b/>
                          <w:sz w:val="32"/>
                          <w:szCs w:val="32"/>
                        </w:rPr>
                        <w:t>-WIDE CONSULTATION</w:t>
                      </w:r>
                    </w:p>
                  </w:txbxContent>
                </v:textbox>
                <w10:wrap type="square"/>
              </v:shape>
            </w:pict>
          </mc:Fallback>
        </mc:AlternateContent>
      </w:r>
      <w:r w:rsidRPr="004C41F8">
        <w:rPr>
          <w:noProof/>
          <w:lang w:eastAsia="en-GB"/>
        </w:rPr>
        <w:drawing>
          <wp:anchor distT="0" distB="0" distL="114300" distR="114300" simplePos="0" relativeHeight="251661312" behindDoc="1" locked="0" layoutInCell="1" allowOverlap="1" wp14:anchorId="18B67ECE" wp14:editId="7CB0FB35">
            <wp:simplePos x="0" y="0"/>
            <wp:positionH relativeFrom="column">
              <wp:posOffset>8972550</wp:posOffset>
            </wp:positionH>
            <wp:positionV relativeFrom="paragraph">
              <wp:posOffset>0</wp:posOffset>
            </wp:positionV>
            <wp:extent cx="1259840" cy="766445"/>
            <wp:effectExtent l="0" t="0" r="0" b="0"/>
            <wp:wrapTight wrapText="bothSides">
              <wp:wrapPolygon edited="0">
                <wp:start x="0" y="0"/>
                <wp:lineTo x="0" y="20938"/>
                <wp:lineTo x="21230" y="20938"/>
                <wp:lineTo x="21230" y="0"/>
                <wp:lineTo x="0" y="0"/>
              </wp:wrapPolygon>
            </wp:wrapTight>
            <wp:docPr id="1580305060" name="Picture 158030506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05060" name="Picture 1580305060"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p>
    <w:p w14:paraId="39EEFB36" w14:textId="77777777" w:rsidR="007030B7" w:rsidRPr="004C41F8" w:rsidRDefault="007030B7" w:rsidP="007909C3">
      <w:pPr>
        <w:pStyle w:val="BodyText"/>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AE0F8"/>
        <w:tblLook w:val="01E0" w:firstRow="1" w:lastRow="1" w:firstColumn="1" w:lastColumn="1" w:noHBand="0" w:noVBand="0"/>
      </w:tblPr>
      <w:tblGrid>
        <w:gridCol w:w="7933"/>
        <w:gridCol w:w="7512"/>
      </w:tblGrid>
      <w:tr w:rsidR="00CF38AF" w:rsidRPr="004C41F8" w14:paraId="4A0106AA" w14:textId="77777777" w:rsidTr="00792C42">
        <w:trPr>
          <w:cantSplit/>
          <w:tblHeader/>
        </w:trPr>
        <w:tc>
          <w:tcPr>
            <w:tcW w:w="2568" w:type="pct"/>
            <w:shd w:val="clear" w:color="auto" w:fill="C9ECFB"/>
          </w:tcPr>
          <w:p w14:paraId="761B604A" w14:textId="0BB5FE9E" w:rsidR="00CF38AF" w:rsidRPr="004C41F8" w:rsidRDefault="00121DDE" w:rsidP="00773CBE">
            <w:pPr>
              <w:tabs>
                <w:tab w:val="clear" w:pos="975"/>
              </w:tabs>
              <w:rPr>
                <w:rFonts w:ascii="Helvetica" w:eastAsia="Calibri" w:hAnsi="Helvetica" w:cs="Helvetica"/>
                <w:b/>
              </w:rPr>
            </w:pPr>
            <w:r w:rsidRPr="004C41F8">
              <w:rPr>
                <w:rFonts w:ascii="Helvetica" w:eastAsia="Calibri" w:hAnsi="Helvetica" w:cs="Helvetica"/>
                <w:b/>
              </w:rPr>
              <w:t>Recommendations</w:t>
            </w:r>
            <w:r w:rsidR="00CF38AF" w:rsidRPr="004C41F8">
              <w:rPr>
                <w:rFonts w:ascii="Helvetica" w:eastAsia="Calibri" w:hAnsi="Helvetica" w:cs="Helvetica"/>
                <w:b/>
              </w:rPr>
              <w:t xml:space="preserve"> made by</w:t>
            </w:r>
            <w:r w:rsidRPr="004C41F8">
              <w:rPr>
                <w:rFonts w:ascii="Helvetica" w:eastAsia="Calibri" w:hAnsi="Helvetica" w:cs="Helvetica"/>
                <w:b/>
              </w:rPr>
              <w:t xml:space="preserve"> </w:t>
            </w:r>
            <w:r w:rsidR="00787BA5" w:rsidRPr="004C41F8">
              <w:rPr>
                <w:rFonts w:ascii="Helvetica" w:eastAsia="Calibri" w:hAnsi="Helvetica" w:cs="Helvetica"/>
                <w:b/>
                <w:color w:val="000000"/>
              </w:rPr>
              <w:t>the Medicines, Formulary, and Guidelines Group</w:t>
            </w:r>
            <w:r w:rsidRPr="004C41F8">
              <w:rPr>
                <w:rFonts w:ascii="Helvetica" w:eastAsia="Calibri" w:hAnsi="Helvetica" w:cs="Helvetica"/>
                <w:b/>
              </w:rPr>
              <w:t xml:space="preserve"> at their meeting on:</w:t>
            </w:r>
          </w:p>
        </w:tc>
        <w:sdt>
          <w:sdtPr>
            <w:rPr>
              <w:rFonts w:ascii="Helvetica" w:eastAsia="Calibri" w:hAnsi="Helvetica" w:cs="Helvetica"/>
              <w:bCs/>
            </w:rPr>
            <w:id w:val="-1408532192"/>
            <w:placeholder>
              <w:docPart w:val="DefaultPlaceholder_-1854013437"/>
            </w:placeholder>
            <w:date w:fullDate="2025-07-16T00:00:00Z">
              <w:dateFormat w:val="dd MMMM yyyy"/>
              <w:lid w:val="en-GB"/>
              <w:storeMappedDataAs w:val="dateTime"/>
              <w:calendar w:val="gregorian"/>
            </w:date>
          </w:sdtPr>
          <w:sdtEndPr/>
          <w:sdtContent>
            <w:tc>
              <w:tcPr>
                <w:tcW w:w="2432" w:type="pct"/>
                <w:shd w:val="clear" w:color="auto" w:fill="C9ECFB"/>
              </w:tcPr>
              <w:p w14:paraId="17CF765C" w14:textId="734CC4AC" w:rsidR="00CF38AF" w:rsidRPr="004C41F8" w:rsidRDefault="001C5068" w:rsidP="00773CBE">
                <w:pPr>
                  <w:tabs>
                    <w:tab w:val="clear" w:pos="975"/>
                  </w:tabs>
                  <w:rPr>
                    <w:rFonts w:ascii="Helvetica" w:eastAsia="Calibri" w:hAnsi="Helvetica" w:cs="Helvetica"/>
                    <w:bCs/>
                  </w:rPr>
                </w:pPr>
                <w:r w:rsidRPr="004C41F8">
                  <w:rPr>
                    <w:rFonts w:ascii="Helvetica" w:eastAsia="Calibri" w:hAnsi="Helvetica" w:cs="Helvetica"/>
                    <w:bCs/>
                  </w:rPr>
                  <w:t>16 July 2025</w:t>
                </w:r>
              </w:p>
            </w:tc>
          </w:sdtContent>
        </w:sdt>
      </w:tr>
    </w:tbl>
    <w:p w14:paraId="2E891FA4" w14:textId="77777777" w:rsidR="001F28EB" w:rsidRPr="004C41F8" w:rsidRDefault="001F28EB" w:rsidP="00383A54">
      <w:pPr>
        <w:spacing w:before="0" w:after="0"/>
        <w:rPr>
          <w:lang w:val="en-US" w:eastAsia="ja-JP"/>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5"/>
      </w:tblGrid>
      <w:tr w:rsidR="009C22A2" w:rsidRPr="004C41F8" w14:paraId="65FDC242" w14:textId="77777777" w:rsidTr="006E26D1">
        <w:trPr>
          <w:cantSplit/>
        </w:trPr>
        <w:tc>
          <w:tcPr>
            <w:tcW w:w="5000" w:type="pct"/>
            <w:shd w:val="clear" w:color="auto" w:fill="auto"/>
          </w:tcPr>
          <w:p w14:paraId="618C7F55" w14:textId="77777777" w:rsidR="009C22A2" w:rsidRPr="004C41F8" w:rsidRDefault="009C22A2" w:rsidP="006E26D1">
            <w:pPr>
              <w:tabs>
                <w:tab w:val="clear" w:pos="975"/>
              </w:tabs>
              <w:spacing w:before="120" w:after="120"/>
              <w:jc w:val="center"/>
            </w:pPr>
            <w:r w:rsidRPr="004C41F8">
              <w:rPr>
                <w:rFonts w:eastAsia="Calibri"/>
                <w:b/>
                <w:color w:val="1F497D"/>
              </w:rPr>
              <w:t>Local Recommendations</w:t>
            </w:r>
          </w:p>
        </w:tc>
      </w:tr>
    </w:tbl>
    <w:p w14:paraId="322AF07B" w14:textId="77777777" w:rsidR="00383A54" w:rsidRPr="004C41F8" w:rsidRDefault="00383A54" w:rsidP="00383A54">
      <w:pPr>
        <w:spacing w:before="0" w:after="0"/>
        <w:rPr>
          <w:lang w:val="en-US" w:eastAsia="ja-JP"/>
        </w:rPr>
      </w:pPr>
    </w:p>
    <w:tbl>
      <w:tblPr>
        <w:tblW w:w="1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693"/>
        <w:gridCol w:w="3402"/>
        <w:gridCol w:w="2410"/>
        <w:gridCol w:w="2693"/>
        <w:gridCol w:w="2261"/>
      </w:tblGrid>
      <w:tr w:rsidR="00BE73A7" w:rsidRPr="004C41F8" w14:paraId="58618552" w14:textId="77777777" w:rsidTr="001F7828">
        <w:trPr>
          <w:cantSplit/>
          <w:tblHeader/>
        </w:trPr>
        <w:tc>
          <w:tcPr>
            <w:tcW w:w="1980" w:type="dxa"/>
            <w:tcBorders>
              <w:bottom w:val="single" w:sz="4" w:space="0" w:color="auto"/>
            </w:tcBorders>
            <w:shd w:val="clear" w:color="auto" w:fill="C9ECFB"/>
          </w:tcPr>
          <w:p w14:paraId="01C0390F" w14:textId="6C3E2E00" w:rsidR="00121DDE" w:rsidRPr="004C41F8" w:rsidRDefault="00121DDE" w:rsidP="001F7828">
            <w:pPr>
              <w:tabs>
                <w:tab w:val="clear" w:pos="975"/>
              </w:tabs>
              <w:rPr>
                <w:rFonts w:eastAsia="Calibri"/>
                <w:b/>
              </w:rPr>
            </w:pPr>
            <w:bookmarkStart w:id="0" w:name="_Hlk117164764"/>
            <w:r w:rsidRPr="004C41F8">
              <w:rPr>
                <w:rFonts w:eastAsia="Calibri"/>
                <w:b/>
              </w:rPr>
              <w:t xml:space="preserve">Drug and indication </w:t>
            </w:r>
          </w:p>
        </w:tc>
        <w:tc>
          <w:tcPr>
            <w:tcW w:w="2693" w:type="dxa"/>
            <w:tcBorders>
              <w:bottom w:val="single" w:sz="4" w:space="0" w:color="auto"/>
            </w:tcBorders>
            <w:shd w:val="clear" w:color="auto" w:fill="C9ECFB"/>
          </w:tcPr>
          <w:p w14:paraId="465998DD" w14:textId="7858FD60" w:rsidR="00121DDE" w:rsidRPr="004C41F8" w:rsidRDefault="00121DDE" w:rsidP="001F7828">
            <w:pPr>
              <w:tabs>
                <w:tab w:val="clear" w:pos="975"/>
              </w:tabs>
              <w:rPr>
                <w:rFonts w:eastAsia="Calibri"/>
                <w:b/>
              </w:rPr>
            </w:pPr>
            <w:r w:rsidRPr="004C41F8">
              <w:rPr>
                <w:rFonts w:eastAsia="Calibri"/>
                <w:b/>
              </w:rPr>
              <w:t>Rationale / criteria</w:t>
            </w:r>
          </w:p>
        </w:tc>
        <w:tc>
          <w:tcPr>
            <w:tcW w:w="3402" w:type="dxa"/>
            <w:tcBorders>
              <w:bottom w:val="single" w:sz="4" w:space="0" w:color="auto"/>
            </w:tcBorders>
            <w:shd w:val="clear" w:color="auto" w:fill="C9ECFB"/>
          </w:tcPr>
          <w:p w14:paraId="764A3AC3" w14:textId="0A26EAC0" w:rsidR="00121DDE" w:rsidRPr="004C41F8" w:rsidRDefault="00121DDE" w:rsidP="001F7828">
            <w:pPr>
              <w:tabs>
                <w:tab w:val="clear" w:pos="975"/>
              </w:tabs>
              <w:rPr>
                <w:rFonts w:eastAsia="Calibri"/>
                <w:b/>
              </w:rPr>
            </w:pPr>
            <w:r w:rsidRPr="004C41F8">
              <w:rPr>
                <w:rFonts w:eastAsia="Calibri"/>
                <w:b/>
              </w:rPr>
              <w:t>Status and formulary position proposed</w:t>
            </w:r>
            <w:r w:rsidR="002544D2" w:rsidRPr="004C41F8">
              <w:rPr>
                <w:rFonts w:eastAsia="Calibri"/>
                <w:b/>
              </w:rPr>
              <w:t>*</w:t>
            </w:r>
            <w:r w:rsidRPr="004C41F8">
              <w:rPr>
                <w:rFonts w:eastAsia="Calibri"/>
                <w:b/>
              </w:rPr>
              <w:t xml:space="preserve"> </w:t>
            </w:r>
          </w:p>
        </w:tc>
        <w:tc>
          <w:tcPr>
            <w:tcW w:w="2410" w:type="dxa"/>
            <w:tcBorders>
              <w:bottom w:val="single" w:sz="4" w:space="0" w:color="auto"/>
            </w:tcBorders>
            <w:shd w:val="clear" w:color="auto" w:fill="C9ECFB"/>
          </w:tcPr>
          <w:p w14:paraId="18BD51F0" w14:textId="3CED56E6" w:rsidR="00121DDE" w:rsidRPr="004C41F8" w:rsidRDefault="00121DDE" w:rsidP="001F7828">
            <w:pPr>
              <w:tabs>
                <w:tab w:val="clear" w:pos="975"/>
              </w:tabs>
              <w:rPr>
                <w:rFonts w:eastAsia="Calibri"/>
                <w:b/>
              </w:rPr>
            </w:pPr>
            <w:r w:rsidRPr="004C41F8">
              <w:rPr>
                <w:rFonts w:eastAsia="Calibri"/>
                <w:b/>
              </w:rPr>
              <w:t>Notes on decision</w:t>
            </w:r>
          </w:p>
        </w:tc>
        <w:tc>
          <w:tcPr>
            <w:tcW w:w="2693" w:type="dxa"/>
            <w:tcBorders>
              <w:bottom w:val="single" w:sz="4" w:space="0" w:color="auto"/>
            </w:tcBorders>
            <w:shd w:val="clear" w:color="auto" w:fill="C9ECFB"/>
          </w:tcPr>
          <w:p w14:paraId="410EBF71" w14:textId="5CEC1B80" w:rsidR="00121DDE" w:rsidRPr="004C41F8" w:rsidRDefault="00121DDE" w:rsidP="001F7828">
            <w:pPr>
              <w:tabs>
                <w:tab w:val="clear" w:pos="975"/>
              </w:tabs>
              <w:rPr>
                <w:rFonts w:eastAsia="Calibri"/>
                <w:b/>
              </w:rPr>
            </w:pPr>
            <w:r w:rsidRPr="004C41F8">
              <w:rPr>
                <w:rFonts w:eastAsia="Calibri"/>
                <w:b/>
              </w:rPr>
              <w:t>Cost impact</w:t>
            </w:r>
          </w:p>
        </w:tc>
        <w:tc>
          <w:tcPr>
            <w:tcW w:w="2261" w:type="dxa"/>
            <w:tcBorders>
              <w:bottom w:val="single" w:sz="4" w:space="0" w:color="auto"/>
            </w:tcBorders>
            <w:shd w:val="clear" w:color="auto" w:fill="C9ECFB"/>
          </w:tcPr>
          <w:p w14:paraId="63DF0E3F" w14:textId="57AE4554" w:rsidR="00121DDE" w:rsidRPr="004C41F8" w:rsidRDefault="00121DDE" w:rsidP="001F7828">
            <w:pPr>
              <w:tabs>
                <w:tab w:val="clear" w:pos="975"/>
              </w:tabs>
              <w:rPr>
                <w:rFonts w:eastAsia="Calibri"/>
                <w:b/>
              </w:rPr>
            </w:pPr>
            <w:r w:rsidRPr="004C41F8">
              <w:rPr>
                <w:rFonts w:eastAsia="Calibri"/>
                <w:b/>
              </w:rPr>
              <w:t>Commissioning / service implications</w:t>
            </w:r>
          </w:p>
        </w:tc>
      </w:tr>
      <w:bookmarkEnd w:id="0"/>
      <w:tr w:rsidR="002544D2" w:rsidRPr="004C41F8" w14:paraId="23388B71" w14:textId="77777777" w:rsidTr="001F7828">
        <w:trPr>
          <w:cantSplit/>
          <w:trHeight w:val="567"/>
        </w:trPr>
        <w:tc>
          <w:tcPr>
            <w:tcW w:w="1980" w:type="dxa"/>
            <w:shd w:val="clear" w:color="auto" w:fill="auto"/>
          </w:tcPr>
          <w:p w14:paraId="44F69526" w14:textId="44082172" w:rsidR="002544D2" w:rsidRPr="004C41F8" w:rsidRDefault="007E1951" w:rsidP="001F7828">
            <w:pPr>
              <w:rPr>
                <w:b/>
                <w:bCs/>
              </w:rPr>
            </w:pPr>
            <w:r w:rsidRPr="004C41F8">
              <w:rPr>
                <w:b/>
                <w:bCs/>
              </w:rPr>
              <w:t>Rufinamide</w:t>
            </w:r>
            <w:r w:rsidR="00E9626C" w:rsidRPr="004C41F8">
              <w:rPr>
                <w:b/>
                <w:bCs/>
              </w:rPr>
              <w:t xml:space="preserve"> </w:t>
            </w:r>
            <w:r w:rsidR="00276F91" w:rsidRPr="004C41F8">
              <w:rPr>
                <w:b/>
                <w:bCs/>
              </w:rPr>
              <w:t>(Eisai Ltd)</w:t>
            </w:r>
          </w:p>
          <w:p w14:paraId="2EEA83A2" w14:textId="28A64C5F" w:rsidR="00385175" w:rsidRPr="004C41F8" w:rsidRDefault="00385175" w:rsidP="001F7828">
            <w:pPr>
              <w:rPr>
                <w:iCs/>
              </w:rPr>
            </w:pPr>
            <w:r w:rsidRPr="004C41F8">
              <w:rPr>
                <w:iCs/>
              </w:rPr>
              <w:t xml:space="preserve">Rufinamide </w:t>
            </w:r>
            <w:r w:rsidR="009E53C1" w:rsidRPr="004C41F8">
              <w:rPr>
                <w:iCs/>
              </w:rPr>
              <w:t xml:space="preserve">tablets in strengths 100mg, </w:t>
            </w:r>
            <w:r w:rsidRPr="004C41F8">
              <w:rPr>
                <w:iCs/>
              </w:rPr>
              <w:t xml:space="preserve">200mg </w:t>
            </w:r>
            <w:r w:rsidR="009E53C1" w:rsidRPr="004C41F8">
              <w:rPr>
                <w:iCs/>
              </w:rPr>
              <w:t xml:space="preserve">and </w:t>
            </w:r>
            <w:r w:rsidRPr="004C41F8">
              <w:rPr>
                <w:iCs/>
              </w:rPr>
              <w:t xml:space="preserve">400mg </w:t>
            </w:r>
          </w:p>
          <w:p w14:paraId="7F361B82" w14:textId="66CEC5F7" w:rsidR="000D4E03" w:rsidRPr="004C41F8" w:rsidRDefault="00385175" w:rsidP="001F7828">
            <w:pPr>
              <w:rPr>
                <w:iCs/>
              </w:rPr>
            </w:pPr>
            <w:r w:rsidRPr="004C41F8">
              <w:rPr>
                <w:iCs/>
              </w:rPr>
              <w:t>Rufinamide 40mg/ml</w:t>
            </w:r>
            <w:r w:rsidR="00AD3141" w:rsidRPr="004C41F8">
              <w:rPr>
                <w:iCs/>
              </w:rPr>
              <w:t xml:space="preserve"> oral suspension </w:t>
            </w:r>
            <w:r w:rsidR="009E53C1" w:rsidRPr="004C41F8">
              <w:rPr>
                <w:iCs/>
              </w:rPr>
              <w:t>s</w:t>
            </w:r>
            <w:r w:rsidR="00AD3141" w:rsidRPr="004C41F8">
              <w:rPr>
                <w:iCs/>
              </w:rPr>
              <w:t xml:space="preserve">ugar </w:t>
            </w:r>
            <w:r w:rsidR="009E53C1" w:rsidRPr="004C41F8">
              <w:rPr>
                <w:iCs/>
              </w:rPr>
              <w:t>f</w:t>
            </w:r>
            <w:r w:rsidR="00AD3141" w:rsidRPr="004C41F8">
              <w:rPr>
                <w:iCs/>
              </w:rPr>
              <w:t>ree</w:t>
            </w:r>
          </w:p>
        </w:tc>
        <w:tc>
          <w:tcPr>
            <w:tcW w:w="2693" w:type="dxa"/>
          </w:tcPr>
          <w:p w14:paraId="0F027852" w14:textId="21D6E449" w:rsidR="00054B52" w:rsidRDefault="00054B52" w:rsidP="001F7828">
            <w:pPr>
              <w:tabs>
                <w:tab w:val="clear" w:pos="975"/>
              </w:tabs>
            </w:pPr>
            <w:r>
              <w:t xml:space="preserve">Formulary </w:t>
            </w:r>
            <w:r w:rsidR="001F7828">
              <w:t>alignment</w:t>
            </w:r>
            <w:r>
              <w:t>:</w:t>
            </w:r>
          </w:p>
          <w:p w14:paraId="6517263C" w14:textId="68EE09FF" w:rsidR="007E1951" w:rsidRPr="004C41F8" w:rsidRDefault="007E1951" w:rsidP="001F7828">
            <w:pPr>
              <w:tabs>
                <w:tab w:val="clear" w:pos="975"/>
              </w:tabs>
            </w:pPr>
            <w:r w:rsidRPr="004C41F8">
              <w:t xml:space="preserve">Currently rufinamide is on NY&amp;Y formulary as </w:t>
            </w:r>
            <w:r w:rsidR="00AD3141" w:rsidRPr="004C41F8">
              <w:rPr>
                <w:iCs/>
              </w:rPr>
              <w:t>Amber – Specialist Initiation</w:t>
            </w:r>
            <w:r w:rsidR="00AD3141" w:rsidRPr="004C41F8">
              <w:t xml:space="preserve"> </w:t>
            </w:r>
            <w:r w:rsidRPr="004C41F8">
              <w:t>and Amber 2 in Hull/ERY and Red in NEL/NL.</w:t>
            </w:r>
          </w:p>
          <w:p w14:paraId="59CA3453" w14:textId="4422C8C7" w:rsidR="002544D2" w:rsidRPr="004C41F8" w:rsidRDefault="002544D2" w:rsidP="001F7828">
            <w:pPr>
              <w:tabs>
                <w:tab w:val="clear" w:pos="975"/>
              </w:tabs>
            </w:pPr>
          </w:p>
        </w:tc>
        <w:tc>
          <w:tcPr>
            <w:tcW w:w="3402" w:type="dxa"/>
            <w:shd w:val="clear" w:color="auto" w:fill="auto"/>
          </w:tcPr>
          <w:p w14:paraId="691E3971" w14:textId="0B5B7E68" w:rsidR="002915C2" w:rsidRPr="004C41F8" w:rsidRDefault="00B33D69" w:rsidP="001F7828">
            <w:pPr>
              <w:tabs>
                <w:tab w:val="clear" w:pos="975"/>
              </w:tabs>
              <w:rPr>
                <w:iCs/>
              </w:rPr>
            </w:pPr>
            <w:r w:rsidRPr="0098276F">
              <w:rPr>
                <w:b/>
                <w:bCs/>
                <w:iCs/>
              </w:rPr>
              <w:t>Amber – Specialist Initiation</w:t>
            </w:r>
            <w:r w:rsidR="00385DB1" w:rsidRPr="004C41F8">
              <w:rPr>
                <w:iCs/>
              </w:rPr>
              <w:t xml:space="preserve"> for adults and children</w:t>
            </w:r>
            <w:r w:rsidR="000E1BF5" w:rsidRPr="004C41F8">
              <w:rPr>
                <w:iCs/>
              </w:rPr>
              <w:t xml:space="preserve"> </w:t>
            </w:r>
            <w:r w:rsidR="006C4E00">
              <w:rPr>
                <w:iCs/>
              </w:rPr>
              <w:t>w</w:t>
            </w:r>
            <w:r w:rsidR="00CD6D4E" w:rsidRPr="004C41F8">
              <w:rPr>
                <w:iCs/>
              </w:rPr>
              <w:t>ith link</w:t>
            </w:r>
            <w:r w:rsidR="00CE62EB" w:rsidRPr="004C41F8">
              <w:rPr>
                <w:iCs/>
              </w:rPr>
              <w:t xml:space="preserve"> to </w:t>
            </w:r>
            <w:r w:rsidR="00CD6D4E" w:rsidRPr="004C41F8">
              <w:rPr>
                <w:iCs/>
              </w:rPr>
              <w:t xml:space="preserve">NICE NG 217 </w:t>
            </w:r>
            <w:hyperlink r:id="rId10" w:history="1">
              <w:r w:rsidR="00CD6D4E" w:rsidRPr="004C41F8">
                <w:rPr>
                  <w:rStyle w:val="Hyperlink"/>
                  <w:rFonts w:cs="Arial"/>
                  <w:iCs/>
                </w:rPr>
                <w:t>https://www.nice.org.uk/guidance/ng217</w:t>
              </w:r>
            </w:hyperlink>
            <w:r w:rsidR="00CD6D4E" w:rsidRPr="004C41F8">
              <w:rPr>
                <w:iCs/>
              </w:rPr>
              <w:t xml:space="preserve"> </w:t>
            </w:r>
          </w:p>
          <w:p w14:paraId="772FF0AE" w14:textId="77777777" w:rsidR="00CE62EB" w:rsidRPr="004C41F8" w:rsidRDefault="00CE62EB" w:rsidP="001F7828">
            <w:pPr>
              <w:tabs>
                <w:tab w:val="clear" w:pos="975"/>
              </w:tabs>
              <w:rPr>
                <w:iCs/>
              </w:rPr>
            </w:pPr>
          </w:p>
          <w:p w14:paraId="1B2CAAAC" w14:textId="77CE1E1E" w:rsidR="000F21CC" w:rsidRPr="004C41F8" w:rsidRDefault="006C4E00" w:rsidP="001F7828">
            <w:pPr>
              <w:tabs>
                <w:tab w:val="clear" w:pos="975"/>
              </w:tabs>
              <w:rPr>
                <w:iCs/>
              </w:rPr>
            </w:pPr>
            <w:r>
              <w:rPr>
                <w:iCs/>
              </w:rPr>
              <w:t xml:space="preserve">Additional Notes: </w:t>
            </w:r>
            <w:r w:rsidR="002915C2" w:rsidRPr="004C41F8">
              <w:rPr>
                <w:iCs/>
              </w:rPr>
              <w:t xml:space="preserve">Category 2 </w:t>
            </w:r>
            <w:r w:rsidR="0002610B" w:rsidRPr="004C41F8">
              <w:rPr>
                <w:iCs/>
              </w:rPr>
              <w:t>Antiepileptic</w:t>
            </w:r>
            <w:r w:rsidR="002915C2" w:rsidRPr="004C41F8">
              <w:rPr>
                <w:iCs/>
              </w:rPr>
              <w:t xml:space="preserve"> </w:t>
            </w:r>
          </w:p>
          <w:p w14:paraId="67A10984" w14:textId="444C0560" w:rsidR="000F21CC" w:rsidRPr="0002610B" w:rsidRDefault="000F21CC" w:rsidP="001F7828">
            <w:pPr>
              <w:tabs>
                <w:tab w:val="clear" w:pos="975"/>
              </w:tabs>
              <w:rPr>
                <w:iCs/>
              </w:rPr>
            </w:pPr>
            <w:r w:rsidRPr="0002610B">
              <w:rPr>
                <w:iCs/>
              </w:rPr>
              <w:t>Base the need for continued supply of a particular manufacturer’s product on clinical judgement and consultation with patient and/or carer</w:t>
            </w:r>
            <w:r w:rsidRPr="004C41F8">
              <w:rPr>
                <w:iCs/>
              </w:rPr>
              <w:t xml:space="preserve">. </w:t>
            </w:r>
            <w:proofErr w:type="gramStart"/>
            <w:r w:rsidRPr="004C41F8">
              <w:rPr>
                <w:iCs/>
              </w:rPr>
              <w:t>See;</w:t>
            </w:r>
            <w:proofErr w:type="gramEnd"/>
          </w:p>
          <w:p w14:paraId="3D4635C9" w14:textId="4AFF3FB6" w:rsidR="002915C2" w:rsidRPr="004C41F8" w:rsidRDefault="002915C2" w:rsidP="001F7828">
            <w:pPr>
              <w:tabs>
                <w:tab w:val="clear" w:pos="975"/>
              </w:tabs>
              <w:rPr>
                <w:iCs/>
              </w:rPr>
            </w:pPr>
            <w:hyperlink r:id="rId11" w:history="1">
              <w:r w:rsidRPr="004C41F8">
                <w:rPr>
                  <w:rStyle w:val="Hyperlink"/>
                  <w:rFonts w:cs="Arial"/>
                  <w:iCs/>
                </w:rPr>
                <w:t>Antiepileptic drugs: updated advice on switching between different manufacturers’ products - GOV.UK</w:t>
              </w:r>
            </w:hyperlink>
            <w:r w:rsidR="0002610B" w:rsidRPr="004C41F8">
              <w:rPr>
                <w:iCs/>
              </w:rPr>
              <w:t xml:space="preserve"> </w:t>
            </w:r>
          </w:p>
        </w:tc>
        <w:tc>
          <w:tcPr>
            <w:tcW w:w="2410" w:type="dxa"/>
            <w:shd w:val="clear" w:color="auto" w:fill="auto"/>
          </w:tcPr>
          <w:p w14:paraId="498A2D7F" w14:textId="5C375223" w:rsidR="002544D2" w:rsidRPr="004C41F8" w:rsidRDefault="00806459" w:rsidP="001F7828">
            <w:pPr>
              <w:tabs>
                <w:tab w:val="clear" w:pos="975"/>
              </w:tabs>
              <w:rPr>
                <w:rFonts w:eastAsiaTheme="minorHAnsi"/>
              </w:rPr>
            </w:pPr>
            <w:r w:rsidRPr="004C41F8">
              <w:t xml:space="preserve">Currently in Northern Lincolnshire patients </w:t>
            </w:r>
            <w:proofErr w:type="gramStart"/>
            <w:r w:rsidRPr="004C41F8">
              <w:t>have to</w:t>
            </w:r>
            <w:proofErr w:type="gramEnd"/>
            <w:r w:rsidRPr="004C41F8">
              <w:t xml:space="preserve"> get prescriptions for their prescriptions from their tertiary specialist which for paediatrics is Sheffield Children’s Hospital and adults could be either HUTH or Sheffield Teaching Hospitals</w:t>
            </w:r>
            <w:r w:rsidR="00B87989" w:rsidRPr="004C41F8">
              <w:t>.</w:t>
            </w:r>
          </w:p>
        </w:tc>
        <w:tc>
          <w:tcPr>
            <w:tcW w:w="2693" w:type="dxa"/>
          </w:tcPr>
          <w:p w14:paraId="5D012E49" w14:textId="4863E718" w:rsidR="006E3E9C" w:rsidRPr="004C41F8" w:rsidRDefault="006E3E9C" w:rsidP="001F7828">
            <w:pPr>
              <w:tabs>
                <w:tab w:val="clear" w:pos="975"/>
              </w:tabs>
              <w:rPr>
                <w:rStyle w:val="Style1"/>
                <w:rFonts w:eastAsia="MS Gothic"/>
                <w:sz w:val="18"/>
              </w:rPr>
            </w:pPr>
            <w:r w:rsidRPr="004C41F8">
              <w:rPr>
                <w:rStyle w:val="Style1"/>
                <w:rFonts w:eastAsia="MS Gothic"/>
                <w:sz w:val="18"/>
              </w:rPr>
              <w:t>No change in Hull, East Riding of Yorkshire, Vale of York and North Yorkshire from current primary care spend.</w:t>
            </w:r>
            <w:r w:rsidR="009F2D6C" w:rsidRPr="004C41F8">
              <w:rPr>
                <w:rStyle w:val="Style1"/>
                <w:rFonts w:eastAsia="MS Gothic"/>
                <w:sz w:val="18"/>
              </w:rPr>
              <w:t xml:space="preserve"> </w:t>
            </w:r>
            <w:r w:rsidRPr="004C41F8">
              <w:rPr>
                <w:rStyle w:val="Style1"/>
                <w:rFonts w:eastAsia="MS Gothic"/>
                <w:sz w:val="18"/>
              </w:rPr>
              <w:t>Potential for small increase in NEL and NL.</w:t>
            </w:r>
            <w:r w:rsidR="009F2D6C" w:rsidRPr="004C41F8">
              <w:rPr>
                <w:rStyle w:val="Style1"/>
                <w:rFonts w:eastAsia="MS Gothic"/>
                <w:sz w:val="18"/>
              </w:rPr>
              <w:t xml:space="preserve"> </w:t>
            </w:r>
            <w:r w:rsidRPr="004C41F8">
              <w:rPr>
                <w:rStyle w:val="Style1"/>
                <w:rFonts w:eastAsia="MS Gothic"/>
                <w:sz w:val="18"/>
              </w:rPr>
              <w:t xml:space="preserve">However, Lennox </w:t>
            </w:r>
            <w:proofErr w:type="spellStart"/>
            <w:r w:rsidRPr="004C41F8">
              <w:rPr>
                <w:rStyle w:val="Style1"/>
                <w:rFonts w:eastAsia="MS Gothic"/>
                <w:sz w:val="18"/>
              </w:rPr>
              <w:t>Gaustaut</w:t>
            </w:r>
            <w:proofErr w:type="spellEnd"/>
            <w:r w:rsidRPr="004C41F8">
              <w:rPr>
                <w:rStyle w:val="Style1"/>
                <w:rFonts w:eastAsia="MS Gothic"/>
                <w:sz w:val="18"/>
              </w:rPr>
              <w:t xml:space="preserve"> syndrome (LGS) is a rare epilepsy syndrome so unlikely to have huge effect.</w:t>
            </w:r>
            <w:r w:rsidR="009F2D6C" w:rsidRPr="004C41F8">
              <w:rPr>
                <w:rStyle w:val="Style1"/>
                <w:rFonts w:eastAsia="MS Gothic"/>
                <w:sz w:val="18"/>
              </w:rPr>
              <w:t xml:space="preserve"> </w:t>
            </w:r>
            <w:r w:rsidRPr="004C41F8">
              <w:rPr>
                <w:rStyle w:val="Style1"/>
                <w:rFonts w:eastAsia="MS Gothic"/>
                <w:sz w:val="18"/>
              </w:rPr>
              <w:t xml:space="preserve">Also, likely that they are already receiving via secondary or tertiary care </w:t>
            </w:r>
          </w:p>
          <w:p w14:paraId="550033EE" w14:textId="02C86617" w:rsidR="002544D2" w:rsidRPr="004C41F8" w:rsidRDefault="00FC029C" w:rsidP="001F7828">
            <w:pPr>
              <w:tabs>
                <w:tab w:val="clear" w:pos="975"/>
              </w:tabs>
            </w:pPr>
            <w:r w:rsidRPr="004C41F8">
              <w:rPr>
                <w:iCs/>
              </w:rPr>
              <w:t>No cost difference between primary and secondary care</w:t>
            </w:r>
          </w:p>
        </w:tc>
        <w:tc>
          <w:tcPr>
            <w:tcW w:w="2261" w:type="dxa"/>
            <w:shd w:val="clear" w:color="auto" w:fill="FFFFFF"/>
          </w:tcPr>
          <w:p w14:paraId="49643F2B" w14:textId="77777777" w:rsidR="002544D2" w:rsidRDefault="000D4E03" w:rsidP="001F7828">
            <w:pPr>
              <w:tabs>
                <w:tab w:val="clear" w:pos="975"/>
              </w:tabs>
            </w:pPr>
            <w:r w:rsidRPr="004C41F8">
              <w:t xml:space="preserve">There is also a cost to the trusts supplying for deliveries to </w:t>
            </w:r>
            <w:r w:rsidR="00E5071E" w:rsidRPr="004C41F8">
              <w:t>patient</w:t>
            </w:r>
            <w:r w:rsidR="00E5071E">
              <w:t>'s</w:t>
            </w:r>
            <w:r w:rsidRPr="004C41F8">
              <w:t xml:space="preserve"> home (which is likely to be quite significant for out of area deliveries).</w:t>
            </w:r>
            <w:r w:rsidR="009F2D6C" w:rsidRPr="004C41F8">
              <w:t xml:space="preserve"> </w:t>
            </w:r>
          </w:p>
          <w:p w14:paraId="03D526A7" w14:textId="12586B21" w:rsidR="001F7828" w:rsidRPr="001F7828" w:rsidRDefault="001F7828" w:rsidP="001F7828"/>
        </w:tc>
      </w:tr>
      <w:tr w:rsidR="00115A3E" w:rsidRPr="004C41F8" w14:paraId="7DCE4413" w14:textId="77777777" w:rsidTr="001F7828">
        <w:trPr>
          <w:cantSplit/>
          <w:trHeight w:val="567"/>
        </w:trPr>
        <w:tc>
          <w:tcPr>
            <w:tcW w:w="1980" w:type="dxa"/>
            <w:shd w:val="clear" w:color="auto" w:fill="auto"/>
          </w:tcPr>
          <w:p w14:paraId="7228CB26" w14:textId="32F341FD" w:rsidR="00115A3E" w:rsidRPr="0047579F" w:rsidRDefault="00115A3E" w:rsidP="001F7828">
            <w:pPr>
              <w:rPr>
                <w:b/>
                <w:bCs/>
              </w:rPr>
            </w:pPr>
            <w:r w:rsidRPr="0047579F">
              <w:rPr>
                <w:b/>
                <w:bCs/>
              </w:rPr>
              <w:t>Pho</w:t>
            </w:r>
            <w:r w:rsidR="00F3766D">
              <w:rPr>
                <w:b/>
                <w:bCs/>
              </w:rPr>
              <w:t>s</w:t>
            </w:r>
            <w:r w:rsidRPr="0047579F">
              <w:rPr>
                <w:b/>
                <w:bCs/>
              </w:rPr>
              <w:t>phate Binders for renal patients</w:t>
            </w:r>
          </w:p>
          <w:p w14:paraId="6A97BD94" w14:textId="77777777" w:rsidR="00115A3E" w:rsidRPr="0047579F" w:rsidRDefault="00115A3E" w:rsidP="001F7828">
            <w:pPr>
              <w:rPr>
                <w:b/>
                <w:bCs/>
              </w:rPr>
            </w:pPr>
          </w:p>
          <w:p w14:paraId="410FF202" w14:textId="22066685" w:rsidR="00115A3E" w:rsidRPr="0047579F" w:rsidRDefault="00115A3E" w:rsidP="001F7828">
            <w:pPr>
              <w:rPr>
                <w:b/>
                <w:bCs/>
              </w:rPr>
            </w:pPr>
            <w:r w:rsidRPr="0047579F">
              <w:rPr>
                <w:b/>
                <w:bCs/>
              </w:rPr>
              <w:t xml:space="preserve">Calcium acetate </w:t>
            </w:r>
          </w:p>
          <w:p w14:paraId="1BC4063A" w14:textId="77777777" w:rsidR="00115A3E" w:rsidRPr="0047579F" w:rsidRDefault="00115A3E" w:rsidP="001F7828">
            <w:pPr>
              <w:rPr>
                <w:b/>
                <w:bCs/>
              </w:rPr>
            </w:pPr>
            <w:r w:rsidRPr="0047579F">
              <w:rPr>
                <w:b/>
                <w:bCs/>
              </w:rPr>
              <w:t xml:space="preserve">Sevelamer carbonate/ hydrochloride </w:t>
            </w:r>
          </w:p>
          <w:p w14:paraId="4A2FAE32" w14:textId="77777777" w:rsidR="00115A3E" w:rsidRPr="0047579F" w:rsidRDefault="00115A3E" w:rsidP="001F7828">
            <w:pPr>
              <w:rPr>
                <w:b/>
                <w:bCs/>
              </w:rPr>
            </w:pPr>
            <w:r w:rsidRPr="0047579F">
              <w:rPr>
                <w:b/>
                <w:bCs/>
              </w:rPr>
              <w:t xml:space="preserve">Calcium carbonate </w:t>
            </w:r>
          </w:p>
          <w:p w14:paraId="223A86D0" w14:textId="77777777" w:rsidR="00115A3E" w:rsidRPr="0047579F" w:rsidRDefault="00115A3E" w:rsidP="001F7828">
            <w:pPr>
              <w:rPr>
                <w:b/>
                <w:bCs/>
              </w:rPr>
            </w:pPr>
            <w:proofErr w:type="spellStart"/>
            <w:r w:rsidRPr="0047579F">
              <w:rPr>
                <w:b/>
                <w:bCs/>
              </w:rPr>
              <w:t>Sucroferric</w:t>
            </w:r>
            <w:proofErr w:type="spellEnd"/>
            <w:r w:rsidRPr="0047579F">
              <w:rPr>
                <w:b/>
                <w:bCs/>
              </w:rPr>
              <w:t xml:space="preserve"> oxyhydroxide</w:t>
            </w:r>
          </w:p>
          <w:p w14:paraId="3A529A73" w14:textId="77777777" w:rsidR="00115A3E" w:rsidRPr="0047579F" w:rsidRDefault="00115A3E" w:rsidP="001F7828">
            <w:pPr>
              <w:rPr>
                <w:b/>
                <w:bCs/>
              </w:rPr>
            </w:pPr>
            <w:r w:rsidRPr="0047579F">
              <w:rPr>
                <w:b/>
                <w:bCs/>
              </w:rPr>
              <w:t xml:space="preserve">Lanthanum </w:t>
            </w:r>
          </w:p>
          <w:p w14:paraId="68018A31" w14:textId="77777777" w:rsidR="00115A3E" w:rsidRPr="004C41F8" w:rsidRDefault="00115A3E" w:rsidP="001F7828">
            <w:pPr>
              <w:rPr>
                <w:color w:val="548DD4" w:themeColor="text2" w:themeTint="99"/>
              </w:rPr>
            </w:pPr>
          </w:p>
        </w:tc>
        <w:tc>
          <w:tcPr>
            <w:tcW w:w="2693" w:type="dxa"/>
          </w:tcPr>
          <w:p w14:paraId="2BED01F5" w14:textId="0BD20CCC" w:rsidR="00054B52" w:rsidRDefault="00054B52" w:rsidP="001F7828">
            <w:r>
              <w:t>Formulary alignment:</w:t>
            </w:r>
          </w:p>
          <w:p w14:paraId="1E1F75E2" w14:textId="67323A15" w:rsidR="00115A3E" w:rsidRPr="004C41F8" w:rsidRDefault="004A0991" w:rsidP="001F7828">
            <w:r w:rsidRPr="004C41F8">
              <w:t xml:space="preserve">Adding these </w:t>
            </w:r>
            <w:r w:rsidR="00E525ED">
              <w:t>p</w:t>
            </w:r>
            <w:r w:rsidRPr="004C41F8">
              <w:t xml:space="preserve">hosphate </w:t>
            </w:r>
            <w:r w:rsidR="00E525ED">
              <w:t>b</w:t>
            </w:r>
            <w:r w:rsidR="00B62115">
              <w:t>i</w:t>
            </w:r>
            <w:r w:rsidRPr="004C41F8">
              <w:t xml:space="preserve">nders to the formulary </w:t>
            </w:r>
            <w:r w:rsidR="00D26A46">
              <w:t xml:space="preserve">NL/NEL and aligning RAG rating across the ICB </w:t>
            </w:r>
            <w:r w:rsidRPr="004C41F8">
              <w:t xml:space="preserve">will make access </w:t>
            </w:r>
            <w:r w:rsidR="00D26A46">
              <w:t>more</w:t>
            </w:r>
            <w:r w:rsidRPr="004C41F8">
              <w:t xml:space="preserve"> equitable.</w:t>
            </w:r>
          </w:p>
        </w:tc>
        <w:tc>
          <w:tcPr>
            <w:tcW w:w="3402" w:type="dxa"/>
            <w:shd w:val="clear" w:color="auto" w:fill="auto"/>
          </w:tcPr>
          <w:p w14:paraId="450836E7" w14:textId="7296920C" w:rsidR="00115A3E" w:rsidRPr="004C41F8" w:rsidRDefault="00115A3E" w:rsidP="001F7828">
            <w:pPr>
              <w:tabs>
                <w:tab w:val="clear" w:pos="975"/>
              </w:tabs>
              <w:rPr>
                <w:iCs/>
              </w:rPr>
            </w:pPr>
            <w:r w:rsidRPr="0047579F">
              <w:rPr>
                <w:b/>
                <w:bCs/>
                <w:iCs/>
              </w:rPr>
              <w:t>Amber – Specialist Recommendation</w:t>
            </w:r>
            <w:r w:rsidRPr="004C41F8">
              <w:rPr>
                <w:iCs/>
              </w:rPr>
              <w:t xml:space="preserve"> with link to </w:t>
            </w:r>
            <w:r w:rsidR="0061616B" w:rsidRPr="004C41F8">
              <w:t xml:space="preserve">NG203 </w:t>
            </w:r>
            <w:hyperlink r:id="rId12" w:history="1">
              <w:r w:rsidR="0061616B" w:rsidRPr="004C41F8">
                <w:rPr>
                  <w:rStyle w:val="Hyperlink"/>
                  <w:rFonts w:cs="Arial"/>
                </w:rPr>
                <w:t>https://www.nice.org.uk/guidance/ng203</w:t>
              </w:r>
            </w:hyperlink>
            <w:r w:rsidRPr="004C41F8">
              <w:rPr>
                <w:iCs/>
              </w:rPr>
              <w:t xml:space="preserve"> for the following drugs when used as phosphate binders in renal patients</w:t>
            </w:r>
          </w:p>
          <w:p w14:paraId="672F1B99" w14:textId="47A8D6F0" w:rsidR="00115A3E" w:rsidRPr="004C41F8" w:rsidRDefault="00115A3E" w:rsidP="001F7828">
            <w:pPr>
              <w:pStyle w:val="ListParagraph"/>
              <w:numPr>
                <w:ilvl w:val="0"/>
                <w:numId w:val="10"/>
              </w:numPr>
            </w:pPr>
            <w:r w:rsidRPr="004C41F8">
              <w:t xml:space="preserve">Calcium acetate </w:t>
            </w:r>
          </w:p>
          <w:p w14:paraId="057A46F4" w14:textId="77777777" w:rsidR="00115A3E" w:rsidRPr="004C41F8" w:rsidRDefault="00115A3E" w:rsidP="001F7828">
            <w:pPr>
              <w:pStyle w:val="ListParagraph"/>
              <w:numPr>
                <w:ilvl w:val="0"/>
                <w:numId w:val="10"/>
              </w:numPr>
            </w:pPr>
            <w:r w:rsidRPr="004C41F8">
              <w:t xml:space="preserve">Sevelamer carbonate/ hydrochloride </w:t>
            </w:r>
          </w:p>
          <w:p w14:paraId="0357CE25" w14:textId="77777777" w:rsidR="00115A3E" w:rsidRPr="004C41F8" w:rsidRDefault="00115A3E" w:rsidP="001F7828">
            <w:pPr>
              <w:pStyle w:val="ListParagraph"/>
              <w:numPr>
                <w:ilvl w:val="0"/>
                <w:numId w:val="10"/>
              </w:numPr>
            </w:pPr>
            <w:r w:rsidRPr="004C41F8">
              <w:t xml:space="preserve">Calcium carbonate </w:t>
            </w:r>
          </w:p>
          <w:p w14:paraId="2B3EA835" w14:textId="5677A2D9" w:rsidR="00115A3E" w:rsidRPr="004C41F8" w:rsidRDefault="00115A3E" w:rsidP="001F7828">
            <w:pPr>
              <w:pStyle w:val="ListParagraph"/>
              <w:numPr>
                <w:ilvl w:val="0"/>
                <w:numId w:val="10"/>
              </w:numPr>
            </w:pPr>
            <w:proofErr w:type="spellStart"/>
            <w:r w:rsidRPr="004C41F8">
              <w:t>Sucroferric</w:t>
            </w:r>
            <w:proofErr w:type="spellEnd"/>
            <w:r w:rsidRPr="004C41F8">
              <w:t xml:space="preserve"> oxyhydroxide</w:t>
            </w:r>
          </w:p>
          <w:p w14:paraId="1DC7BEDD" w14:textId="7F928E77" w:rsidR="00115A3E" w:rsidRPr="004C41F8" w:rsidRDefault="00115A3E" w:rsidP="001F7828">
            <w:pPr>
              <w:pStyle w:val="ListParagraph"/>
              <w:numPr>
                <w:ilvl w:val="0"/>
                <w:numId w:val="10"/>
              </w:numPr>
            </w:pPr>
            <w:r w:rsidRPr="004C41F8">
              <w:t xml:space="preserve">Lanthanum </w:t>
            </w:r>
          </w:p>
          <w:p w14:paraId="3870DB93" w14:textId="77777777" w:rsidR="00115A3E" w:rsidRPr="004C41F8" w:rsidRDefault="00115A3E" w:rsidP="001F7828">
            <w:pPr>
              <w:tabs>
                <w:tab w:val="clear" w:pos="975"/>
              </w:tabs>
              <w:rPr>
                <w:iCs/>
              </w:rPr>
            </w:pPr>
          </w:p>
          <w:p w14:paraId="37FA3126" w14:textId="5A05FEE6" w:rsidR="00DA1A0E" w:rsidRPr="004C41F8" w:rsidRDefault="00EA523B" w:rsidP="001F7828">
            <w:pPr>
              <w:tabs>
                <w:tab w:val="clear" w:pos="975"/>
              </w:tabs>
              <w:rPr>
                <w:b/>
                <w:bCs/>
                <w:iCs/>
              </w:rPr>
            </w:pPr>
            <w:r w:rsidRPr="004C41F8">
              <w:rPr>
                <w:b/>
                <w:bCs/>
                <w:iCs/>
              </w:rPr>
              <w:t xml:space="preserve">Monitoring and dose adjustment remains the responsibility of the </w:t>
            </w:r>
            <w:r w:rsidR="00EC51A3" w:rsidRPr="004C41F8">
              <w:rPr>
                <w:b/>
                <w:bCs/>
                <w:iCs/>
              </w:rPr>
              <w:t>specialist</w:t>
            </w:r>
          </w:p>
        </w:tc>
        <w:tc>
          <w:tcPr>
            <w:tcW w:w="2410" w:type="dxa"/>
            <w:shd w:val="clear" w:color="auto" w:fill="auto"/>
          </w:tcPr>
          <w:p w14:paraId="311C549C" w14:textId="730CE22B" w:rsidR="00115A3E" w:rsidRPr="004C41F8" w:rsidRDefault="00115A3E" w:rsidP="001F7828">
            <w:r w:rsidRPr="004C41F8">
              <w:t xml:space="preserve">In adults NG203 </w:t>
            </w:r>
            <w:hyperlink r:id="rId13" w:history="1">
              <w:r w:rsidRPr="004C41F8">
                <w:rPr>
                  <w:rStyle w:val="Hyperlink"/>
                  <w:rFonts w:cs="Arial"/>
                </w:rPr>
                <w:t>https://www.nice.org.uk/guidance/ng203</w:t>
              </w:r>
            </w:hyperlink>
            <w:r w:rsidRPr="004C41F8">
              <w:t xml:space="preserve"> recommends calcium acetate as first line phosphate binder, or sevelamer carbonate if calcium acetate is not indicated.</w:t>
            </w:r>
            <w:r w:rsidR="009F2D6C" w:rsidRPr="004C41F8">
              <w:t xml:space="preserve"> </w:t>
            </w:r>
            <w:r w:rsidRPr="004C41F8">
              <w:t xml:space="preserve">If neither calcium acetate or sevelamer carbonate can be </w:t>
            </w:r>
            <w:proofErr w:type="gramStart"/>
            <w:r w:rsidRPr="004C41F8">
              <w:t>used</w:t>
            </w:r>
            <w:proofErr w:type="gramEnd"/>
            <w:r w:rsidRPr="004C41F8">
              <w:t xml:space="preserve"> then either </w:t>
            </w:r>
            <w:proofErr w:type="spellStart"/>
            <w:r w:rsidRPr="004C41F8">
              <w:t>sucroferric</w:t>
            </w:r>
            <w:proofErr w:type="spellEnd"/>
            <w:r w:rsidRPr="004C41F8">
              <w:t xml:space="preserve"> oxyhydroxide (for dialysis patients if calcium-based phosphate binder is not needed) or calcium carbonate (if a </w:t>
            </w:r>
            <w:proofErr w:type="gramStart"/>
            <w:r w:rsidRPr="004C41F8">
              <w:t>calcium based</w:t>
            </w:r>
            <w:proofErr w:type="gramEnd"/>
            <w:r w:rsidRPr="004C41F8">
              <w:t xml:space="preserve"> phosphate binder is needed).</w:t>
            </w:r>
            <w:r w:rsidR="009F2D6C" w:rsidRPr="004C41F8">
              <w:t xml:space="preserve"> </w:t>
            </w:r>
            <w:r w:rsidRPr="004C41F8">
              <w:t>As a fourth choice i.e. if no other phosphate binders can be used lanthanum is recommended.</w:t>
            </w:r>
            <w:r w:rsidR="009F2D6C" w:rsidRPr="004C41F8">
              <w:t xml:space="preserve"> </w:t>
            </w:r>
          </w:p>
          <w:p w14:paraId="143C54AD" w14:textId="77777777" w:rsidR="00115A3E" w:rsidRPr="004C41F8" w:rsidRDefault="00115A3E" w:rsidP="001F7828">
            <w:pPr>
              <w:tabs>
                <w:tab w:val="clear" w:pos="975"/>
              </w:tabs>
              <w:rPr>
                <w:rFonts w:eastAsiaTheme="minorHAnsi"/>
              </w:rPr>
            </w:pPr>
          </w:p>
        </w:tc>
        <w:tc>
          <w:tcPr>
            <w:tcW w:w="2693" w:type="dxa"/>
          </w:tcPr>
          <w:p w14:paraId="123C97BE" w14:textId="2077DAD6" w:rsidR="002423B4" w:rsidRPr="004C41F8" w:rsidRDefault="002423B4" w:rsidP="001F7828">
            <w:pPr>
              <w:rPr>
                <w:rStyle w:val="Style1"/>
                <w:rFonts w:eastAsia="MS Gothic"/>
                <w:sz w:val="18"/>
              </w:rPr>
            </w:pPr>
            <w:r w:rsidRPr="004C41F8">
              <w:rPr>
                <w:rStyle w:val="Style1"/>
                <w:rFonts w:eastAsia="MS Gothic"/>
                <w:sz w:val="18"/>
              </w:rPr>
              <w:t>No overall change of expenditure. However, switch of expenditure from secondary care (HUTH) to primary care in NEL/NL expected. Expected that expenditure in Hull/ERY/YoY and NY will remain the same.</w:t>
            </w:r>
            <w:r w:rsidR="009F2D6C" w:rsidRPr="004C41F8">
              <w:rPr>
                <w:rStyle w:val="Style1"/>
                <w:rFonts w:eastAsia="MS Gothic"/>
                <w:sz w:val="18"/>
              </w:rPr>
              <w:t xml:space="preserve"> </w:t>
            </w:r>
          </w:p>
          <w:p w14:paraId="69892A77" w14:textId="77777777" w:rsidR="00115A3E" w:rsidRPr="004C41F8" w:rsidRDefault="00115A3E" w:rsidP="001F7828">
            <w:pPr>
              <w:tabs>
                <w:tab w:val="clear" w:pos="975"/>
              </w:tabs>
            </w:pPr>
          </w:p>
        </w:tc>
        <w:tc>
          <w:tcPr>
            <w:tcW w:w="2261" w:type="dxa"/>
            <w:shd w:val="clear" w:color="auto" w:fill="FFFFFF"/>
          </w:tcPr>
          <w:p w14:paraId="628A1D9E" w14:textId="3A207D6D" w:rsidR="00115A3E" w:rsidRPr="004C41F8" w:rsidRDefault="004A0991" w:rsidP="001F7828">
            <w:pPr>
              <w:tabs>
                <w:tab w:val="clear" w:pos="975"/>
              </w:tabs>
            </w:pPr>
            <w:r w:rsidRPr="004C41F8">
              <w:t xml:space="preserve">Northern Lincolnshire does not </w:t>
            </w:r>
            <w:r w:rsidR="00E55960" w:rsidRPr="004C41F8">
              <w:t xml:space="preserve">currently </w:t>
            </w:r>
            <w:r w:rsidRPr="004C41F8">
              <w:t xml:space="preserve">list phosphate binders within their </w:t>
            </w:r>
            <w:r w:rsidR="0061616B" w:rsidRPr="004C41F8">
              <w:t>formulary,</w:t>
            </w:r>
            <w:r w:rsidRPr="004C41F8">
              <w:t xml:space="preserve"> and this causes issues when </w:t>
            </w:r>
            <w:r w:rsidR="00E55960" w:rsidRPr="004C41F8">
              <w:t xml:space="preserve">renal </w:t>
            </w:r>
            <w:r w:rsidRPr="004C41F8">
              <w:t>patients are admitted within NLAG and require phosphate binders</w:t>
            </w:r>
            <w:r w:rsidR="00E55960" w:rsidRPr="004C41F8">
              <w:t xml:space="preserve"> as in patients. </w:t>
            </w:r>
          </w:p>
          <w:p w14:paraId="5E32EF54" w14:textId="77777777" w:rsidR="009832BB" w:rsidRPr="004C41F8" w:rsidRDefault="009832BB" w:rsidP="001F7828">
            <w:pPr>
              <w:tabs>
                <w:tab w:val="clear" w:pos="975"/>
              </w:tabs>
            </w:pPr>
          </w:p>
          <w:p w14:paraId="4E2F0B38" w14:textId="19925151" w:rsidR="009832BB" w:rsidRPr="004C41F8" w:rsidRDefault="009832BB" w:rsidP="001F7828">
            <w:r w:rsidRPr="004C41F8">
              <w:t xml:space="preserve">Patient experience – patients within NEL/NL with CKD 4-5 including dialysis currently receive their phosphate binders via HUTH outsourced </w:t>
            </w:r>
            <w:r w:rsidR="0061616B" w:rsidRPr="004C41F8">
              <w:t>outpatient</w:t>
            </w:r>
            <w:r w:rsidRPr="004C41F8">
              <w:t xml:space="preserve"> dispensaries.  Deliveries can be offered; with a potential cost impact to HUTH.  Deliveries cannot be offered in Y&amp;S and wide geography can lead to patients travelling significant distances to collect medicines.  </w:t>
            </w:r>
          </w:p>
        </w:tc>
      </w:tr>
      <w:tr w:rsidR="00115A3E" w:rsidRPr="004C41F8" w14:paraId="0FFC60BD" w14:textId="77777777" w:rsidTr="001F7828">
        <w:trPr>
          <w:cantSplit/>
          <w:trHeight w:val="567"/>
        </w:trPr>
        <w:tc>
          <w:tcPr>
            <w:tcW w:w="1980" w:type="dxa"/>
            <w:shd w:val="clear" w:color="auto" w:fill="auto"/>
          </w:tcPr>
          <w:p w14:paraId="7A65427B" w14:textId="77777777" w:rsidR="00115A3E" w:rsidRPr="006C4E00" w:rsidRDefault="00D27CD5" w:rsidP="001F7828">
            <w:pPr>
              <w:rPr>
                <w:b/>
                <w:bCs/>
              </w:rPr>
            </w:pPr>
            <w:r w:rsidRPr="006C4E00">
              <w:rPr>
                <w:b/>
                <w:bCs/>
              </w:rPr>
              <w:t>Ospemifene (</w:t>
            </w:r>
            <w:proofErr w:type="spellStart"/>
            <w:r w:rsidRPr="006C4E00">
              <w:rPr>
                <w:b/>
                <w:bCs/>
              </w:rPr>
              <w:t>Senshio</w:t>
            </w:r>
            <w:proofErr w:type="spellEnd"/>
            <w:r w:rsidRPr="006C4E00">
              <w:rPr>
                <w:b/>
                <w:bCs/>
                <w:vertAlign w:val="superscript"/>
              </w:rPr>
              <w:t>®</w:t>
            </w:r>
            <w:r w:rsidRPr="006C4E00">
              <w:rPr>
                <w:b/>
                <w:bCs/>
              </w:rPr>
              <w:t>)</w:t>
            </w:r>
          </w:p>
          <w:p w14:paraId="0F732AE1" w14:textId="77777777" w:rsidR="00D27CD5" w:rsidRPr="006C4E00" w:rsidRDefault="00D27CD5" w:rsidP="001F7828">
            <w:pPr>
              <w:rPr>
                <w:b/>
                <w:bCs/>
              </w:rPr>
            </w:pPr>
            <w:r w:rsidRPr="006C4E00">
              <w:rPr>
                <w:b/>
                <w:bCs/>
              </w:rPr>
              <w:t>60mg oral tablet</w:t>
            </w:r>
          </w:p>
          <w:p w14:paraId="1DDA8EC2" w14:textId="77777777" w:rsidR="00645A71" w:rsidRDefault="00E861D0" w:rsidP="001F7828">
            <w:pPr>
              <w:rPr>
                <w:b/>
                <w:bCs/>
              </w:rPr>
            </w:pPr>
            <w:r w:rsidRPr="006C4E00">
              <w:rPr>
                <w:b/>
                <w:bCs/>
              </w:rPr>
              <w:t>Ospemifene is indicated for the treatment of moderate to severe symptomatic vulvar and vaginal atrophy (VVA) in post-menopausal women</w:t>
            </w:r>
            <w:r w:rsidR="00645A71">
              <w:rPr>
                <w:b/>
                <w:bCs/>
              </w:rPr>
              <w:t>.</w:t>
            </w:r>
          </w:p>
          <w:p w14:paraId="17A6F395" w14:textId="737BF959" w:rsidR="00E861D0" w:rsidRPr="004C41F8" w:rsidRDefault="00645A71" w:rsidP="001F7828">
            <w:pPr>
              <w:rPr>
                <w:color w:val="548DD4" w:themeColor="text2" w:themeTint="99"/>
              </w:rPr>
            </w:pPr>
            <w:r>
              <w:rPr>
                <w:b/>
                <w:bCs/>
              </w:rPr>
              <w:t xml:space="preserve">Restricted to </w:t>
            </w:r>
            <w:proofErr w:type="spellStart"/>
            <w:r>
              <w:rPr>
                <w:b/>
                <w:bCs/>
              </w:rPr>
              <w:t>pateints</w:t>
            </w:r>
            <w:proofErr w:type="spellEnd"/>
            <w:r w:rsidR="00041DB2" w:rsidRPr="006C4E00">
              <w:rPr>
                <w:b/>
                <w:bCs/>
              </w:rPr>
              <w:t xml:space="preserve"> who are not candidates for local vaginal oestrogen therapy (unable to administer)</w:t>
            </w:r>
          </w:p>
        </w:tc>
        <w:tc>
          <w:tcPr>
            <w:tcW w:w="2693" w:type="dxa"/>
          </w:tcPr>
          <w:p w14:paraId="3FCD34F1" w14:textId="24732625" w:rsidR="00054B52" w:rsidRDefault="00054B52" w:rsidP="001F7828">
            <w:pPr>
              <w:tabs>
                <w:tab w:val="clear" w:pos="975"/>
              </w:tabs>
            </w:pPr>
            <w:r>
              <w:t>New Line Request:</w:t>
            </w:r>
          </w:p>
          <w:p w14:paraId="7ADB6767" w14:textId="00E71C04" w:rsidR="00F619CB" w:rsidRPr="004C41F8" w:rsidRDefault="00A75F72" w:rsidP="001F7828">
            <w:pPr>
              <w:tabs>
                <w:tab w:val="clear" w:pos="975"/>
              </w:tabs>
            </w:pPr>
            <w:r w:rsidRPr="004C41F8">
              <w:t>O</w:t>
            </w:r>
            <w:r w:rsidR="00F619CB" w:rsidRPr="004C41F8">
              <w:t xml:space="preserve">spemifene as an oral treatment for genitourinary symptoms, </w:t>
            </w:r>
            <w:r w:rsidR="00351DF4">
              <w:t xml:space="preserve">ONLY </w:t>
            </w:r>
            <w:r w:rsidR="00F619CB" w:rsidRPr="004C41F8">
              <w:t>if the use of locally applied treatments is impractical, for example, because of disability.</w:t>
            </w:r>
          </w:p>
        </w:tc>
        <w:tc>
          <w:tcPr>
            <w:tcW w:w="3402" w:type="dxa"/>
            <w:shd w:val="clear" w:color="auto" w:fill="auto"/>
          </w:tcPr>
          <w:p w14:paraId="66F5AEFA" w14:textId="77777777" w:rsidR="00041DB2" w:rsidRPr="0098276F" w:rsidRDefault="00E861D0" w:rsidP="001F7828">
            <w:pPr>
              <w:tabs>
                <w:tab w:val="clear" w:pos="975"/>
              </w:tabs>
              <w:rPr>
                <w:b/>
                <w:bCs/>
                <w:iCs/>
              </w:rPr>
            </w:pPr>
            <w:r w:rsidRPr="0098276F">
              <w:rPr>
                <w:b/>
                <w:bCs/>
                <w:iCs/>
              </w:rPr>
              <w:t xml:space="preserve">Green </w:t>
            </w:r>
          </w:p>
          <w:p w14:paraId="4E1AD72C" w14:textId="3112F28E" w:rsidR="00115A3E" w:rsidRPr="00A8317A" w:rsidRDefault="00041DB2" w:rsidP="001F7828">
            <w:pPr>
              <w:tabs>
                <w:tab w:val="clear" w:pos="975"/>
              </w:tabs>
              <w:rPr>
                <w:b/>
                <w:bCs/>
              </w:rPr>
            </w:pPr>
            <w:r w:rsidRPr="0098276F">
              <w:rPr>
                <w:b/>
                <w:bCs/>
                <w:iCs/>
              </w:rPr>
              <w:t>Restricted to</w:t>
            </w:r>
            <w:r w:rsidR="00E861D0" w:rsidRPr="0098276F">
              <w:rPr>
                <w:b/>
                <w:bCs/>
                <w:iCs/>
              </w:rPr>
              <w:t xml:space="preserve"> </w:t>
            </w:r>
            <w:r w:rsidR="00645A71" w:rsidRPr="006C4E00">
              <w:rPr>
                <w:b/>
                <w:bCs/>
              </w:rPr>
              <w:t>post-menopausal women who are not candidates for local vaginal oestrogen therapy (unable to administer)</w:t>
            </w:r>
          </w:p>
        </w:tc>
        <w:tc>
          <w:tcPr>
            <w:tcW w:w="2410" w:type="dxa"/>
            <w:shd w:val="clear" w:color="auto" w:fill="auto"/>
          </w:tcPr>
          <w:p w14:paraId="69D0AE03" w14:textId="77777777" w:rsidR="0012752E" w:rsidRPr="004C41F8" w:rsidRDefault="0012752E" w:rsidP="001F7828">
            <w:pPr>
              <w:tabs>
                <w:tab w:val="clear" w:pos="975"/>
              </w:tabs>
            </w:pPr>
            <w:r w:rsidRPr="004C41F8">
              <w:t xml:space="preserve">Menopause: identification and management (Last updated: 07 November 2024) </w:t>
            </w:r>
            <w:hyperlink r:id="rId14" w:history="1">
              <w:r w:rsidRPr="004C41F8">
                <w:rPr>
                  <w:rStyle w:val="Hyperlink"/>
                  <w:rFonts w:cs="Arial"/>
                </w:rPr>
                <w:t>https://www.nice.org.uk/guidance/ng23</w:t>
              </w:r>
            </w:hyperlink>
            <w:r w:rsidRPr="004C41F8">
              <w:t xml:space="preserve"> </w:t>
            </w:r>
          </w:p>
          <w:p w14:paraId="76BD9D74" w14:textId="16BB2384" w:rsidR="00115A3E" w:rsidRPr="004C41F8" w:rsidRDefault="0012752E" w:rsidP="001F7828">
            <w:pPr>
              <w:tabs>
                <w:tab w:val="clear" w:pos="975"/>
              </w:tabs>
              <w:rPr>
                <w:rFonts w:eastAsiaTheme="minorHAnsi"/>
              </w:rPr>
            </w:pPr>
            <w:r w:rsidRPr="004C41F8">
              <w:rPr>
                <w:rFonts w:eastAsiaTheme="minorHAnsi"/>
              </w:rPr>
              <w:t>Evidence showed that ospemifene was not cost-effective and could therefore not be recommended as a first-line treatment option for all people with genitourinary symptoms associated with menopause. However, the committee noted that, for some people, local application of vaginal oestrogen may be impractical. For example, people with physical or intellectual disabilities may find it difficult to use local vaginal oestrogen. Ospemifene is an oral tablet and should therefore be considered as an option in such specific circumstances</w:t>
            </w:r>
          </w:p>
        </w:tc>
        <w:tc>
          <w:tcPr>
            <w:tcW w:w="2693" w:type="dxa"/>
          </w:tcPr>
          <w:p w14:paraId="458D0209" w14:textId="77777777" w:rsidR="00115A3E" w:rsidRPr="004C41F8" w:rsidRDefault="00CB0954" w:rsidP="001F7828">
            <w:pPr>
              <w:tabs>
                <w:tab w:val="clear" w:pos="975"/>
              </w:tabs>
              <w:rPr>
                <w:bCs/>
              </w:rPr>
            </w:pPr>
            <w:r w:rsidRPr="004C41F8">
              <w:rPr>
                <w:bCs/>
              </w:rPr>
              <w:t>£39.50 per pack of 28 tablets</w:t>
            </w:r>
          </w:p>
          <w:p w14:paraId="3D35F147" w14:textId="77777777" w:rsidR="00CB0954" w:rsidRPr="004C41F8" w:rsidRDefault="00CB0954" w:rsidP="001F7828">
            <w:pPr>
              <w:tabs>
                <w:tab w:val="clear" w:pos="975"/>
              </w:tabs>
              <w:rPr>
                <w:bCs/>
              </w:rPr>
            </w:pPr>
          </w:p>
          <w:p w14:paraId="6F63F965" w14:textId="23D0F9B4" w:rsidR="00CB0954" w:rsidRPr="004C41F8" w:rsidRDefault="008C604F" w:rsidP="001F7828">
            <w:pPr>
              <w:tabs>
                <w:tab w:val="clear" w:pos="975"/>
              </w:tabs>
              <w:rPr>
                <w:bCs/>
              </w:rPr>
            </w:pPr>
            <w:r w:rsidRPr="004C41F8">
              <w:rPr>
                <w:bCs/>
              </w:rPr>
              <w:t>Comparator products</w:t>
            </w:r>
            <w:r w:rsidR="006E3847" w:rsidRPr="004C41F8">
              <w:rPr>
                <w:bCs/>
              </w:rPr>
              <w:t xml:space="preserve"> (all applied vaginally)</w:t>
            </w:r>
            <w:r w:rsidRPr="004C41F8">
              <w:rPr>
                <w:bCs/>
              </w:rPr>
              <w:t>.</w:t>
            </w:r>
          </w:p>
          <w:p w14:paraId="5B4A44DD" w14:textId="77777777" w:rsidR="005F2269" w:rsidRPr="004C41F8" w:rsidRDefault="008C604F" w:rsidP="001F7828">
            <w:pPr>
              <w:rPr>
                <w:bCs/>
              </w:rPr>
            </w:pPr>
            <w:proofErr w:type="spellStart"/>
            <w:r w:rsidRPr="004C41F8">
              <w:rPr>
                <w:bCs/>
              </w:rPr>
              <w:t>Imvaggis</w:t>
            </w:r>
            <w:proofErr w:type="spellEnd"/>
            <w:r w:rsidR="005F2269" w:rsidRPr="004C41F8">
              <w:rPr>
                <w:bCs/>
              </w:rPr>
              <w:t xml:space="preserve"> (Estriol)</w:t>
            </w:r>
            <w:r w:rsidRPr="004C41F8">
              <w:rPr>
                <w:bCs/>
              </w:rPr>
              <w:t xml:space="preserve"> </w:t>
            </w:r>
          </w:p>
          <w:p w14:paraId="69639CD6" w14:textId="4C790F3C" w:rsidR="008C604F" w:rsidRPr="004C41F8" w:rsidRDefault="008C604F" w:rsidP="001F7828">
            <w:pPr>
              <w:rPr>
                <w:bCs/>
              </w:rPr>
            </w:pPr>
            <w:r w:rsidRPr="004C41F8">
              <w:rPr>
                <w:bCs/>
              </w:rPr>
              <w:t>30</w:t>
            </w:r>
            <w:r w:rsidR="006E3847" w:rsidRPr="004C41F8">
              <w:rPr>
                <w:bCs/>
              </w:rPr>
              <w:t xml:space="preserve"> </w:t>
            </w:r>
            <w:r w:rsidRPr="004C41F8">
              <w:rPr>
                <w:bCs/>
              </w:rPr>
              <w:t>m</w:t>
            </w:r>
            <w:r w:rsidR="006E3847" w:rsidRPr="004C41F8">
              <w:rPr>
                <w:bCs/>
              </w:rPr>
              <w:t>i</w:t>
            </w:r>
            <w:r w:rsidRPr="004C41F8">
              <w:rPr>
                <w:bCs/>
              </w:rPr>
              <w:t>c</w:t>
            </w:r>
            <w:r w:rsidR="006E3847" w:rsidRPr="004C41F8">
              <w:rPr>
                <w:bCs/>
              </w:rPr>
              <w:t>ro</w:t>
            </w:r>
            <w:r w:rsidRPr="004C41F8">
              <w:rPr>
                <w:bCs/>
              </w:rPr>
              <w:t>g</w:t>
            </w:r>
            <w:r w:rsidR="006E3847" w:rsidRPr="004C41F8">
              <w:rPr>
                <w:bCs/>
              </w:rPr>
              <w:t>ram</w:t>
            </w:r>
            <w:r w:rsidRPr="004C41F8">
              <w:rPr>
                <w:bCs/>
              </w:rPr>
              <w:t xml:space="preserve"> pessaries £13.38 (24)</w:t>
            </w:r>
          </w:p>
          <w:p w14:paraId="2D84B567" w14:textId="223C365F" w:rsidR="008C604F" w:rsidRPr="004C41F8" w:rsidRDefault="008C604F" w:rsidP="001F7828">
            <w:pPr>
              <w:rPr>
                <w:bCs/>
              </w:rPr>
            </w:pPr>
            <w:r w:rsidRPr="004C41F8">
              <w:rPr>
                <w:bCs/>
              </w:rPr>
              <w:t xml:space="preserve">Estriol </w:t>
            </w:r>
            <w:r w:rsidR="00607DF4" w:rsidRPr="004C41F8">
              <w:rPr>
                <w:bCs/>
              </w:rPr>
              <w:t xml:space="preserve">500 microgram </w:t>
            </w:r>
            <w:r w:rsidRPr="004C41F8">
              <w:rPr>
                <w:bCs/>
              </w:rPr>
              <w:t>pessaries £5.45 (15)</w:t>
            </w:r>
          </w:p>
          <w:p w14:paraId="57300D54" w14:textId="77777777" w:rsidR="008C604F" w:rsidRPr="004C41F8" w:rsidRDefault="008C604F" w:rsidP="001F7828">
            <w:pPr>
              <w:rPr>
                <w:bCs/>
              </w:rPr>
            </w:pPr>
            <w:r w:rsidRPr="004C41F8">
              <w:rPr>
                <w:bCs/>
              </w:rPr>
              <w:t>Estriol 0.01% cream £5.45 (15g)</w:t>
            </w:r>
          </w:p>
          <w:p w14:paraId="634E6F9D" w14:textId="42FB7F9D" w:rsidR="008C604F" w:rsidRPr="004C41F8" w:rsidRDefault="008C604F" w:rsidP="001F7828">
            <w:pPr>
              <w:tabs>
                <w:tab w:val="clear" w:pos="975"/>
              </w:tabs>
            </w:pPr>
            <w:r w:rsidRPr="004C41F8">
              <w:rPr>
                <w:bCs/>
              </w:rPr>
              <w:t>Estriol 50</w:t>
            </w:r>
            <w:r w:rsidR="006E3847" w:rsidRPr="004C41F8">
              <w:rPr>
                <w:bCs/>
              </w:rPr>
              <w:t xml:space="preserve"> microgram </w:t>
            </w:r>
            <w:r w:rsidRPr="004C41F8">
              <w:rPr>
                <w:bCs/>
              </w:rPr>
              <w:t>/g cream £18.90 (30g)</w:t>
            </w:r>
          </w:p>
        </w:tc>
        <w:tc>
          <w:tcPr>
            <w:tcW w:w="2261" w:type="dxa"/>
            <w:shd w:val="clear" w:color="auto" w:fill="FFFFFF"/>
          </w:tcPr>
          <w:p w14:paraId="531CB945" w14:textId="35B3FEC7" w:rsidR="00115A3E" w:rsidRPr="004C41F8" w:rsidRDefault="00041DB2" w:rsidP="001F7828">
            <w:pPr>
              <w:tabs>
                <w:tab w:val="clear" w:pos="975"/>
              </w:tabs>
            </w:pPr>
            <w:r>
              <w:t>None</w:t>
            </w:r>
          </w:p>
        </w:tc>
      </w:tr>
      <w:tr w:rsidR="00F3766D" w:rsidRPr="004C41F8" w14:paraId="7D46F3E5" w14:textId="77777777" w:rsidTr="001F7828">
        <w:trPr>
          <w:cantSplit/>
          <w:trHeight w:val="567"/>
        </w:trPr>
        <w:tc>
          <w:tcPr>
            <w:tcW w:w="1980" w:type="dxa"/>
            <w:shd w:val="clear" w:color="auto" w:fill="auto"/>
          </w:tcPr>
          <w:p w14:paraId="2680B7C4" w14:textId="77777777" w:rsidR="00F3766D" w:rsidRPr="004C41F8" w:rsidRDefault="00F3766D" w:rsidP="001F7828">
            <w:pPr>
              <w:pStyle w:val="Default"/>
              <w:spacing w:before="60" w:after="60"/>
              <w:rPr>
                <w:sz w:val="18"/>
                <w:szCs w:val="18"/>
              </w:rPr>
            </w:pPr>
            <w:r w:rsidRPr="004C41F8">
              <w:rPr>
                <w:b/>
                <w:bCs/>
                <w:sz w:val="18"/>
                <w:szCs w:val="18"/>
              </w:rPr>
              <w:t xml:space="preserve">Sumatriptan / naproxen </w:t>
            </w:r>
          </w:p>
          <w:p w14:paraId="3316A176" w14:textId="77777777" w:rsidR="00F3766D" w:rsidRPr="004C41F8" w:rsidRDefault="00F3766D" w:rsidP="001F7828">
            <w:pPr>
              <w:pStyle w:val="Default"/>
              <w:spacing w:before="60" w:after="60"/>
              <w:rPr>
                <w:sz w:val="18"/>
                <w:szCs w:val="18"/>
              </w:rPr>
            </w:pPr>
            <w:r w:rsidRPr="004C41F8">
              <w:rPr>
                <w:sz w:val="18"/>
                <w:szCs w:val="18"/>
              </w:rPr>
              <w:t xml:space="preserve">85 mg/457 mg film-coated tablets </w:t>
            </w:r>
          </w:p>
          <w:p w14:paraId="063CFBBF" w14:textId="77777777" w:rsidR="00F3766D" w:rsidRPr="004C41F8" w:rsidRDefault="00F3766D" w:rsidP="001F7828">
            <w:pPr>
              <w:pStyle w:val="Default"/>
              <w:spacing w:before="60" w:after="60"/>
              <w:rPr>
                <w:sz w:val="18"/>
                <w:szCs w:val="18"/>
              </w:rPr>
            </w:pPr>
            <w:r w:rsidRPr="004C41F8">
              <w:rPr>
                <w:sz w:val="18"/>
                <w:szCs w:val="18"/>
              </w:rPr>
              <w:t>(</w:t>
            </w:r>
            <w:proofErr w:type="spellStart"/>
            <w:r w:rsidRPr="004C41F8">
              <w:rPr>
                <w:sz w:val="18"/>
                <w:szCs w:val="18"/>
              </w:rPr>
              <w:t>Suvexx</w:t>
            </w:r>
            <w:proofErr w:type="spellEnd"/>
            <w:r w:rsidRPr="004C41F8">
              <w:rPr>
                <w:sz w:val="18"/>
                <w:szCs w:val="18"/>
              </w:rPr>
              <w:t xml:space="preserve">®, Orion Pharma) </w:t>
            </w:r>
          </w:p>
          <w:p w14:paraId="0E50D5E1" w14:textId="77777777" w:rsidR="00F3766D" w:rsidRPr="006C4E00" w:rsidRDefault="00F3766D" w:rsidP="001F7828">
            <w:pPr>
              <w:rPr>
                <w:b/>
                <w:bCs/>
              </w:rPr>
            </w:pPr>
          </w:p>
        </w:tc>
        <w:tc>
          <w:tcPr>
            <w:tcW w:w="2693" w:type="dxa"/>
          </w:tcPr>
          <w:p w14:paraId="4E29C29F" w14:textId="6C9273A0" w:rsidR="00F3766D" w:rsidRPr="004C41F8" w:rsidRDefault="00F3766D" w:rsidP="001F7828">
            <w:pPr>
              <w:tabs>
                <w:tab w:val="clear" w:pos="975"/>
              </w:tabs>
            </w:pPr>
            <w:r w:rsidRPr="004C41F8">
              <w:t>This a new product</w:t>
            </w:r>
          </w:p>
        </w:tc>
        <w:tc>
          <w:tcPr>
            <w:tcW w:w="3402" w:type="dxa"/>
            <w:shd w:val="clear" w:color="auto" w:fill="auto"/>
          </w:tcPr>
          <w:p w14:paraId="331C3C35" w14:textId="496AA587" w:rsidR="00F3766D" w:rsidRPr="0098276F" w:rsidRDefault="00F3766D" w:rsidP="001F7828">
            <w:pPr>
              <w:tabs>
                <w:tab w:val="clear" w:pos="975"/>
              </w:tabs>
              <w:rPr>
                <w:b/>
                <w:bCs/>
                <w:iCs/>
              </w:rPr>
            </w:pPr>
            <w:r w:rsidRPr="006C4E00">
              <w:rPr>
                <w:b/>
                <w:bCs/>
                <w:iCs/>
              </w:rPr>
              <w:t>Not Routinely Commissioned</w:t>
            </w:r>
          </w:p>
        </w:tc>
        <w:tc>
          <w:tcPr>
            <w:tcW w:w="2410" w:type="dxa"/>
            <w:shd w:val="clear" w:color="auto" w:fill="auto"/>
          </w:tcPr>
          <w:p w14:paraId="1B5D152C" w14:textId="77777777" w:rsidR="00F3766D" w:rsidRPr="004C41F8" w:rsidRDefault="00F3766D" w:rsidP="001F7828">
            <w:pPr>
              <w:tabs>
                <w:tab w:val="clear" w:pos="975"/>
              </w:tabs>
              <w:rPr>
                <w:rFonts w:eastAsiaTheme="minorHAnsi"/>
              </w:rPr>
            </w:pPr>
            <w:r w:rsidRPr="004C41F8">
              <w:rPr>
                <w:rFonts w:eastAsiaTheme="minorHAnsi"/>
              </w:rPr>
              <w:t>Use of the single ingredients is a more cost-effective option than the combination product.</w:t>
            </w:r>
          </w:p>
          <w:p w14:paraId="5D01E664" w14:textId="77777777" w:rsidR="00F3766D" w:rsidRPr="004C41F8" w:rsidRDefault="00F3766D" w:rsidP="001F7828">
            <w:pPr>
              <w:tabs>
                <w:tab w:val="clear" w:pos="975"/>
              </w:tabs>
              <w:rPr>
                <w:rFonts w:eastAsiaTheme="minorHAnsi"/>
              </w:rPr>
            </w:pPr>
          </w:p>
          <w:p w14:paraId="5D3E8D0D" w14:textId="2CF06704" w:rsidR="00F3766D" w:rsidRPr="004C41F8" w:rsidRDefault="00F3766D" w:rsidP="001F7828">
            <w:pPr>
              <w:tabs>
                <w:tab w:val="clear" w:pos="975"/>
              </w:tabs>
            </w:pPr>
            <w:r w:rsidRPr="004C41F8">
              <w:rPr>
                <w:rFonts w:eastAsiaTheme="minorHAnsi"/>
              </w:rPr>
              <w:t>Both ingredients are on formulary and available.</w:t>
            </w:r>
          </w:p>
        </w:tc>
        <w:tc>
          <w:tcPr>
            <w:tcW w:w="2693" w:type="dxa"/>
          </w:tcPr>
          <w:p w14:paraId="1DACD262" w14:textId="77777777" w:rsidR="00F3766D" w:rsidRPr="004C41F8" w:rsidRDefault="00F3766D" w:rsidP="001F7828">
            <w:pPr>
              <w:pStyle w:val="Default"/>
              <w:spacing w:before="60" w:after="60"/>
              <w:rPr>
                <w:sz w:val="18"/>
                <w:szCs w:val="18"/>
              </w:rPr>
            </w:pPr>
            <w:proofErr w:type="spellStart"/>
            <w:r w:rsidRPr="004C41F8">
              <w:rPr>
                <w:sz w:val="18"/>
                <w:szCs w:val="18"/>
              </w:rPr>
              <w:t>Suvexx</w:t>
            </w:r>
            <w:proofErr w:type="spellEnd"/>
            <w:r w:rsidRPr="004C41F8">
              <w:rPr>
                <w:sz w:val="18"/>
                <w:szCs w:val="18"/>
              </w:rPr>
              <w:t xml:space="preserve">® 9 tablets = £36.00 </w:t>
            </w:r>
          </w:p>
          <w:p w14:paraId="0A0FA97C" w14:textId="77777777" w:rsidR="00F3766D" w:rsidRPr="004C41F8" w:rsidRDefault="00F3766D" w:rsidP="001F7828">
            <w:pPr>
              <w:pStyle w:val="Default"/>
              <w:spacing w:before="60" w:after="60"/>
              <w:rPr>
                <w:sz w:val="18"/>
                <w:szCs w:val="18"/>
              </w:rPr>
            </w:pPr>
          </w:p>
          <w:p w14:paraId="15E5B026" w14:textId="77777777" w:rsidR="00F3766D" w:rsidRPr="004C41F8" w:rsidRDefault="00F3766D" w:rsidP="001F7828">
            <w:pPr>
              <w:pStyle w:val="Default"/>
              <w:spacing w:before="60" w:after="60"/>
              <w:rPr>
                <w:sz w:val="18"/>
                <w:szCs w:val="18"/>
              </w:rPr>
            </w:pPr>
            <w:r w:rsidRPr="004C41F8">
              <w:rPr>
                <w:sz w:val="18"/>
                <w:szCs w:val="18"/>
              </w:rPr>
              <w:t xml:space="preserve">Drug tariff price for components: </w:t>
            </w:r>
          </w:p>
          <w:p w14:paraId="27A35AD4" w14:textId="77777777" w:rsidR="00F3766D" w:rsidRPr="004C41F8" w:rsidRDefault="00F3766D" w:rsidP="001F7828">
            <w:pPr>
              <w:pStyle w:val="Default"/>
              <w:spacing w:before="60" w:after="60"/>
              <w:rPr>
                <w:sz w:val="18"/>
                <w:szCs w:val="18"/>
              </w:rPr>
            </w:pPr>
            <w:r w:rsidRPr="004C41F8">
              <w:rPr>
                <w:sz w:val="18"/>
                <w:szCs w:val="18"/>
              </w:rPr>
              <w:t xml:space="preserve">28 x naproxen 500mg = £1.37 </w:t>
            </w:r>
          </w:p>
          <w:p w14:paraId="40E03342" w14:textId="77777777" w:rsidR="00F3766D" w:rsidRPr="004C41F8" w:rsidRDefault="00F3766D" w:rsidP="001F7828">
            <w:pPr>
              <w:pStyle w:val="Default"/>
              <w:spacing w:before="60" w:after="60"/>
              <w:rPr>
                <w:sz w:val="18"/>
                <w:szCs w:val="18"/>
              </w:rPr>
            </w:pPr>
            <w:r w:rsidRPr="004C41F8">
              <w:rPr>
                <w:sz w:val="18"/>
                <w:szCs w:val="18"/>
              </w:rPr>
              <w:t xml:space="preserve">6 x sumatriptan 100mg = £1.17 </w:t>
            </w:r>
          </w:p>
          <w:p w14:paraId="741B4650" w14:textId="77777777" w:rsidR="00F3766D" w:rsidRPr="004C41F8" w:rsidRDefault="00F3766D" w:rsidP="001F7828">
            <w:pPr>
              <w:pStyle w:val="Default"/>
              <w:spacing w:before="60" w:after="60"/>
              <w:rPr>
                <w:sz w:val="18"/>
                <w:szCs w:val="18"/>
              </w:rPr>
            </w:pPr>
            <w:r w:rsidRPr="004C41F8">
              <w:rPr>
                <w:sz w:val="18"/>
                <w:szCs w:val="18"/>
              </w:rPr>
              <w:t xml:space="preserve">Total cost for 9 doses = £2.20 </w:t>
            </w:r>
          </w:p>
          <w:p w14:paraId="55655503" w14:textId="77777777" w:rsidR="00F3766D" w:rsidRPr="004C41F8" w:rsidRDefault="00F3766D" w:rsidP="001F7828">
            <w:pPr>
              <w:pStyle w:val="Default"/>
              <w:spacing w:before="60" w:after="60"/>
              <w:rPr>
                <w:sz w:val="18"/>
                <w:szCs w:val="18"/>
              </w:rPr>
            </w:pPr>
          </w:p>
          <w:p w14:paraId="43B616B8" w14:textId="77777777" w:rsidR="00F3766D" w:rsidRPr="004C41F8" w:rsidRDefault="00F3766D" w:rsidP="001F7828">
            <w:pPr>
              <w:tabs>
                <w:tab w:val="clear" w:pos="975"/>
              </w:tabs>
              <w:rPr>
                <w:bCs/>
              </w:rPr>
            </w:pPr>
          </w:p>
        </w:tc>
        <w:tc>
          <w:tcPr>
            <w:tcW w:w="2261" w:type="dxa"/>
            <w:shd w:val="clear" w:color="auto" w:fill="FFFFFF"/>
          </w:tcPr>
          <w:p w14:paraId="2B7B27F0" w14:textId="77777777" w:rsidR="00F3766D" w:rsidRPr="004C41F8" w:rsidRDefault="00F3766D" w:rsidP="001F7828">
            <w:pPr>
              <w:tabs>
                <w:tab w:val="clear" w:pos="975"/>
              </w:tabs>
            </w:pPr>
            <w:r w:rsidRPr="004C41F8">
              <w:t>None</w:t>
            </w:r>
          </w:p>
          <w:p w14:paraId="2EB7DF7B" w14:textId="77777777" w:rsidR="00F3766D" w:rsidRPr="004C41F8" w:rsidRDefault="00F3766D" w:rsidP="001F7828">
            <w:pPr>
              <w:tabs>
                <w:tab w:val="clear" w:pos="975"/>
              </w:tabs>
            </w:pPr>
          </w:p>
          <w:p w14:paraId="3B92795F" w14:textId="77777777" w:rsidR="00F3766D" w:rsidRDefault="00F3766D" w:rsidP="001F7828">
            <w:pPr>
              <w:tabs>
                <w:tab w:val="clear" w:pos="975"/>
              </w:tabs>
            </w:pPr>
          </w:p>
        </w:tc>
      </w:tr>
    </w:tbl>
    <w:p w14:paraId="750ACE10" w14:textId="31D9DCD0" w:rsidR="006E26D1" w:rsidRPr="004C41F8" w:rsidRDefault="006E26D1" w:rsidP="00383A54">
      <w:pPr>
        <w:spacing w:before="0" w:after="0"/>
        <w:rPr>
          <w:lang w:val="en-US" w:eastAsia="ja-JP"/>
        </w:rPr>
      </w:pPr>
    </w:p>
    <w:p w14:paraId="4E883551" w14:textId="2CF28429" w:rsidR="006629FB" w:rsidRPr="004C41F8" w:rsidRDefault="003A01D0" w:rsidP="00B769B6">
      <w:pPr>
        <w:tabs>
          <w:tab w:val="clear" w:pos="975"/>
        </w:tabs>
        <w:spacing w:before="0" w:after="0"/>
        <w:rPr>
          <w:lang w:val="en-US" w:eastAsia="ja-JP"/>
        </w:rPr>
      </w:pPr>
      <w:r w:rsidRPr="004C41F8">
        <w:rPr>
          <w:lang w:val="en-US" w:eastAsia="ja-JP"/>
        </w:rPr>
        <w:br w:type="page"/>
      </w:r>
    </w:p>
    <w:tbl>
      <w:tblPr>
        <w:tblpPr w:leftFromText="180" w:rightFromText="180" w:vertAnchor="text" w:horzAnchor="margin" w:tblpX="-22" w:tblpY="21"/>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5"/>
      </w:tblGrid>
      <w:tr w:rsidR="009C22A2" w:rsidRPr="004C41F8" w14:paraId="662A5E34" w14:textId="77777777" w:rsidTr="00FC43D3">
        <w:trPr>
          <w:cantSplit/>
        </w:trPr>
        <w:tc>
          <w:tcPr>
            <w:tcW w:w="5000" w:type="pct"/>
            <w:tcBorders>
              <w:bottom w:val="single" w:sz="4" w:space="0" w:color="auto"/>
            </w:tcBorders>
            <w:shd w:val="clear" w:color="auto" w:fill="auto"/>
          </w:tcPr>
          <w:p w14:paraId="1334A854" w14:textId="77777777" w:rsidR="009C22A2" w:rsidRPr="004C41F8" w:rsidRDefault="009C22A2" w:rsidP="00901B84">
            <w:pPr>
              <w:tabs>
                <w:tab w:val="clear" w:pos="975"/>
              </w:tabs>
              <w:spacing w:before="120" w:after="120"/>
              <w:jc w:val="center"/>
            </w:pPr>
            <w:r w:rsidRPr="004C41F8">
              <w:rPr>
                <w:rFonts w:eastAsia="Calibri"/>
                <w:b/>
                <w:color w:val="1F497D"/>
              </w:rPr>
              <w:lastRenderedPageBreak/>
              <w:t>NICE Technology Appraisals and Guidance</w:t>
            </w:r>
          </w:p>
        </w:tc>
      </w:tr>
    </w:tbl>
    <w:p w14:paraId="5CAD0D84" w14:textId="77777777" w:rsidR="001F7828" w:rsidRDefault="001F7828"/>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5"/>
        <w:gridCol w:w="2552"/>
        <w:gridCol w:w="2774"/>
        <w:gridCol w:w="3036"/>
        <w:gridCol w:w="2978"/>
      </w:tblGrid>
      <w:tr w:rsidR="00B769B6" w:rsidRPr="004C41F8" w14:paraId="10FB86C7" w14:textId="77777777" w:rsidTr="001F7828">
        <w:trPr>
          <w:cantSplit/>
          <w:tblHeader/>
        </w:trPr>
        <w:tc>
          <w:tcPr>
            <w:tcW w:w="1329" w:type="pct"/>
            <w:shd w:val="clear" w:color="auto" w:fill="C9ECFB"/>
          </w:tcPr>
          <w:p w14:paraId="3B7B3EF7" w14:textId="451C088D" w:rsidR="00B769B6" w:rsidRPr="00B769B6" w:rsidRDefault="00B769B6" w:rsidP="001F7828">
            <w:pPr>
              <w:tabs>
                <w:tab w:val="clear" w:pos="975"/>
              </w:tabs>
              <w:rPr>
                <w:rFonts w:eastAsia="Calibri"/>
                <w:b/>
                <w:color w:val="1F497D"/>
              </w:rPr>
            </w:pPr>
            <w:r w:rsidRPr="00B769B6">
              <w:rPr>
                <w:rFonts w:eastAsia="Calibri"/>
                <w:b/>
              </w:rPr>
              <w:t>NICE Technology appraisal or guidance</w:t>
            </w:r>
          </w:p>
        </w:tc>
        <w:tc>
          <w:tcPr>
            <w:tcW w:w="826" w:type="pct"/>
            <w:shd w:val="clear" w:color="auto" w:fill="C9ECFB"/>
          </w:tcPr>
          <w:p w14:paraId="022B5B68" w14:textId="496F28F0" w:rsidR="00B769B6" w:rsidRPr="00B769B6" w:rsidRDefault="00B769B6" w:rsidP="001F7828">
            <w:pPr>
              <w:tabs>
                <w:tab w:val="clear" w:pos="975"/>
              </w:tabs>
              <w:rPr>
                <w:rFonts w:eastAsia="Calibri"/>
                <w:b/>
                <w:color w:val="1F497D"/>
              </w:rPr>
            </w:pPr>
            <w:r w:rsidRPr="00B769B6">
              <w:rPr>
                <w:rFonts w:eastAsia="Calibri"/>
                <w:b/>
              </w:rPr>
              <w:t>Status and formulary position assigned</w:t>
            </w:r>
          </w:p>
        </w:tc>
        <w:tc>
          <w:tcPr>
            <w:tcW w:w="898" w:type="pct"/>
            <w:shd w:val="clear" w:color="auto" w:fill="C9ECFB"/>
          </w:tcPr>
          <w:p w14:paraId="545E57CE" w14:textId="48825581" w:rsidR="00B769B6" w:rsidRPr="00B769B6" w:rsidRDefault="00B769B6" w:rsidP="001F7828">
            <w:pPr>
              <w:tabs>
                <w:tab w:val="clear" w:pos="975"/>
              </w:tabs>
              <w:rPr>
                <w:rFonts w:eastAsia="Calibri"/>
                <w:b/>
                <w:color w:val="1F497D"/>
              </w:rPr>
            </w:pPr>
            <w:r w:rsidRPr="00B769B6">
              <w:rPr>
                <w:rFonts w:eastAsia="Calibri"/>
                <w:b/>
              </w:rPr>
              <w:t>Notes on decision</w:t>
            </w:r>
          </w:p>
        </w:tc>
        <w:tc>
          <w:tcPr>
            <w:tcW w:w="983" w:type="pct"/>
            <w:shd w:val="clear" w:color="auto" w:fill="C9ECFB"/>
          </w:tcPr>
          <w:p w14:paraId="425B6E6D" w14:textId="4B17194B" w:rsidR="00B769B6" w:rsidRPr="00B769B6" w:rsidRDefault="00B769B6" w:rsidP="001F7828">
            <w:pPr>
              <w:tabs>
                <w:tab w:val="clear" w:pos="975"/>
              </w:tabs>
              <w:rPr>
                <w:rFonts w:eastAsia="Calibri"/>
                <w:b/>
                <w:color w:val="1F497D"/>
              </w:rPr>
            </w:pPr>
            <w:r w:rsidRPr="00B769B6">
              <w:rPr>
                <w:rFonts w:eastAsia="Calibri"/>
                <w:b/>
              </w:rPr>
              <w:t>Cost impact</w:t>
            </w:r>
          </w:p>
        </w:tc>
        <w:tc>
          <w:tcPr>
            <w:tcW w:w="963" w:type="pct"/>
            <w:shd w:val="clear" w:color="auto" w:fill="C9ECFB"/>
          </w:tcPr>
          <w:p w14:paraId="1E85E053" w14:textId="50322D82" w:rsidR="00B769B6" w:rsidRPr="00B769B6" w:rsidRDefault="00B769B6" w:rsidP="001F7828">
            <w:pPr>
              <w:tabs>
                <w:tab w:val="clear" w:pos="975"/>
              </w:tabs>
              <w:rPr>
                <w:rFonts w:eastAsia="Calibri"/>
                <w:b/>
                <w:color w:val="1F497D"/>
              </w:rPr>
            </w:pPr>
            <w:r w:rsidRPr="00B769B6">
              <w:rPr>
                <w:rFonts w:eastAsia="Calibri"/>
                <w:b/>
              </w:rPr>
              <w:t>Commissioning / service implications</w:t>
            </w:r>
          </w:p>
        </w:tc>
      </w:tr>
      <w:tr w:rsidR="00FC43D3" w:rsidRPr="004C41F8" w14:paraId="1B4C3BF2" w14:textId="77777777" w:rsidTr="001F7828">
        <w:trPr>
          <w:cantSplit/>
        </w:trPr>
        <w:tc>
          <w:tcPr>
            <w:tcW w:w="1329" w:type="pct"/>
            <w:shd w:val="clear" w:color="auto" w:fill="auto"/>
          </w:tcPr>
          <w:p w14:paraId="5C99F775" w14:textId="77777777" w:rsidR="00054B52" w:rsidRPr="004C41F8" w:rsidRDefault="00054B52" w:rsidP="001F7828">
            <w:pPr>
              <w:tabs>
                <w:tab w:val="clear" w:pos="975"/>
              </w:tabs>
              <w:rPr>
                <w:b/>
                <w:bCs/>
              </w:rPr>
            </w:pPr>
            <w:hyperlink r:id="rId15" w:history="1">
              <w:r w:rsidRPr="004C41F8">
                <w:rPr>
                  <w:rStyle w:val="Hyperlink"/>
                  <w:rFonts w:cs="Arial"/>
                  <w:b/>
                  <w:bCs/>
                </w:rPr>
                <w:t>TA1067: Linzagolix for treating symptoms of endometriosis</w:t>
              </w:r>
            </w:hyperlink>
          </w:p>
          <w:p w14:paraId="19B72849" w14:textId="77777777" w:rsidR="00054B52" w:rsidRPr="004C41F8" w:rsidRDefault="00054B52" w:rsidP="001F7828">
            <w:pPr>
              <w:tabs>
                <w:tab w:val="clear" w:pos="975"/>
              </w:tabs>
              <w:rPr>
                <w:b/>
                <w:bCs/>
              </w:rPr>
            </w:pPr>
            <w:r w:rsidRPr="004C41F8">
              <w:rPr>
                <w:b/>
                <w:bCs/>
              </w:rPr>
              <w:t>4 June 2025</w:t>
            </w:r>
          </w:p>
          <w:p w14:paraId="229137C3" w14:textId="77777777" w:rsidR="00054B52" w:rsidRPr="004C41F8" w:rsidRDefault="00054B52" w:rsidP="001F7828">
            <w:pPr>
              <w:tabs>
                <w:tab w:val="clear" w:pos="975"/>
              </w:tabs>
              <w:rPr>
                <w:b/>
                <w:bCs/>
              </w:rPr>
            </w:pPr>
            <w:r w:rsidRPr="004C41F8">
              <w:rPr>
                <w:b/>
                <w:bCs/>
              </w:rPr>
              <w:t>Commissioning: ICB</w:t>
            </w:r>
          </w:p>
          <w:p w14:paraId="3814F301" w14:textId="77777777" w:rsidR="00054B52" w:rsidRPr="004C41F8" w:rsidRDefault="00054B52" w:rsidP="001F7828">
            <w:r w:rsidRPr="004C41F8">
              <w:t>Linzagolix with hormonal add-back therapy can be used within its marketing authorisation as an option to treat symptoms of endometriosis in adults of reproductive age who have had medical or surgical treatment for their endometriosis.</w:t>
            </w:r>
          </w:p>
          <w:p w14:paraId="45D4313D" w14:textId="77777777" w:rsidR="00FC43D3" w:rsidRPr="00B769B6" w:rsidRDefault="00FC43D3" w:rsidP="001F7828">
            <w:pPr>
              <w:tabs>
                <w:tab w:val="clear" w:pos="975"/>
              </w:tabs>
              <w:rPr>
                <w:rFonts w:eastAsia="Calibri"/>
                <w:b/>
              </w:rPr>
            </w:pPr>
          </w:p>
        </w:tc>
        <w:tc>
          <w:tcPr>
            <w:tcW w:w="826" w:type="pct"/>
            <w:shd w:val="clear" w:color="auto" w:fill="auto"/>
          </w:tcPr>
          <w:p w14:paraId="637A107F" w14:textId="32BDD571" w:rsidR="00054B52" w:rsidRDefault="00054B52" w:rsidP="001F7828">
            <w:r w:rsidRPr="004C41F8">
              <w:t>Add to formulary as an Amber - Specialist Initiation drug in this indication, with links to TA1067.</w:t>
            </w:r>
            <w:r w:rsidR="00D34802">
              <w:t xml:space="preserve"> </w:t>
            </w:r>
          </w:p>
          <w:p w14:paraId="66AA3038" w14:textId="77777777" w:rsidR="006C378C" w:rsidRDefault="006C378C" w:rsidP="001F7828"/>
          <w:p w14:paraId="6BA50600" w14:textId="0922EE31" w:rsidR="0008216B" w:rsidRPr="004C41F8" w:rsidRDefault="0008216B" w:rsidP="001F7828">
            <w:r w:rsidRPr="0008216B">
              <w:t xml:space="preserve">Patient is to remain under the care of a specialist at least until the </w:t>
            </w:r>
            <w:proofErr w:type="gramStart"/>
            <w:r w:rsidRPr="0008216B">
              <w:t>1 year</w:t>
            </w:r>
            <w:proofErr w:type="gramEnd"/>
            <w:r w:rsidRPr="0008216B">
              <w:t xml:space="preserve"> DXA scan is reviewed.</w:t>
            </w:r>
          </w:p>
          <w:p w14:paraId="5CD7C6A8" w14:textId="77777777" w:rsidR="00054B52" w:rsidRPr="004C41F8" w:rsidRDefault="00054B52" w:rsidP="001F7828"/>
          <w:p w14:paraId="5CECF1CC" w14:textId="77777777" w:rsidR="00054B52" w:rsidRPr="004C41F8" w:rsidRDefault="00054B52" w:rsidP="001F7828">
            <w:pPr>
              <w:tabs>
                <w:tab w:val="clear" w:pos="975"/>
              </w:tabs>
            </w:pPr>
            <w:r w:rsidRPr="004C41F8">
              <w:t>On formulary for fibroids as per NICE TA996</w:t>
            </w:r>
          </w:p>
          <w:p w14:paraId="090505FD" w14:textId="77777777" w:rsidR="00054B52" w:rsidRPr="004C41F8" w:rsidRDefault="00054B52" w:rsidP="001F7828">
            <w:pPr>
              <w:tabs>
                <w:tab w:val="clear" w:pos="975"/>
              </w:tabs>
            </w:pPr>
            <w:r w:rsidRPr="004C41F8">
              <w:t xml:space="preserve">NY&amp;Y: </w:t>
            </w:r>
          </w:p>
          <w:p w14:paraId="20C37D73" w14:textId="77777777" w:rsidR="00054B52" w:rsidRPr="004C41F8" w:rsidRDefault="00054B52" w:rsidP="001F7828">
            <w:pPr>
              <w:tabs>
                <w:tab w:val="clear" w:pos="975"/>
              </w:tabs>
            </w:pPr>
            <w:r w:rsidRPr="004C41F8">
              <w:t>Amber (specialist initiation or recommendation)</w:t>
            </w:r>
          </w:p>
          <w:p w14:paraId="06B063A5" w14:textId="77777777" w:rsidR="00054B52" w:rsidRPr="004C41F8" w:rsidRDefault="00054B52" w:rsidP="001F7828">
            <w:pPr>
              <w:tabs>
                <w:tab w:val="clear" w:pos="975"/>
              </w:tabs>
            </w:pPr>
            <w:r w:rsidRPr="004C41F8">
              <w:t>Humber:</w:t>
            </w:r>
          </w:p>
          <w:p w14:paraId="7871DE2D" w14:textId="37EB73A1" w:rsidR="00FC43D3" w:rsidRPr="00B769B6" w:rsidRDefault="00054B52" w:rsidP="001F7828">
            <w:pPr>
              <w:tabs>
                <w:tab w:val="clear" w:pos="975"/>
              </w:tabs>
              <w:rPr>
                <w:rFonts w:eastAsia="Calibri"/>
                <w:b/>
              </w:rPr>
            </w:pPr>
            <w:r w:rsidRPr="004C41F8">
              <w:t>Amber (as per HNY classification)</w:t>
            </w:r>
          </w:p>
        </w:tc>
        <w:tc>
          <w:tcPr>
            <w:tcW w:w="898" w:type="pct"/>
            <w:shd w:val="clear" w:color="auto" w:fill="auto"/>
          </w:tcPr>
          <w:p w14:paraId="3074B35D" w14:textId="792D2711" w:rsidR="00E26D7B" w:rsidRDefault="00E26D7B" w:rsidP="001F7828">
            <w:pPr>
              <w:tabs>
                <w:tab w:val="clear" w:pos="975"/>
              </w:tabs>
            </w:pPr>
            <w:r w:rsidRPr="00643A85">
              <w:rPr>
                <w:iCs/>
              </w:rPr>
              <w:t>Relugolix combination therapy (CT)</w:t>
            </w:r>
            <w:r>
              <w:rPr>
                <w:iCs/>
              </w:rPr>
              <w:t xml:space="preserve"> </w:t>
            </w:r>
            <w:r w:rsidR="000959AE">
              <w:rPr>
                <w:iCs/>
              </w:rPr>
              <w:t xml:space="preserve">was recommended as an option for treatment in </w:t>
            </w:r>
            <w:hyperlink r:id="rId16" w:history="1">
              <w:r w:rsidR="000959AE" w:rsidRPr="006151D0">
                <w:rPr>
                  <w:rStyle w:val="Hyperlink"/>
                  <w:rFonts w:cs="Arial"/>
                  <w:iCs/>
                </w:rPr>
                <w:t>NICE TA1057</w:t>
              </w:r>
            </w:hyperlink>
            <w:r>
              <w:t>.</w:t>
            </w:r>
          </w:p>
          <w:p w14:paraId="56062F11" w14:textId="4F91F23F" w:rsidR="00054B52" w:rsidRPr="004C41F8" w:rsidRDefault="00643A85" w:rsidP="001F7828">
            <w:pPr>
              <w:tabs>
                <w:tab w:val="clear" w:pos="975"/>
              </w:tabs>
              <w:rPr>
                <w:iCs/>
              </w:rPr>
            </w:pPr>
            <w:r w:rsidRPr="00643A85">
              <w:rPr>
                <w:iCs/>
              </w:rPr>
              <w:t>Relugolix CT</w:t>
            </w:r>
            <w:r w:rsidR="00054B52" w:rsidRPr="004C41F8">
              <w:rPr>
                <w:iCs/>
              </w:rPr>
              <w:t xml:space="preserve"> and linzagolix are both oral treatments, while GnRH agonists are mostly subcutaneous injections. Intranasal options are available but not generally used in the NHS </w:t>
            </w:r>
          </w:p>
          <w:p w14:paraId="7B76855D" w14:textId="77777777" w:rsidR="006C2FB5" w:rsidRDefault="006C2FB5" w:rsidP="001F7828">
            <w:pPr>
              <w:tabs>
                <w:tab w:val="clear" w:pos="975"/>
              </w:tabs>
              <w:rPr>
                <w:rFonts w:eastAsia="Calibri"/>
                <w:bCs/>
              </w:rPr>
            </w:pPr>
          </w:p>
          <w:p w14:paraId="4C9144C6" w14:textId="1D0BEFA5" w:rsidR="006F55B2" w:rsidRDefault="00054B52" w:rsidP="001F7828">
            <w:pPr>
              <w:tabs>
                <w:tab w:val="clear" w:pos="975"/>
              </w:tabs>
              <w:rPr>
                <w:iCs/>
              </w:rPr>
            </w:pPr>
            <w:r w:rsidRPr="001F6F4E">
              <w:rPr>
                <w:rFonts w:eastAsia="Calibri"/>
                <w:bCs/>
              </w:rPr>
              <w:t>Relugolix</w:t>
            </w:r>
            <w:r w:rsidR="00850941" w:rsidRPr="001F6F4E">
              <w:rPr>
                <w:rFonts w:eastAsia="Calibri"/>
                <w:bCs/>
              </w:rPr>
              <w:t xml:space="preserve"> CT</w:t>
            </w:r>
            <w:r w:rsidR="001F6F4E" w:rsidRPr="001F6F4E">
              <w:rPr>
                <w:bCs/>
              </w:rPr>
              <w:t xml:space="preserve"> </w:t>
            </w:r>
            <w:r w:rsidR="001F6F4E">
              <w:rPr>
                <w:bCs/>
              </w:rPr>
              <w:t>(</w:t>
            </w:r>
            <w:r w:rsidR="001F6F4E" w:rsidRPr="001F6F4E">
              <w:rPr>
                <w:rFonts w:eastAsia="Calibri"/>
                <w:bCs/>
              </w:rPr>
              <w:t>estradiol hemihydrate, norethisterone acetate, relugolix</w:t>
            </w:r>
            <w:r w:rsidR="001F6F4E">
              <w:rPr>
                <w:rFonts w:eastAsia="Calibri"/>
                <w:bCs/>
              </w:rPr>
              <w:t>) includes fixed</w:t>
            </w:r>
            <w:r w:rsidR="00A40B41">
              <w:rPr>
                <w:rFonts w:eastAsia="Calibri"/>
                <w:bCs/>
              </w:rPr>
              <w:t xml:space="preserve"> dose hormonal add back therapy. </w:t>
            </w:r>
            <w:r w:rsidR="00267904">
              <w:rPr>
                <w:rFonts w:eastAsia="Calibri"/>
                <w:bCs/>
              </w:rPr>
              <w:t>Additional add back therapy is required alongside</w:t>
            </w:r>
            <w:r w:rsidR="00A40B41" w:rsidRPr="004C41F8">
              <w:rPr>
                <w:iCs/>
              </w:rPr>
              <w:t xml:space="preserve"> </w:t>
            </w:r>
            <w:r w:rsidR="00A40B41">
              <w:rPr>
                <w:iCs/>
              </w:rPr>
              <w:t>L</w:t>
            </w:r>
            <w:r w:rsidR="00A40B41" w:rsidRPr="004C41F8">
              <w:rPr>
                <w:iCs/>
              </w:rPr>
              <w:t>inzagolix</w:t>
            </w:r>
            <w:r w:rsidR="00BE00E8">
              <w:rPr>
                <w:iCs/>
              </w:rPr>
              <w:t xml:space="preserve"> </w:t>
            </w:r>
            <w:r w:rsidR="006D0A38">
              <w:rPr>
                <w:iCs/>
              </w:rPr>
              <w:t>for treating symptoms of endometriosis</w:t>
            </w:r>
            <w:r w:rsidR="006C2FB5">
              <w:rPr>
                <w:iCs/>
              </w:rPr>
              <w:t>.</w:t>
            </w:r>
          </w:p>
          <w:p w14:paraId="43656F91" w14:textId="6DF55E3C" w:rsidR="00FC43D3" w:rsidRPr="001F6F4E" w:rsidRDefault="006F55B2" w:rsidP="001F7828">
            <w:pPr>
              <w:tabs>
                <w:tab w:val="clear" w:pos="975"/>
              </w:tabs>
              <w:rPr>
                <w:rFonts w:eastAsia="Calibri"/>
                <w:bCs/>
              </w:rPr>
            </w:pPr>
            <w:r>
              <w:rPr>
                <w:iCs/>
              </w:rPr>
              <w:t>H</w:t>
            </w:r>
            <w:r w:rsidR="006C2FB5">
              <w:rPr>
                <w:iCs/>
              </w:rPr>
              <w:t>ormonal add back</w:t>
            </w:r>
            <w:r>
              <w:rPr>
                <w:iCs/>
              </w:rPr>
              <w:t xml:space="preserve"> therapy</w:t>
            </w:r>
            <w:r w:rsidR="006C2FB5">
              <w:rPr>
                <w:iCs/>
              </w:rPr>
              <w:t xml:space="preserve"> </w:t>
            </w:r>
            <w:r w:rsidR="00070448">
              <w:rPr>
                <w:iCs/>
              </w:rPr>
              <w:t>reduces the menopausal symptoms</w:t>
            </w:r>
            <w:r>
              <w:rPr>
                <w:iCs/>
              </w:rPr>
              <w:t xml:space="preserve"> associated with </w:t>
            </w:r>
            <w:r w:rsidR="00BC467C">
              <w:rPr>
                <w:iCs/>
              </w:rPr>
              <w:t>relugolix and linzagolix</w:t>
            </w:r>
            <w:r w:rsidR="00070448">
              <w:rPr>
                <w:iCs/>
              </w:rPr>
              <w:t xml:space="preserve">, including </w:t>
            </w:r>
            <w:r>
              <w:rPr>
                <w:iCs/>
              </w:rPr>
              <w:t>decrease</w:t>
            </w:r>
            <w:r w:rsidR="00BC467C">
              <w:rPr>
                <w:iCs/>
              </w:rPr>
              <w:t>s</w:t>
            </w:r>
            <w:r>
              <w:rPr>
                <w:iCs/>
              </w:rPr>
              <w:t xml:space="preserve"> in</w:t>
            </w:r>
            <w:r w:rsidR="00C20FFE" w:rsidRPr="00C20FFE">
              <w:rPr>
                <w:rFonts w:ascii="Montserrat" w:hAnsi="Montserrat"/>
                <w:color w:val="161616"/>
                <w:sz w:val="21"/>
                <w:szCs w:val="21"/>
                <w:shd w:val="clear" w:color="auto" w:fill="FFFFFF"/>
              </w:rPr>
              <w:t xml:space="preserve"> </w:t>
            </w:r>
            <w:r w:rsidR="00C20FFE" w:rsidRPr="00C20FFE">
              <w:rPr>
                <w:iCs/>
              </w:rPr>
              <w:t>bone mineral density (BMD</w:t>
            </w:r>
            <w:r>
              <w:rPr>
                <w:iCs/>
              </w:rPr>
              <w:t>)</w:t>
            </w:r>
            <w:r w:rsidR="00BC467C">
              <w:rPr>
                <w:iCs/>
              </w:rPr>
              <w:t>.</w:t>
            </w:r>
          </w:p>
        </w:tc>
        <w:tc>
          <w:tcPr>
            <w:tcW w:w="983" w:type="pct"/>
            <w:shd w:val="clear" w:color="auto" w:fill="auto"/>
          </w:tcPr>
          <w:p w14:paraId="30D40E87" w14:textId="77777777" w:rsidR="00054B52" w:rsidRPr="004C41F8" w:rsidRDefault="00054B52" w:rsidP="001F7828">
            <w:pPr>
              <w:tabs>
                <w:tab w:val="clear" w:pos="975"/>
              </w:tabs>
              <w:rPr>
                <w:iCs/>
              </w:rPr>
            </w:pPr>
            <w:r w:rsidRPr="004C41F8">
              <w:rPr>
                <w:iCs/>
              </w:rPr>
              <w:t>The list price of linzagolix is £80 for 28 tablets. Add-back therapy with estradiol + norethisterone is needed alongside this (£13.20</w:t>
            </w:r>
            <w:r w:rsidRPr="004C41F8">
              <w:t xml:space="preserve"> </w:t>
            </w:r>
            <w:r w:rsidRPr="004C41F8">
              <w:rPr>
                <w:iCs/>
              </w:rPr>
              <w:t xml:space="preserve">for 84 tablets) for a total cost of £93.20 excl. VAT per 28 days (£1,211.60 per year). Relugolix CT has a list price of £72 excl. VAT per 28 tablets (£936 per year). </w:t>
            </w:r>
          </w:p>
          <w:p w14:paraId="523E1E98" w14:textId="77777777" w:rsidR="00054B52" w:rsidRPr="004C41F8" w:rsidRDefault="00054B52" w:rsidP="001F7828">
            <w:pPr>
              <w:tabs>
                <w:tab w:val="clear" w:pos="975"/>
              </w:tabs>
              <w:rPr>
                <w:iCs/>
              </w:rPr>
            </w:pPr>
          </w:p>
          <w:p w14:paraId="342886FC" w14:textId="77777777" w:rsidR="00054B52" w:rsidRPr="004C41F8" w:rsidRDefault="00054B52" w:rsidP="001F7828">
            <w:pPr>
              <w:tabs>
                <w:tab w:val="clear" w:pos="975"/>
              </w:tabs>
              <w:rPr>
                <w:iCs/>
              </w:rPr>
            </w:pPr>
            <w:r w:rsidRPr="004C41F8">
              <w:rPr>
                <w:iCs/>
              </w:rPr>
              <w:t>Because linzagolix is more expensive than relugolix CT and needs additional add-back therapy, NICE assumed relugolix CT to have a higher market share. Increased use of relugolix CT may reduce the number of GP attendances needed for administering GnRH agonists, depending on whether the new drugs displace GnRH agonists or best supportive care.</w:t>
            </w:r>
          </w:p>
          <w:p w14:paraId="2575D409" w14:textId="77777777" w:rsidR="00FC43D3" w:rsidRPr="00B769B6" w:rsidRDefault="00FC43D3" w:rsidP="001F7828">
            <w:pPr>
              <w:tabs>
                <w:tab w:val="clear" w:pos="975"/>
              </w:tabs>
              <w:rPr>
                <w:rFonts w:eastAsia="Calibri"/>
                <w:b/>
              </w:rPr>
            </w:pPr>
          </w:p>
        </w:tc>
        <w:tc>
          <w:tcPr>
            <w:tcW w:w="963" w:type="pct"/>
            <w:shd w:val="clear" w:color="auto" w:fill="auto"/>
          </w:tcPr>
          <w:p w14:paraId="2E382A34" w14:textId="3C462C46" w:rsidR="00FC43D3" w:rsidRDefault="00574EAF" w:rsidP="001F7828">
            <w:pPr>
              <w:tabs>
                <w:tab w:val="clear" w:pos="975"/>
              </w:tabs>
              <w:rPr>
                <w:iCs/>
              </w:rPr>
            </w:pPr>
            <w:r w:rsidRPr="004C41F8">
              <w:rPr>
                <w:iCs/>
              </w:rPr>
              <w:t>Both relugolix CT and linzagolix require monitoring for bone loss</w:t>
            </w:r>
            <w:r w:rsidR="00E92251">
              <w:rPr>
                <w:iCs/>
              </w:rPr>
              <w:t>.</w:t>
            </w:r>
            <w:r w:rsidRPr="004C41F8">
              <w:rPr>
                <w:iCs/>
              </w:rPr>
              <w:t xml:space="preserve"> SmPC recommendations are:</w:t>
            </w:r>
          </w:p>
          <w:p w14:paraId="3BB7E156" w14:textId="77777777" w:rsidR="0053453A" w:rsidRPr="004C41F8" w:rsidRDefault="0053453A" w:rsidP="001F7828">
            <w:pPr>
              <w:tabs>
                <w:tab w:val="clear" w:pos="975"/>
              </w:tabs>
              <w:ind w:left="357" w:hanging="357"/>
              <w:rPr>
                <w:iCs/>
              </w:rPr>
            </w:pPr>
            <w:r w:rsidRPr="004C41F8">
              <w:rPr>
                <w:iCs/>
                <w:u w:val="single"/>
              </w:rPr>
              <w:t>Relugolix CT</w:t>
            </w:r>
            <w:r w:rsidRPr="004C41F8">
              <w:rPr>
                <w:iCs/>
              </w:rPr>
              <w:t xml:space="preserve">: </w:t>
            </w:r>
          </w:p>
          <w:p w14:paraId="40F4F18B" w14:textId="77777777" w:rsidR="00E92251" w:rsidRPr="004C41F8" w:rsidRDefault="00E92251" w:rsidP="001F7828">
            <w:pPr>
              <w:pStyle w:val="ListParagraph"/>
              <w:numPr>
                <w:ilvl w:val="0"/>
                <w:numId w:val="7"/>
              </w:numPr>
              <w:tabs>
                <w:tab w:val="clear" w:pos="975"/>
              </w:tabs>
              <w:rPr>
                <w:iCs/>
              </w:rPr>
            </w:pPr>
            <w:r w:rsidRPr="004C41F8">
              <w:rPr>
                <w:iCs/>
              </w:rPr>
              <w:t xml:space="preserve">In patients with risk factors for osteoporosis or bone loss, a DXA scan is recommended prior to starting </w:t>
            </w:r>
            <w:proofErr w:type="spellStart"/>
            <w:r w:rsidRPr="004C41F8">
              <w:rPr>
                <w:iCs/>
              </w:rPr>
              <w:t>Ryeqo</w:t>
            </w:r>
            <w:proofErr w:type="spellEnd"/>
            <w:r w:rsidRPr="004C41F8">
              <w:rPr>
                <w:iCs/>
              </w:rPr>
              <w:t xml:space="preserve"> treatment. </w:t>
            </w:r>
          </w:p>
          <w:p w14:paraId="4747FC92" w14:textId="77777777" w:rsidR="0053453A" w:rsidRPr="004C41F8" w:rsidRDefault="0053453A" w:rsidP="001F7828">
            <w:pPr>
              <w:pStyle w:val="ListParagraph"/>
              <w:numPr>
                <w:ilvl w:val="0"/>
                <w:numId w:val="7"/>
              </w:numPr>
              <w:tabs>
                <w:tab w:val="clear" w:pos="975"/>
              </w:tabs>
              <w:rPr>
                <w:iCs/>
              </w:rPr>
            </w:pPr>
            <w:r w:rsidRPr="004C41F8">
              <w:rPr>
                <w:iCs/>
              </w:rPr>
              <w:t>Decreases of &gt;3% were seen in 21% of the patients. Therefore, a DXA scan is recommended after the first 52 weeks of treatment and as considered appropriate thereafter.</w:t>
            </w:r>
          </w:p>
          <w:p w14:paraId="2FB146A8" w14:textId="77777777" w:rsidR="0053453A" w:rsidRPr="004C41F8" w:rsidRDefault="0053453A" w:rsidP="001F7828">
            <w:pPr>
              <w:tabs>
                <w:tab w:val="clear" w:pos="975"/>
              </w:tabs>
              <w:rPr>
                <w:iCs/>
              </w:rPr>
            </w:pPr>
            <w:r w:rsidRPr="004C41F8">
              <w:rPr>
                <w:iCs/>
                <w:u w:val="single"/>
              </w:rPr>
              <w:t>Linzagolix</w:t>
            </w:r>
            <w:r w:rsidRPr="004C41F8">
              <w:rPr>
                <w:iCs/>
              </w:rPr>
              <w:t xml:space="preserve">: </w:t>
            </w:r>
          </w:p>
          <w:p w14:paraId="23D82452" w14:textId="77777777" w:rsidR="00E92251" w:rsidRDefault="0053453A" w:rsidP="001F7828">
            <w:pPr>
              <w:pStyle w:val="ListParagraph"/>
              <w:numPr>
                <w:ilvl w:val="0"/>
                <w:numId w:val="7"/>
              </w:numPr>
              <w:tabs>
                <w:tab w:val="clear" w:pos="975"/>
              </w:tabs>
              <w:rPr>
                <w:iCs/>
              </w:rPr>
            </w:pPr>
            <w:r w:rsidRPr="004C41F8">
              <w:rPr>
                <w:iCs/>
              </w:rPr>
              <w:t>In patients with risk factors for osteoporosis or bone loss, a dual X-ray absorptiometry DXA scan is recommended prior to starting treatment.</w:t>
            </w:r>
          </w:p>
          <w:p w14:paraId="34542640" w14:textId="5FDB890E" w:rsidR="00F35A95" w:rsidRPr="001F7828" w:rsidRDefault="0053453A" w:rsidP="001F7828">
            <w:pPr>
              <w:pStyle w:val="ListParagraph"/>
              <w:numPr>
                <w:ilvl w:val="0"/>
                <w:numId w:val="7"/>
              </w:numPr>
              <w:tabs>
                <w:tab w:val="clear" w:pos="975"/>
              </w:tabs>
              <w:rPr>
                <w:iCs/>
              </w:rPr>
            </w:pPr>
            <w:r w:rsidRPr="00E92251">
              <w:rPr>
                <w:iCs/>
              </w:rPr>
              <w:t>A DXA scan is recommended after 1 year of treatment for all women, and there is a need for continued BMD monitoring thereafter</w:t>
            </w:r>
          </w:p>
        </w:tc>
      </w:tr>
      <w:tr w:rsidR="00F35A95" w:rsidRPr="004C41F8" w14:paraId="390B1539" w14:textId="77777777" w:rsidTr="001F7828">
        <w:trPr>
          <w:cantSplit/>
        </w:trPr>
        <w:tc>
          <w:tcPr>
            <w:tcW w:w="1329" w:type="pct"/>
            <w:shd w:val="clear" w:color="auto" w:fill="auto"/>
          </w:tcPr>
          <w:p w14:paraId="2FBAC88D" w14:textId="3090004F" w:rsidR="00740EC8" w:rsidRDefault="00740EC8" w:rsidP="001F7828">
            <w:pPr>
              <w:tabs>
                <w:tab w:val="clear" w:pos="975"/>
              </w:tabs>
              <w:rPr>
                <w:b/>
                <w:bCs/>
              </w:rPr>
            </w:pPr>
            <w:hyperlink r:id="rId17" w:history="1">
              <w:r w:rsidRPr="000B71E9">
                <w:rPr>
                  <w:rStyle w:val="Hyperlink"/>
                  <w:rFonts w:cs="Arial"/>
                  <w:b/>
                  <w:bCs/>
                </w:rPr>
                <w:t>TA1070: Spesolimab for treating generalised pustular psoriasis flares</w:t>
              </w:r>
            </w:hyperlink>
          </w:p>
          <w:p w14:paraId="2BACA084" w14:textId="77777777" w:rsidR="00740EC8" w:rsidRDefault="00740EC8" w:rsidP="001F7828">
            <w:pPr>
              <w:tabs>
                <w:tab w:val="clear" w:pos="975"/>
              </w:tabs>
              <w:rPr>
                <w:b/>
                <w:bCs/>
              </w:rPr>
            </w:pPr>
            <w:r>
              <w:rPr>
                <w:b/>
                <w:bCs/>
              </w:rPr>
              <w:t>18 June 2025</w:t>
            </w:r>
          </w:p>
          <w:p w14:paraId="1896B2E2" w14:textId="77777777" w:rsidR="00740EC8" w:rsidRPr="00E75D7C" w:rsidRDefault="00740EC8" w:rsidP="001F7828">
            <w:pPr>
              <w:tabs>
                <w:tab w:val="clear" w:pos="975"/>
              </w:tabs>
              <w:rPr>
                <w:b/>
                <w:bCs/>
              </w:rPr>
            </w:pPr>
            <w:r>
              <w:rPr>
                <w:b/>
                <w:bCs/>
              </w:rPr>
              <w:t>Commissioning: ICB, tariff-excluded</w:t>
            </w:r>
          </w:p>
          <w:p w14:paraId="68595427" w14:textId="77777777" w:rsidR="00740EC8" w:rsidRPr="000B71E9" w:rsidRDefault="00740EC8" w:rsidP="001F7828">
            <w:pPr>
              <w:tabs>
                <w:tab w:val="clear" w:pos="975"/>
              </w:tabs>
            </w:pPr>
            <w:r w:rsidRPr="000B71E9">
              <w:t>Spesolimab is recommended as an option for treating generalised pustular psoriasis (GPP) flares in adults, only if it is used to treat:</w:t>
            </w:r>
          </w:p>
          <w:p w14:paraId="45FE4405" w14:textId="77777777" w:rsidR="00740EC8" w:rsidRPr="000B71E9" w:rsidRDefault="00740EC8" w:rsidP="001F7828">
            <w:pPr>
              <w:pStyle w:val="ListParagraph"/>
              <w:numPr>
                <w:ilvl w:val="0"/>
                <w:numId w:val="8"/>
              </w:numPr>
              <w:tabs>
                <w:tab w:val="clear" w:pos="975"/>
              </w:tabs>
            </w:pPr>
            <w:r w:rsidRPr="000B71E9">
              <w:t>initial moderate to severe flares when:</w:t>
            </w:r>
          </w:p>
          <w:p w14:paraId="46844437" w14:textId="77777777" w:rsidR="00740EC8" w:rsidRPr="000B71E9" w:rsidRDefault="00740EC8" w:rsidP="001F7828">
            <w:pPr>
              <w:pStyle w:val="ListParagraph"/>
              <w:numPr>
                <w:ilvl w:val="1"/>
                <w:numId w:val="8"/>
              </w:numPr>
              <w:tabs>
                <w:tab w:val="clear" w:pos="975"/>
              </w:tabs>
              <w:ind w:left="731"/>
            </w:pPr>
            <w:r w:rsidRPr="000B71E9">
              <w:t>the Generalized Pustular Psoriasis Physician Global Assessment (GPPGA) total score is 3 or more (at least moderate), and</w:t>
            </w:r>
          </w:p>
          <w:p w14:paraId="5B39C7FF" w14:textId="77777777" w:rsidR="00740EC8" w:rsidRPr="000B71E9" w:rsidRDefault="00740EC8" w:rsidP="001F7828">
            <w:pPr>
              <w:pStyle w:val="ListParagraph"/>
              <w:numPr>
                <w:ilvl w:val="1"/>
                <w:numId w:val="8"/>
              </w:numPr>
              <w:tabs>
                <w:tab w:val="clear" w:pos="975"/>
              </w:tabs>
              <w:ind w:left="731"/>
            </w:pPr>
            <w:r w:rsidRPr="000B71E9">
              <w:t>there are fresh pustules (new appearance or worsening of existing pustules), and</w:t>
            </w:r>
          </w:p>
          <w:p w14:paraId="52BA6F8E" w14:textId="77777777" w:rsidR="00740EC8" w:rsidRPr="000B71E9" w:rsidRDefault="00740EC8" w:rsidP="001F7828">
            <w:pPr>
              <w:pStyle w:val="ListParagraph"/>
              <w:numPr>
                <w:ilvl w:val="1"/>
                <w:numId w:val="8"/>
              </w:numPr>
              <w:tabs>
                <w:tab w:val="clear" w:pos="975"/>
              </w:tabs>
              <w:ind w:left="731"/>
            </w:pPr>
            <w:r w:rsidRPr="000B71E9">
              <w:t xml:space="preserve">the GPPGA pustulation </w:t>
            </w:r>
            <w:proofErr w:type="spellStart"/>
            <w:r w:rsidRPr="000B71E9">
              <w:t>subscore</w:t>
            </w:r>
            <w:proofErr w:type="spellEnd"/>
            <w:r w:rsidRPr="000B71E9">
              <w:t xml:space="preserve"> is at least 2 (at least mild), and</w:t>
            </w:r>
          </w:p>
          <w:p w14:paraId="55568655" w14:textId="77777777" w:rsidR="00740EC8" w:rsidRPr="000B71E9" w:rsidRDefault="00740EC8" w:rsidP="001F7828">
            <w:pPr>
              <w:pStyle w:val="ListParagraph"/>
              <w:numPr>
                <w:ilvl w:val="1"/>
                <w:numId w:val="8"/>
              </w:numPr>
              <w:tabs>
                <w:tab w:val="clear" w:pos="975"/>
              </w:tabs>
              <w:ind w:left="731"/>
            </w:pPr>
            <w:r w:rsidRPr="000B71E9">
              <w:t>at least 5% of the body's surface area is covered with erythema (abnormal redness of the skin or mucous membranes) and has pustules</w:t>
            </w:r>
          </w:p>
          <w:p w14:paraId="736C4C5C" w14:textId="77777777" w:rsidR="00740EC8" w:rsidRPr="0036788A" w:rsidRDefault="00740EC8" w:rsidP="001F7828">
            <w:pPr>
              <w:pStyle w:val="ListParagraph"/>
              <w:numPr>
                <w:ilvl w:val="0"/>
                <w:numId w:val="8"/>
              </w:numPr>
              <w:tabs>
                <w:tab w:val="clear" w:pos="975"/>
              </w:tabs>
              <w:rPr>
                <w:b/>
                <w:bCs/>
              </w:rPr>
            </w:pPr>
            <w:r w:rsidRPr="000B71E9">
              <w:t xml:space="preserve">subsequent flares with a GPPGA pustulation </w:t>
            </w:r>
            <w:proofErr w:type="spellStart"/>
            <w:r w:rsidRPr="000B71E9">
              <w:t>subscore</w:t>
            </w:r>
            <w:proofErr w:type="spellEnd"/>
            <w:r w:rsidRPr="000B71E9">
              <w:t xml:space="preserve"> of 2 or more (at least mild), if the last flare was treated with spesolimab and resolved to a GPPGA pustulation </w:t>
            </w:r>
            <w:proofErr w:type="spellStart"/>
            <w:r w:rsidRPr="000B71E9">
              <w:t>subscore</w:t>
            </w:r>
            <w:proofErr w:type="spellEnd"/>
            <w:r w:rsidRPr="000B71E9">
              <w:t xml:space="preserve"> of 0 or 1 (clear or almost clear skin).</w:t>
            </w:r>
          </w:p>
          <w:p w14:paraId="1CBA4B54" w14:textId="77777777" w:rsidR="00740EC8" w:rsidRPr="0036788A" w:rsidRDefault="00740EC8" w:rsidP="001F7828">
            <w:pPr>
              <w:pStyle w:val="ListParagraph"/>
              <w:numPr>
                <w:ilvl w:val="0"/>
                <w:numId w:val="8"/>
              </w:numPr>
              <w:tabs>
                <w:tab w:val="clear" w:pos="975"/>
              </w:tabs>
              <w:rPr>
                <w:b/>
                <w:bCs/>
              </w:rPr>
            </w:pPr>
            <w:r w:rsidRPr="000B71E9">
              <w:t>Spesolimab can only be used if the company provides it according to the commercial arrangement.</w:t>
            </w:r>
          </w:p>
          <w:p w14:paraId="4E99018B" w14:textId="31E88A31" w:rsidR="00F35A95" w:rsidRPr="00B769B6" w:rsidRDefault="00740EC8" w:rsidP="001F7828">
            <w:pPr>
              <w:tabs>
                <w:tab w:val="clear" w:pos="975"/>
              </w:tabs>
              <w:rPr>
                <w:rFonts w:eastAsia="Calibri"/>
                <w:b/>
              </w:rPr>
            </w:pPr>
            <w:r w:rsidRPr="0036788A">
              <w:t xml:space="preserve">A second dose of spesolimab can be used after 8 days if a flare has not resolved to a GPPGA pustulation </w:t>
            </w:r>
            <w:proofErr w:type="spellStart"/>
            <w:r w:rsidRPr="0036788A">
              <w:t>subscore</w:t>
            </w:r>
            <w:proofErr w:type="spellEnd"/>
            <w:r w:rsidRPr="0036788A">
              <w:t xml:space="preserve"> of 0 or 1.</w:t>
            </w:r>
          </w:p>
        </w:tc>
        <w:tc>
          <w:tcPr>
            <w:tcW w:w="826" w:type="pct"/>
            <w:shd w:val="clear" w:color="auto" w:fill="auto"/>
          </w:tcPr>
          <w:p w14:paraId="5EDD044A" w14:textId="0830D10A" w:rsidR="00F35A95" w:rsidRPr="00B769B6" w:rsidRDefault="00CA679F" w:rsidP="001F7828">
            <w:pPr>
              <w:rPr>
                <w:rFonts w:eastAsia="Calibri"/>
                <w:b/>
              </w:rPr>
            </w:pPr>
            <w:r>
              <w:t>Add to formulary as a RED drug in this indication, with links to TA1070.</w:t>
            </w:r>
          </w:p>
        </w:tc>
        <w:tc>
          <w:tcPr>
            <w:tcW w:w="898" w:type="pct"/>
            <w:shd w:val="clear" w:color="auto" w:fill="auto"/>
          </w:tcPr>
          <w:p w14:paraId="5FFA8012" w14:textId="782B94F0" w:rsidR="00F35A95" w:rsidRPr="00B769B6" w:rsidRDefault="007F3142" w:rsidP="001F7828">
            <w:pPr>
              <w:tabs>
                <w:tab w:val="clear" w:pos="975"/>
              </w:tabs>
              <w:rPr>
                <w:rFonts w:eastAsia="Calibri"/>
                <w:b/>
              </w:rPr>
            </w:pPr>
            <w:r>
              <w:t>There is no licensed standard care for GPP flares. Usual treatment includes ciclosporin, acitretin and biological treatments used to treat other forms of psoriasis</w:t>
            </w:r>
          </w:p>
        </w:tc>
        <w:tc>
          <w:tcPr>
            <w:tcW w:w="983" w:type="pct"/>
            <w:shd w:val="clear" w:color="auto" w:fill="auto"/>
          </w:tcPr>
          <w:p w14:paraId="427DDC2B" w14:textId="77777777" w:rsidR="002E29B2" w:rsidRDefault="002E29B2" w:rsidP="001F7828">
            <w:pPr>
              <w:tabs>
                <w:tab w:val="clear" w:pos="975"/>
              </w:tabs>
            </w:pPr>
            <w:r>
              <w:t xml:space="preserve">A resource impact template is available, but requires input of the confidential prices for spesolimab and comparators and local input of capacity impacts. </w:t>
            </w:r>
          </w:p>
          <w:p w14:paraId="3F5AFCDD" w14:textId="77777777" w:rsidR="00245DEB" w:rsidRDefault="00245DEB" w:rsidP="001F7828">
            <w:pPr>
              <w:tabs>
                <w:tab w:val="clear" w:pos="975"/>
              </w:tabs>
            </w:pPr>
            <w:r>
              <w:t>NICE expect 268 people in England to receive spesolimab in year 1, rising to 927 in year 5. They reported that a consultant in dermatology stated that all GPP flares will have responded by week 12 and patients have on average 1 flare per year.</w:t>
            </w:r>
          </w:p>
          <w:p w14:paraId="2DE3B096" w14:textId="77777777" w:rsidR="00F35A95" w:rsidRDefault="00F35A95" w:rsidP="001F7828">
            <w:pPr>
              <w:tabs>
                <w:tab w:val="clear" w:pos="975"/>
              </w:tabs>
              <w:rPr>
                <w:rFonts w:eastAsia="Calibri"/>
                <w:b/>
              </w:rPr>
            </w:pPr>
          </w:p>
          <w:p w14:paraId="12FA252A" w14:textId="77777777" w:rsidR="0093510F" w:rsidRDefault="0093510F" w:rsidP="001F7828">
            <w:pPr>
              <w:tabs>
                <w:tab w:val="clear" w:pos="975"/>
              </w:tabs>
            </w:pPr>
            <w:r>
              <w:t xml:space="preserve">The </w:t>
            </w:r>
            <w:proofErr w:type="spellStart"/>
            <w:r>
              <w:t>Effisayil</w:t>
            </w:r>
            <w:proofErr w:type="spellEnd"/>
            <w:r>
              <w:t xml:space="preserve"> 1 trial reported 7.14% of people in the spesolimab and BAC arm had treatment for a subsequent flare after the initial flare resolved to a GPPGA pustulation </w:t>
            </w:r>
            <w:proofErr w:type="spellStart"/>
            <w:r>
              <w:t>subscore</w:t>
            </w:r>
            <w:proofErr w:type="spellEnd"/>
            <w:r>
              <w:t xml:space="preserve"> of 0 or 1.</w:t>
            </w:r>
          </w:p>
          <w:p w14:paraId="28100FAD" w14:textId="2170785A" w:rsidR="0093510F" w:rsidRPr="00B769B6" w:rsidRDefault="0093510F" w:rsidP="001F7828">
            <w:pPr>
              <w:tabs>
                <w:tab w:val="clear" w:pos="975"/>
              </w:tabs>
              <w:rPr>
                <w:rFonts w:eastAsia="Calibri"/>
                <w:b/>
              </w:rPr>
            </w:pPr>
            <w:r>
              <w:t>NICE</w:t>
            </w:r>
            <w:r w:rsidRPr="0036788A">
              <w:t xml:space="preserve"> assumed there will be a faster flare resolution with spesolimab, with lower hospitalisation rates and shorter lengths of hospital stay. Using Wolf et al. (2024) it is assumed 77.6% of people who had BAC were hospitalised for treatment of GPP flares. The committee stated the proportion of people with GPP who would be admitted to hospital after having spesolimab is highly uncertain, but the company assumed that spesolimab reduced hospital rates by 50%.</w:t>
            </w:r>
          </w:p>
        </w:tc>
        <w:tc>
          <w:tcPr>
            <w:tcW w:w="963" w:type="pct"/>
            <w:shd w:val="clear" w:color="auto" w:fill="auto"/>
          </w:tcPr>
          <w:p w14:paraId="49DF5EAF" w14:textId="77777777" w:rsidR="00B86569" w:rsidRDefault="00B86569" w:rsidP="001F7828">
            <w:pPr>
              <w:tabs>
                <w:tab w:val="clear" w:pos="975"/>
              </w:tabs>
            </w:pPr>
            <w:r w:rsidRPr="00E01B6B">
              <w:t>Spesolimab is administered</w:t>
            </w:r>
            <w:r>
              <w:t xml:space="preserve"> as a single dose intravenous infusion </w:t>
            </w:r>
            <w:r w:rsidRPr="00E01B6B">
              <w:t>in a secondary or tertiary care setting</w:t>
            </w:r>
            <w:r>
              <w:t xml:space="preserve">. A second dose may be given after 8 days if a flare has not resolved. Based on the </w:t>
            </w:r>
            <w:proofErr w:type="spellStart"/>
            <w:r>
              <w:t>Effisayil</w:t>
            </w:r>
            <w:proofErr w:type="spellEnd"/>
            <w:r>
              <w:t xml:space="preserve"> 1 trial, 34% of people did not achieve a GPPGA pustulation </w:t>
            </w:r>
            <w:proofErr w:type="spellStart"/>
            <w:r>
              <w:t>subscore</w:t>
            </w:r>
            <w:proofErr w:type="spellEnd"/>
            <w:r>
              <w:t xml:space="preserve"> of 0 or 1 and received a second dose.</w:t>
            </w:r>
          </w:p>
          <w:p w14:paraId="19403572" w14:textId="77777777" w:rsidR="00B86569" w:rsidRDefault="00B86569" w:rsidP="001F7828">
            <w:pPr>
              <w:tabs>
                <w:tab w:val="clear" w:pos="975"/>
              </w:tabs>
            </w:pPr>
            <w:r>
              <w:t xml:space="preserve">Treatment </w:t>
            </w:r>
            <w:r w:rsidRPr="00E01B6B">
              <w:t xml:space="preserve">would not require any additional services not already in place for the administration of </w:t>
            </w:r>
            <w:r>
              <w:t>best available care</w:t>
            </w:r>
            <w:r w:rsidRPr="00E01B6B">
              <w:t>.</w:t>
            </w:r>
            <w:r>
              <w:t xml:space="preserve"> </w:t>
            </w:r>
          </w:p>
          <w:p w14:paraId="072C4F00" w14:textId="77777777" w:rsidR="00F35A95" w:rsidRDefault="00F35A95" w:rsidP="001F7828">
            <w:pPr>
              <w:tabs>
                <w:tab w:val="clear" w:pos="975"/>
              </w:tabs>
              <w:rPr>
                <w:rFonts w:eastAsia="Calibri"/>
                <w:b/>
              </w:rPr>
            </w:pPr>
          </w:p>
          <w:p w14:paraId="0B363139" w14:textId="77777777" w:rsidR="00B86569" w:rsidRPr="00B86569" w:rsidRDefault="00B86569" w:rsidP="001F7828">
            <w:pPr>
              <w:ind w:firstLine="720"/>
              <w:rPr>
                <w:rFonts w:eastAsia="Calibri"/>
              </w:rPr>
            </w:pPr>
          </w:p>
        </w:tc>
      </w:tr>
      <w:tr w:rsidR="00C7329C" w:rsidRPr="004C41F8" w14:paraId="42D7B539" w14:textId="77777777" w:rsidTr="001F7828">
        <w:trPr>
          <w:cantSplit/>
        </w:trPr>
        <w:tc>
          <w:tcPr>
            <w:tcW w:w="1329" w:type="pct"/>
            <w:shd w:val="clear" w:color="auto" w:fill="auto"/>
          </w:tcPr>
          <w:p w14:paraId="57EC8676" w14:textId="77777777" w:rsidR="00C7329C" w:rsidRPr="00E75D7C" w:rsidRDefault="00C7329C" w:rsidP="001F7828">
            <w:pPr>
              <w:tabs>
                <w:tab w:val="clear" w:pos="975"/>
              </w:tabs>
              <w:rPr>
                <w:b/>
                <w:bCs/>
              </w:rPr>
            </w:pPr>
            <w:hyperlink r:id="rId18" w:history="1">
              <w:r w:rsidRPr="00E75D7C">
                <w:rPr>
                  <w:rStyle w:val="Hyperlink"/>
                  <w:rFonts w:cs="Arial"/>
                  <w:b/>
                  <w:bCs/>
                </w:rPr>
                <w:t>TA1069: Efgartigimod for treating antibody-positive generalised myasthenia gravis</w:t>
              </w:r>
            </w:hyperlink>
          </w:p>
          <w:p w14:paraId="27EF507C" w14:textId="77777777" w:rsidR="00C7329C" w:rsidRDefault="00C7329C" w:rsidP="001F7828">
            <w:pPr>
              <w:tabs>
                <w:tab w:val="clear" w:pos="975"/>
              </w:tabs>
              <w:rPr>
                <w:b/>
                <w:bCs/>
              </w:rPr>
            </w:pPr>
            <w:r>
              <w:rPr>
                <w:b/>
                <w:bCs/>
              </w:rPr>
              <w:t>4 June 2025</w:t>
            </w:r>
          </w:p>
          <w:p w14:paraId="22EF62F1" w14:textId="77777777" w:rsidR="00C7329C" w:rsidRPr="00E75D7C" w:rsidRDefault="00C7329C" w:rsidP="001F7828">
            <w:pPr>
              <w:tabs>
                <w:tab w:val="clear" w:pos="975"/>
              </w:tabs>
              <w:rPr>
                <w:b/>
                <w:bCs/>
              </w:rPr>
            </w:pPr>
            <w:r>
              <w:rPr>
                <w:b/>
                <w:bCs/>
              </w:rPr>
              <w:t>Commissioning: ICB</w:t>
            </w:r>
          </w:p>
          <w:p w14:paraId="6E989681" w14:textId="54B36C60" w:rsidR="00C7329C" w:rsidRDefault="00C7329C" w:rsidP="001F7828">
            <w:pPr>
              <w:tabs>
                <w:tab w:val="clear" w:pos="975"/>
              </w:tabs>
            </w:pPr>
            <w:r>
              <w:t>Efgartigimod is not recommended, within its marketing authorisation, as an add-on to standard treatment for generalised myasthenia gravis in adults who test positive for anti-acetylcholine receptor antibodies.</w:t>
            </w:r>
          </w:p>
        </w:tc>
        <w:tc>
          <w:tcPr>
            <w:tcW w:w="826" w:type="pct"/>
            <w:shd w:val="clear" w:color="auto" w:fill="auto"/>
          </w:tcPr>
          <w:p w14:paraId="02517AE4" w14:textId="77777777" w:rsidR="00C7329C" w:rsidRDefault="00C7329C" w:rsidP="001F7828">
            <w:pPr>
              <w:tabs>
                <w:tab w:val="clear" w:pos="975"/>
              </w:tabs>
            </w:pPr>
            <w:r w:rsidRPr="003E5661">
              <w:t xml:space="preserve">Add to </w:t>
            </w:r>
            <w:r>
              <w:t xml:space="preserve">not routinely commissioned list </w:t>
            </w:r>
            <w:r w:rsidRPr="00274E6D">
              <w:t>in this indication</w:t>
            </w:r>
            <w:r w:rsidRPr="003E5661">
              <w:t>, with links to</w:t>
            </w:r>
            <w:r>
              <w:t xml:space="preserve"> TA1069. </w:t>
            </w:r>
          </w:p>
          <w:p w14:paraId="6ED2C9FF" w14:textId="77777777" w:rsidR="00C7329C" w:rsidRPr="003E5661" w:rsidRDefault="00C7329C" w:rsidP="001F7828">
            <w:pPr>
              <w:tabs>
                <w:tab w:val="clear" w:pos="975"/>
              </w:tabs>
            </w:pPr>
          </w:p>
        </w:tc>
        <w:tc>
          <w:tcPr>
            <w:tcW w:w="898" w:type="pct"/>
            <w:shd w:val="clear" w:color="auto" w:fill="auto"/>
          </w:tcPr>
          <w:p w14:paraId="0AE43268" w14:textId="77777777" w:rsidR="00C7329C" w:rsidRDefault="00C7329C" w:rsidP="001F7828">
            <w:pPr>
              <w:tabs>
                <w:tab w:val="clear" w:pos="975"/>
              </w:tabs>
            </w:pPr>
            <w:r>
              <w:t xml:space="preserve">NY&amp;Y: Red, as per </w:t>
            </w:r>
            <w:hyperlink r:id="rId19" w:history="1">
              <w:r w:rsidRPr="00D27063">
                <w:rPr>
                  <w:rStyle w:val="Hyperlink"/>
                  <w:rFonts w:cs="Arial"/>
                </w:rPr>
                <w:t>EAMS decision</w:t>
              </w:r>
            </w:hyperlink>
            <w:r>
              <w:t xml:space="preserve"> which has now been withdrawn.</w:t>
            </w:r>
          </w:p>
          <w:p w14:paraId="279C34A6" w14:textId="6F6E6E63" w:rsidR="00C7329C" w:rsidRDefault="00C7329C" w:rsidP="001F7828">
            <w:pPr>
              <w:tabs>
                <w:tab w:val="clear" w:pos="975"/>
              </w:tabs>
            </w:pPr>
            <w:r>
              <w:t>.</w:t>
            </w:r>
          </w:p>
        </w:tc>
        <w:tc>
          <w:tcPr>
            <w:tcW w:w="983" w:type="pct"/>
            <w:shd w:val="clear" w:color="auto" w:fill="auto"/>
          </w:tcPr>
          <w:p w14:paraId="2E9C8545" w14:textId="084C1F99" w:rsidR="00101419" w:rsidRPr="00D75116" w:rsidRDefault="00C7329C" w:rsidP="001F7828">
            <w:pPr>
              <w:tabs>
                <w:tab w:val="clear" w:pos="975"/>
              </w:tabs>
            </w:pPr>
            <w:r w:rsidRPr="00D75116">
              <w:t>The economic model does not accurately capture how efgartigimod would be used in the NHS; that is, as an additional treatment in the treatment pathway. The most likely cost-effectiveness estimates are substantially above what NICE considers an acceptable use of NHS resources</w:t>
            </w:r>
          </w:p>
        </w:tc>
        <w:tc>
          <w:tcPr>
            <w:tcW w:w="963" w:type="pct"/>
            <w:shd w:val="clear" w:color="auto" w:fill="auto"/>
          </w:tcPr>
          <w:p w14:paraId="45B16E0D" w14:textId="77777777" w:rsidR="00C7329C" w:rsidRPr="00B769B6" w:rsidRDefault="00C7329C" w:rsidP="001F7828">
            <w:pPr>
              <w:tabs>
                <w:tab w:val="clear" w:pos="975"/>
              </w:tabs>
              <w:rPr>
                <w:rFonts w:eastAsia="Calibri"/>
                <w:b/>
              </w:rPr>
            </w:pPr>
          </w:p>
        </w:tc>
      </w:tr>
      <w:tr w:rsidR="00101419" w:rsidRPr="004C41F8" w14:paraId="1EF0E2F3" w14:textId="77777777" w:rsidTr="001F7828">
        <w:trPr>
          <w:cantSplit/>
        </w:trPr>
        <w:tc>
          <w:tcPr>
            <w:tcW w:w="1329" w:type="pct"/>
            <w:shd w:val="clear" w:color="auto" w:fill="auto"/>
          </w:tcPr>
          <w:p w14:paraId="0FE0F9D5" w14:textId="77777777" w:rsidR="00330D33" w:rsidRPr="00932598" w:rsidRDefault="00330D33" w:rsidP="001F7828">
            <w:pPr>
              <w:tabs>
                <w:tab w:val="clear" w:pos="975"/>
              </w:tabs>
              <w:rPr>
                <w:b/>
                <w:bCs/>
              </w:rPr>
            </w:pPr>
            <w:hyperlink r:id="rId20" w:history="1">
              <w:r w:rsidRPr="000D7DAE">
                <w:rPr>
                  <w:rStyle w:val="Hyperlink"/>
                  <w:rFonts w:cs="Arial"/>
                  <w:b/>
                  <w:bCs/>
                </w:rPr>
                <w:t>TA1074: Sparsentan for treating primary IgA nephropathy</w:t>
              </w:r>
            </w:hyperlink>
          </w:p>
          <w:p w14:paraId="44DD17AD" w14:textId="77777777" w:rsidR="00330D33" w:rsidRPr="00932598" w:rsidRDefault="00330D33" w:rsidP="001F7828">
            <w:pPr>
              <w:tabs>
                <w:tab w:val="clear" w:pos="975"/>
              </w:tabs>
              <w:rPr>
                <w:b/>
                <w:bCs/>
              </w:rPr>
            </w:pPr>
            <w:r w:rsidRPr="00932598">
              <w:rPr>
                <w:b/>
                <w:bCs/>
              </w:rPr>
              <w:t>2</w:t>
            </w:r>
            <w:r>
              <w:rPr>
                <w:b/>
                <w:bCs/>
              </w:rPr>
              <w:t>5</w:t>
            </w:r>
            <w:r w:rsidRPr="00932598">
              <w:rPr>
                <w:b/>
                <w:bCs/>
              </w:rPr>
              <w:t xml:space="preserve"> June 2025</w:t>
            </w:r>
          </w:p>
          <w:p w14:paraId="70E223A2" w14:textId="77777777" w:rsidR="00330D33" w:rsidRPr="00932598" w:rsidRDefault="00330D33" w:rsidP="001F7828">
            <w:pPr>
              <w:tabs>
                <w:tab w:val="clear" w:pos="975"/>
              </w:tabs>
              <w:rPr>
                <w:b/>
                <w:bCs/>
              </w:rPr>
            </w:pPr>
            <w:r w:rsidRPr="00932598">
              <w:rPr>
                <w:b/>
                <w:bCs/>
              </w:rPr>
              <w:t>Commissioning: ICB</w:t>
            </w:r>
            <w:r>
              <w:rPr>
                <w:b/>
                <w:bCs/>
              </w:rPr>
              <w:t>, tariff excluded</w:t>
            </w:r>
          </w:p>
          <w:p w14:paraId="2E7DEB40" w14:textId="77777777" w:rsidR="00330D33" w:rsidRDefault="00330D33" w:rsidP="001F7828">
            <w:pPr>
              <w:tabs>
                <w:tab w:val="clear" w:pos="975"/>
              </w:tabs>
            </w:pPr>
            <w:r>
              <w:t>Sparsentan can be used as option to treat primary immunoglobulin A nephropathy (</w:t>
            </w:r>
            <w:proofErr w:type="spellStart"/>
            <w:r>
              <w:t>IgAN</w:t>
            </w:r>
            <w:proofErr w:type="spellEnd"/>
            <w:r>
              <w:t>) in adults with a:</w:t>
            </w:r>
          </w:p>
          <w:p w14:paraId="2FB6B138" w14:textId="77777777" w:rsidR="00330D33" w:rsidRDefault="00330D33" w:rsidP="001F7828">
            <w:pPr>
              <w:pStyle w:val="ListParagraph"/>
              <w:numPr>
                <w:ilvl w:val="0"/>
                <w:numId w:val="11"/>
              </w:numPr>
              <w:tabs>
                <w:tab w:val="clear" w:pos="975"/>
              </w:tabs>
            </w:pPr>
            <w:r>
              <w:t>urine protein excretion of 1.0 g/day or more, or</w:t>
            </w:r>
          </w:p>
          <w:p w14:paraId="0EB98950" w14:textId="77777777" w:rsidR="00330D33" w:rsidRDefault="00330D33" w:rsidP="001F7828">
            <w:pPr>
              <w:pStyle w:val="ListParagraph"/>
              <w:numPr>
                <w:ilvl w:val="0"/>
                <w:numId w:val="11"/>
              </w:numPr>
              <w:tabs>
                <w:tab w:val="clear" w:pos="975"/>
              </w:tabs>
            </w:pPr>
            <w:r>
              <w:t>urine protein-to-creatinine ratio (UPCR) of 0.75 g/g or more.</w:t>
            </w:r>
          </w:p>
          <w:p w14:paraId="7E863740" w14:textId="7ED57EFA" w:rsidR="00101419" w:rsidRPr="00B769B6" w:rsidRDefault="00330D33" w:rsidP="001F7828">
            <w:pPr>
              <w:tabs>
                <w:tab w:val="clear" w:pos="975"/>
              </w:tabs>
              <w:rPr>
                <w:rFonts w:eastAsia="Calibri"/>
                <w:b/>
              </w:rPr>
            </w:pPr>
            <w:r>
              <w:t>It can only be used if the company provides it according to the commercial arrangement.</w:t>
            </w:r>
          </w:p>
        </w:tc>
        <w:tc>
          <w:tcPr>
            <w:tcW w:w="826" w:type="pct"/>
            <w:shd w:val="clear" w:color="auto" w:fill="auto"/>
          </w:tcPr>
          <w:p w14:paraId="680ACFB7" w14:textId="77777777" w:rsidR="003C0906" w:rsidRDefault="003C0906" w:rsidP="001F7828">
            <w:pPr>
              <w:tabs>
                <w:tab w:val="clear" w:pos="975"/>
              </w:tabs>
            </w:pPr>
            <w:r w:rsidRPr="000D7DAE">
              <w:t xml:space="preserve">Add to formulary as a </w:t>
            </w:r>
            <w:r>
              <w:t>RED</w:t>
            </w:r>
            <w:r w:rsidRPr="000D7DAE">
              <w:t xml:space="preserve"> drug in this indication, with links to TA107</w:t>
            </w:r>
            <w:r>
              <w:t>4</w:t>
            </w:r>
            <w:r w:rsidRPr="000D7DAE">
              <w:t xml:space="preserve">. </w:t>
            </w:r>
          </w:p>
          <w:p w14:paraId="01CF8919" w14:textId="77777777" w:rsidR="003C0906" w:rsidRDefault="003C0906" w:rsidP="001F7828">
            <w:pPr>
              <w:tabs>
                <w:tab w:val="clear" w:pos="975"/>
              </w:tabs>
            </w:pPr>
          </w:p>
          <w:p w14:paraId="7E027BF8" w14:textId="11CB2534" w:rsidR="00101419" w:rsidRPr="00B769B6" w:rsidRDefault="003C0906" w:rsidP="001F7828">
            <w:pPr>
              <w:tabs>
                <w:tab w:val="clear" w:pos="975"/>
              </w:tabs>
              <w:rPr>
                <w:rFonts w:eastAsia="Calibri"/>
                <w:b/>
              </w:rPr>
            </w:pPr>
            <w:r>
              <w:t xml:space="preserve">Sparsentan is a tariff-excluded </w:t>
            </w:r>
            <w:proofErr w:type="gramStart"/>
            <w:r>
              <w:t>drug</w:t>
            </w:r>
            <w:proofErr w:type="gramEnd"/>
            <w:r>
              <w:t xml:space="preserve"> and a commercial arrangement is in place. Supply is therefore likely to be via secondary care unless mechanisms are put in place for primary care to access the discounted price.</w:t>
            </w:r>
          </w:p>
        </w:tc>
        <w:tc>
          <w:tcPr>
            <w:tcW w:w="898" w:type="pct"/>
            <w:shd w:val="clear" w:color="auto" w:fill="auto"/>
          </w:tcPr>
          <w:p w14:paraId="405AE4AF" w14:textId="77777777" w:rsidR="00101419" w:rsidRPr="00B769B6" w:rsidRDefault="00101419" w:rsidP="001F7828">
            <w:pPr>
              <w:tabs>
                <w:tab w:val="clear" w:pos="975"/>
              </w:tabs>
              <w:rPr>
                <w:rFonts w:eastAsia="Calibri"/>
                <w:b/>
              </w:rPr>
            </w:pPr>
          </w:p>
        </w:tc>
        <w:tc>
          <w:tcPr>
            <w:tcW w:w="983" w:type="pct"/>
            <w:shd w:val="clear" w:color="auto" w:fill="auto"/>
          </w:tcPr>
          <w:p w14:paraId="0F3BE5D4" w14:textId="77777777" w:rsidR="005A1880" w:rsidRDefault="005A1880" w:rsidP="001F7828">
            <w:pPr>
              <w:tabs>
                <w:tab w:val="clear" w:pos="975"/>
              </w:tabs>
            </w:pPr>
            <w:r>
              <w:t xml:space="preserve">A resource template is available but requires input of the confidential price. </w:t>
            </w:r>
          </w:p>
          <w:p w14:paraId="7A03F6B2" w14:textId="17E72CA0" w:rsidR="00101419" w:rsidRPr="001F7828" w:rsidRDefault="005A1880" w:rsidP="001F7828">
            <w:pPr>
              <w:tabs>
                <w:tab w:val="clear" w:pos="975"/>
              </w:tabs>
            </w:pPr>
            <w:r>
              <w:t xml:space="preserve">NICE estimates that primary </w:t>
            </w:r>
            <w:proofErr w:type="spellStart"/>
            <w:r>
              <w:t>IgAN</w:t>
            </w:r>
            <w:proofErr w:type="spellEnd"/>
            <w:r>
              <w:t xml:space="preserve"> affects roughly 565 people in HNY, of whom around 130 may be eligible for treatment with sparsentan. </w:t>
            </w:r>
            <w:r w:rsidRPr="000D7DAE">
              <w:t xml:space="preserve">The comparator treatment for the eligible population is irbesartan. </w:t>
            </w:r>
            <w:r>
              <w:t xml:space="preserve">NICE expect 2 people to take up sparsentan in year 1, increasing to a total of 22 people treated by year 5. </w:t>
            </w:r>
          </w:p>
        </w:tc>
        <w:tc>
          <w:tcPr>
            <w:tcW w:w="963" w:type="pct"/>
            <w:shd w:val="clear" w:color="auto" w:fill="auto"/>
          </w:tcPr>
          <w:p w14:paraId="051C04CD" w14:textId="6B64DFB6" w:rsidR="00692E4D" w:rsidRPr="001F7828" w:rsidRDefault="00692E4D" w:rsidP="001F7828">
            <w:pPr>
              <w:tabs>
                <w:tab w:val="clear" w:pos="975"/>
              </w:tabs>
              <w:rPr>
                <w:rFonts w:eastAsia="Calibri"/>
                <w:b/>
              </w:rPr>
            </w:pPr>
            <w:proofErr w:type="spellStart"/>
            <w:r>
              <w:t>IgAN</w:t>
            </w:r>
            <w:proofErr w:type="spellEnd"/>
            <w:r>
              <w:t xml:space="preserve"> is a progressive kidney disease which can result in end stage renal disease. Patient experts highlighted that delaying the need for kidney transplant has health benefits. Clinical and patient experts also highlighted that the demand for renal services is increasingly impacting the availability of dialysis and waiting times for transplants. The committee recognised these issues and concluded that there were uncaptured benefits of sparsentan to consider in its decision making.</w:t>
            </w:r>
          </w:p>
        </w:tc>
      </w:tr>
      <w:tr w:rsidR="005F42DB" w:rsidRPr="004C41F8" w14:paraId="2D0599DF" w14:textId="77777777" w:rsidTr="001F7828">
        <w:trPr>
          <w:cantSplit/>
          <w:trHeight w:val="548"/>
        </w:trPr>
        <w:tc>
          <w:tcPr>
            <w:tcW w:w="5000" w:type="pct"/>
            <w:gridSpan w:val="5"/>
            <w:shd w:val="clear" w:color="auto" w:fill="auto"/>
          </w:tcPr>
          <w:p w14:paraId="2C61A538" w14:textId="679BEFF4" w:rsidR="005F42DB" w:rsidRPr="004C41F8" w:rsidRDefault="005F42DB" w:rsidP="00870354">
            <w:pPr>
              <w:rPr>
                <w:lang w:val="en-US"/>
              </w:rPr>
            </w:pPr>
            <w:r w:rsidRPr="004C41F8">
              <w:rPr>
                <w:lang w:val="en-US"/>
              </w:rPr>
              <w:t xml:space="preserve">The following NHSE-commissioned medicines received positive NICE appraisals. They will be assessed by provider trusts once all necessary information is available, and if added to the HNY formulary they will have a status of RED </w:t>
            </w:r>
          </w:p>
          <w:p w14:paraId="5ED410DC" w14:textId="77777777" w:rsidR="00512BEA" w:rsidRDefault="00512BEA" w:rsidP="00512BEA">
            <w:pPr>
              <w:tabs>
                <w:tab w:val="clear" w:pos="975"/>
              </w:tabs>
              <w:rPr>
                <w:b/>
                <w:bCs/>
              </w:rPr>
            </w:pPr>
            <w:hyperlink r:id="rId21" w:history="1">
              <w:r w:rsidRPr="00E01B6B">
                <w:rPr>
                  <w:rStyle w:val="Hyperlink"/>
                  <w:rFonts w:cs="Arial"/>
                  <w:b/>
                  <w:bCs/>
                </w:rPr>
                <w:t>TA1071: Atezolizumab for adjuvant treatment of resected non-small-cell lung cancer</w:t>
              </w:r>
            </w:hyperlink>
          </w:p>
          <w:p w14:paraId="7604B0F5" w14:textId="0BFF0A31" w:rsidR="000B1C54" w:rsidRPr="004C41F8" w:rsidRDefault="00E52400" w:rsidP="001F7828">
            <w:pPr>
              <w:tabs>
                <w:tab w:val="clear" w:pos="975"/>
              </w:tabs>
            </w:pPr>
            <w:hyperlink r:id="rId22" w:history="1">
              <w:r w:rsidRPr="00932598">
                <w:rPr>
                  <w:rStyle w:val="Hyperlink"/>
                  <w:rFonts w:cs="Arial"/>
                  <w:b/>
                  <w:bCs/>
                </w:rPr>
                <w:t>TA1073: Marstacimab for treating severe haemophilia A or B in people 12 years and over without anti-factor antibodies</w:t>
              </w:r>
            </w:hyperlink>
          </w:p>
        </w:tc>
      </w:tr>
      <w:tr w:rsidR="00E52400" w:rsidRPr="004C41F8" w14:paraId="0935A703" w14:textId="77777777" w:rsidTr="001F7828">
        <w:trPr>
          <w:cantSplit/>
          <w:trHeight w:val="548"/>
        </w:trPr>
        <w:tc>
          <w:tcPr>
            <w:tcW w:w="5000" w:type="pct"/>
            <w:gridSpan w:val="5"/>
            <w:shd w:val="clear" w:color="auto" w:fill="auto"/>
          </w:tcPr>
          <w:p w14:paraId="7CD49BFD" w14:textId="2374A8FE" w:rsidR="00E52400" w:rsidRDefault="00E52400" w:rsidP="00870354">
            <w:pPr>
              <w:rPr>
                <w:lang w:val="en-US"/>
              </w:rPr>
            </w:pPr>
            <w:r>
              <w:rPr>
                <w:lang w:val="en-US"/>
              </w:rPr>
              <w:t xml:space="preserve">The </w:t>
            </w:r>
            <w:r w:rsidR="00CF4423">
              <w:rPr>
                <w:lang w:val="en-US"/>
              </w:rPr>
              <w:t>f</w:t>
            </w:r>
            <w:r>
              <w:rPr>
                <w:lang w:val="en-US"/>
              </w:rPr>
              <w:t>ollowing</w:t>
            </w:r>
            <w:r w:rsidR="001A7500">
              <w:rPr>
                <w:lang w:val="en-US"/>
              </w:rPr>
              <w:t xml:space="preserve"> </w:t>
            </w:r>
            <w:r w:rsidR="00CF4423" w:rsidRPr="004C41F8">
              <w:rPr>
                <w:lang w:val="en-US"/>
              </w:rPr>
              <w:t xml:space="preserve">NHSE-commissioned medicines </w:t>
            </w:r>
            <w:r w:rsidR="00CF4423">
              <w:rPr>
                <w:lang w:val="en-US"/>
              </w:rPr>
              <w:t xml:space="preserve">have NOT </w:t>
            </w:r>
            <w:r w:rsidR="00CF4423" w:rsidRPr="004C41F8">
              <w:rPr>
                <w:lang w:val="en-US"/>
              </w:rPr>
              <w:t>received positive NICE appraisals</w:t>
            </w:r>
            <w:r w:rsidR="00CF4423">
              <w:rPr>
                <w:lang w:val="en-US"/>
              </w:rPr>
              <w:t>.</w:t>
            </w:r>
            <w:r w:rsidR="0082620A">
              <w:rPr>
                <w:lang w:val="en-US"/>
              </w:rPr>
              <w:t xml:space="preserve"> They will be added </w:t>
            </w:r>
            <w:r w:rsidR="0082620A" w:rsidRPr="003E5661">
              <w:t xml:space="preserve">to </w:t>
            </w:r>
            <w:r w:rsidR="00813388">
              <w:t xml:space="preserve">the </w:t>
            </w:r>
            <w:r w:rsidR="0082620A">
              <w:t>not routinely commissioned list for the listed</w:t>
            </w:r>
            <w:r w:rsidR="0082620A" w:rsidRPr="00274E6D">
              <w:t xml:space="preserve"> indication</w:t>
            </w:r>
            <w:r w:rsidR="0082620A">
              <w:t xml:space="preserve"> with link to the terminated TA</w:t>
            </w:r>
            <w:r w:rsidR="0082620A" w:rsidRPr="003E5661">
              <w:t>,</w:t>
            </w:r>
          </w:p>
          <w:p w14:paraId="5D365A5E" w14:textId="1F68A141" w:rsidR="00CF4423" w:rsidRPr="001F7828" w:rsidRDefault="00CF4423" w:rsidP="001F7828">
            <w:pPr>
              <w:tabs>
                <w:tab w:val="clear" w:pos="975"/>
              </w:tabs>
              <w:rPr>
                <w:b/>
                <w:bCs/>
              </w:rPr>
            </w:pPr>
            <w:hyperlink r:id="rId23" w:history="1">
              <w:r w:rsidRPr="00147AAC">
                <w:rPr>
                  <w:rStyle w:val="Hyperlink"/>
                  <w:rFonts w:cs="Arial"/>
                  <w:b/>
                  <w:bCs/>
                </w:rPr>
                <w:t>TA1072: Tislelizumab for treating advanced non-small-cell lung cancer after platinum-based chemotherapy (terminated appraisal)</w:t>
              </w:r>
            </w:hyperlink>
          </w:p>
        </w:tc>
      </w:tr>
      <w:tr w:rsidR="00890B23" w:rsidRPr="004C41F8" w14:paraId="0F3428C8" w14:textId="77777777" w:rsidTr="001F7828">
        <w:trPr>
          <w:cantSplit/>
        </w:trPr>
        <w:tc>
          <w:tcPr>
            <w:tcW w:w="5000" w:type="pct"/>
            <w:gridSpan w:val="5"/>
            <w:shd w:val="clear" w:color="auto" w:fill="auto"/>
          </w:tcPr>
          <w:p w14:paraId="74745772" w14:textId="77777777" w:rsidR="00890B23" w:rsidRPr="004C41F8" w:rsidRDefault="00890B23" w:rsidP="0028306A">
            <w:pPr>
              <w:jc w:val="center"/>
              <w:rPr>
                <w:iCs/>
              </w:rPr>
            </w:pPr>
            <w:r w:rsidRPr="004C41F8">
              <w:rPr>
                <w:rFonts w:eastAsia="Calibri"/>
              </w:rPr>
              <w:t>All links to MHRA drug safety updates added to formulary as published. Significant alerts where further action is required are highlighted.</w:t>
            </w:r>
          </w:p>
        </w:tc>
      </w:tr>
    </w:tbl>
    <w:p w14:paraId="6A3D49F8" w14:textId="4C4B9C0A" w:rsidR="00686FE4" w:rsidRPr="004C41F8" w:rsidRDefault="00686FE4" w:rsidP="00432265">
      <w:pPr>
        <w:pStyle w:val="BodyText"/>
        <w:tabs>
          <w:tab w:val="clear" w:pos="975"/>
        </w:tabs>
        <w:spacing w:before="68" w:after="0"/>
        <w:ind w:left="1"/>
        <w:jc w:val="center"/>
        <w:rPr>
          <w:rFonts w:ascii="Helvetica" w:hAnsi="Helvetica" w:cs="Helvetica"/>
          <w:color w:val="4C4D4F"/>
        </w:rPr>
      </w:pPr>
    </w:p>
    <w:p w14:paraId="2AD71F3F" w14:textId="1F7D0753" w:rsidR="00121DDE" w:rsidRPr="004C41F8" w:rsidRDefault="006E26D1" w:rsidP="00432265">
      <w:pPr>
        <w:pStyle w:val="BodyText"/>
        <w:spacing w:before="68"/>
        <w:ind w:left="1"/>
        <w:jc w:val="center"/>
        <w:rPr>
          <w:color w:val="4C4D4F"/>
        </w:rPr>
      </w:pPr>
      <w:r w:rsidRPr="004C41F8">
        <w:rPr>
          <w:color w:val="4C4D4F"/>
        </w:rPr>
        <w:t>HNY APC</w:t>
      </w:r>
      <w:r w:rsidR="00121DDE" w:rsidRPr="004C41F8">
        <w:rPr>
          <w:color w:val="4C4D4F"/>
        </w:rPr>
        <w:t xml:space="preserve"> Professional Secretariat Provided by:</w:t>
      </w:r>
    </w:p>
    <w:p w14:paraId="6B573C23" w14:textId="1FD433E2" w:rsidR="00432265" w:rsidRPr="004C41F8" w:rsidRDefault="00432265" w:rsidP="00432265">
      <w:pPr>
        <w:pStyle w:val="BodyText"/>
        <w:spacing w:before="68"/>
        <w:ind w:left="1"/>
        <w:jc w:val="center"/>
      </w:pPr>
      <w:r w:rsidRPr="004C41F8">
        <w:rPr>
          <w:color w:val="4C4D4F"/>
        </w:rPr>
        <w:t>Regional Drug and Therapeutics Centre</w:t>
      </w:r>
    </w:p>
    <w:p w14:paraId="0CAAF172" w14:textId="77777777" w:rsidR="00432265" w:rsidRPr="004C41F8" w:rsidRDefault="00432265" w:rsidP="00432265">
      <w:pPr>
        <w:pStyle w:val="BodyText"/>
        <w:spacing w:before="4"/>
        <w:ind w:left="1"/>
        <w:jc w:val="center"/>
      </w:pPr>
      <w:r w:rsidRPr="004C41F8">
        <w:rPr>
          <w:color w:val="4C4D4F"/>
        </w:rPr>
        <w:t>16/17 Framlington Place, Newcastle upon Tyne, NE2 4AB</w:t>
      </w:r>
    </w:p>
    <w:p w14:paraId="5602DB6E" w14:textId="49D7488E" w:rsidR="00432265" w:rsidRPr="004C41F8" w:rsidRDefault="00432265" w:rsidP="00BB0161">
      <w:pPr>
        <w:tabs>
          <w:tab w:val="left" w:pos="1770"/>
          <w:tab w:val="left" w:pos="3611"/>
          <w:tab w:val="left" w:pos="6712"/>
        </w:tabs>
        <w:spacing w:before="3"/>
        <w:jc w:val="center"/>
      </w:pPr>
      <w:bookmarkStart w:id="1" w:name="_Hlk183004187"/>
      <w:r w:rsidRPr="004C41F8">
        <w:rPr>
          <w:color w:val="4C4D4F"/>
          <w:spacing w:val="-5"/>
        </w:rPr>
        <w:t xml:space="preserve">Tel: </w:t>
      </w:r>
      <w:r w:rsidRPr="004C41F8">
        <w:rPr>
          <w:b/>
          <w:color w:val="4C4D4F"/>
        </w:rPr>
        <w:t>0191</w:t>
      </w:r>
      <w:r w:rsidRPr="004C41F8">
        <w:rPr>
          <w:b/>
          <w:color w:val="4C4D4F"/>
          <w:spacing w:val="15"/>
        </w:rPr>
        <w:t xml:space="preserve"> </w:t>
      </w:r>
      <w:r w:rsidRPr="004C41F8">
        <w:rPr>
          <w:b/>
          <w:color w:val="4C4D4F"/>
        </w:rPr>
        <w:t>213</w:t>
      </w:r>
      <w:r w:rsidRPr="004C41F8">
        <w:rPr>
          <w:b/>
          <w:color w:val="4C4D4F"/>
          <w:spacing w:val="5"/>
        </w:rPr>
        <w:t xml:space="preserve"> </w:t>
      </w:r>
      <w:r w:rsidRPr="004C41F8">
        <w:rPr>
          <w:b/>
          <w:color w:val="4C4D4F"/>
        </w:rPr>
        <w:t>7855</w:t>
      </w:r>
      <w:r w:rsidRPr="004C41F8">
        <w:rPr>
          <w:b/>
          <w:color w:val="4C4D4F"/>
        </w:rPr>
        <w:tab/>
      </w:r>
      <w:r w:rsidRPr="004C41F8">
        <w:rPr>
          <w:color w:val="4C4D4F"/>
        </w:rPr>
        <w:t>email:</w:t>
      </w:r>
      <w:r w:rsidR="009F2D6C" w:rsidRPr="004C41F8">
        <w:rPr>
          <w:color w:val="4C4D4F"/>
        </w:rPr>
        <w:t xml:space="preserve"> </w:t>
      </w:r>
      <w:hyperlink r:id="rId24" w:history="1">
        <w:r w:rsidR="00BB0161" w:rsidRPr="004C41F8">
          <w:rPr>
            <w:rStyle w:val="Hyperlink"/>
            <w:rFonts w:cs="Arial"/>
          </w:rPr>
          <w:t>nuth.nyrdtc.rxsupp@nhs.net</w:t>
        </w:r>
      </w:hyperlink>
      <w:r w:rsidR="009F2D6C" w:rsidRPr="004C41F8">
        <w:t xml:space="preserve"> </w:t>
      </w:r>
      <w:r w:rsidRPr="004C41F8">
        <w:rPr>
          <w:color w:val="4C4D4F"/>
        </w:rPr>
        <w:t>visit:</w:t>
      </w:r>
      <w:r w:rsidRPr="004C41F8">
        <w:rPr>
          <w:color w:val="4C4D4F"/>
          <w:spacing w:val="4"/>
        </w:rPr>
        <w:t xml:space="preserve"> </w:t>
      </w:r>
      <w:hyperlink r:id="rId25" w:history="1">
        <w:r w:rsidR="00BB0161" w:rsidRPr="004C41F8">
          <w:rPr>
            <w:rStyle w:val="Hyperlink"/>
            <w:rFonts w:cs="Arial"/>
          </w:rPr>
          <w:t>https://humberandnorthyorkshire.org.uk/area-prescribing-committee-apc/</w:t>
        </w:r>
      </w:hyperlink>
      <w:r w:rsidR="00BB0161" w:rsidRPr="004C41F8">
        <w:t xml:space="preserve"> </w:t>
      </w:r>
    </w:p>
    <w:bookmarkEnd w:id="1"/>
    <w:p w14:paraId="46A8EF24" w14:textId="6100612A" w:rsidR="00432265" w:rsidRPr="004C41F8" w:rsidRDefault="00432265" w:rsidP="00432265">
      <w:pPr>
        <w:ind w:left="12"/>
        <w:jc w:val="center"/>
      </w:pPr>
      <w:r w:rsidRPr="004C41F8">
        <w:rPr>
          <w:noProof/>
          <w:position w:val="-15"/>
          <w:lang w:eastAsia="en-GB"/>
        </w:rPr>
        <w:drawing>
          <wp:inline distT="0" distB="0" distL="0" distR="0" wp14:anchorId="29439FBE" wp14:editId="22541797">
            <wp:extent cx="295147" cy="295147"/>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6" cstate="print"/>
                    <a:stretch>
                      <a:fillRect/>
                    </a:stretch>
                  </pic:blipFill>
                  <pic:spPr>
                    <a:xfrm>
                      <a:off x="0" y="0"/>
                      <a:ext cx="295147" cy="295147"/>
                    </a:xfrm>
                    <a:prstGeom prst="rect">
                      <a:avLst/>
                    </a:prstGeom>
                  </pic:spPr>
                </pic:pic>
              </a:graphicData>
            </a:graphic>
          </wp:inline>
        </w:drawing>
      </w:r>
      <w:r w:rsidR="009F2D6C" w:rsidRPr="004C41F8">
        <w:rPr>
          <w:rFonts w:ascii="Times New Roman"/>
        </w:rPr>
        <w:t xml:space="preserve"> </w:t>
      </w:r>
      <w:hyperlink r:id="rId27">
        <w:r w:rsidRPr="004C41F8">
          <w:rPr>
            <w:color w:val="456DA9"/>
          </w:rPr>
          <w:t>@RDTC_Rx</w:t>
        </w:r>
      </w:hyperlink>
    </w:p>
    <w:p w14:paraId="59EB0C4C" w14:textId="77777777" w:rsidR="00432265" w:rsidRPr="004C41F8" w:rsidRDefault="00432265" w:rsidP="00432265">
      <w:pPr>
        <w:spacing w:before="56" w:line="266" w:lineRule="auto"/>
        <w:ind w:left="613" w:right="610"/>
        <w:jc w:val="center"/>
      </w:pPr>
      <w:r w:rsidRPr="004C41F8">
        <w:rPr>
          <w:color w:val="4C4D4F"/>
        </w:rPr>
        <w:t>THIS DOCUMENT IS INTENDED FOR USE BY NHS HEALTHCARE PROFESSIONALS AND CANNOT BE USED FOR COMMERCIAL OR MARKETING PURPOSES. PATIENT INFORMATION ON MANY TOPICS CAN BE ACCESSED VIA NHS CHOICES</w:t>
      </w:r>
    </w:p>
    <w:p w14:paraId="1C69CFD9" w14:textId="77777777" w:rsidR="0016537D" w:rsidRPr="004C41F8" w:rsidRDefault="0016537D" w:rsidP="00432265">
      <w:pPr>
        <w:pStyle w:val="BodyText"/>
        <w:tabs>
          <w:tab w:val="clear" w:pos="975"/>
        </w:tabs>
        <w:spacing w:before="68" w:after="0"/>
        <w:ind w:left="1"/>
        <w:jc w:val="center"/>
      </w:pPr>
    </w:p>
    <w:p w14:paraId="0FC21B9B" w14:textId="677031FB" w:rsidR="00FF7AEF" w:rsidRDefault="00FF7AEF">
      <w:pPr>
        <w:tabs>
          <w:tab w:val="clear" w:pos="975"/>
        </w:tabs>
        <w:spacing w:before="0" w:after="0"/>
      </w:pPr>
    </w:p>
    <w:p w14:paraId="18E7B011" w14:textId="77777777" w:rsidR="0016537D" w:rsidRPr="004C41F8" w:rsidRDefault="0016537D" w:rsidP="00432265">
      <w:pPr>
        <w:pStyle w:val="BodyText"/>
        <w:tabs>
          <w:tab w:val="clear" w:pos="975"/>
        </w:tabs>
        <w:spacing w:before="68" w:after="0"/>
        <w:ind w:left="1"/>
        <w:jc w:val="center"/>
      </w:pPr>
    </w:p>
    <w:tbl>
      <w:tblPr>
        <w:tblStyle w:val="TableGrid"/>
        <w:tblW w:w="15382" w:type="dxa"/>
        <w:tblInd w:w="279" w:type="dxa"/>
        <w:tblLook w:val="04A0" w:firstRow="1" w:lastRow="0" w:firstColumn="1" w:lastColumn="0" w:noHBand="0" w:noVBand="1"/>
      </w:tblPr>
      <w:tblGrid>
        <w:gridCol w:w="2340"/>
        <w:gridCol w:w="5026"/>
        <w:gridCol w:w="2487"/>
        <w:gridCol w:w="5529"/>
      </w:tblGrid>
      <w:tr w:rsidR="007E18E4" w:rsidRPr="004C41F8" w14:paraId="134B13FE" w14:textId="77777777" w:rsidTr="003E1755">
        <w:tc>
          <w:tcPr>
            <w:tcW w:w="15382" w:type="dxa"/>
            <w:gridSpan w:val="4"/>
            <w:shd w:val="clear" w:color="auto" w:fill="auto"/>
          </w:tcPr>
          <w:p w14:paraId="7C4F8FC3" w14:textId="3A66573F" w:rsidR="007E18E4" w:rsidRPr="004C41F8" w:rsidRDefault="00FF245F" w:rsidP="007E18E4">
            <w:pPr>
              <w:rPr>
                <w:b/>
                <w:bCs/>
              </w:rPr>
            </w:pPr>
            <w:r w:rsidRPr="004C41F8">
              <w:br w:type="page"/>
            </w:r>
            <w:r w:rsidR="007E18E4" w:rsidRPr="004C41F8">
              <w:rPr>
                <w:b/>
                <w:bCs/>
              </w:rPr>
              <w:t>RAG classifications for joint Humber and North Yorkshire ICB formulary</w:t>
            </w:r>
          </w:p>
        </w:tc>
      </w:tr>
      <w:tr w:rsidR="007E18E4" w:rsidRPr="004C41F8" w14:paraId="06FDB248" w14:textId="2D1D7E07" w:rsidTr="003E1755">
        <w:tc>
          <w:tcPr>
            <w:tcW w:w="2340" w:type="dxa"/>
            <w:shd w:val="clear" w:color="auto" w:fill="FF0000"/>
          </w:tcPr>
          <w:p w14:paraId="3E925C72" w14:textId="77777777" w:rsidR="007E18E4" w:rsidRPr="004C41F8" w:rsidRDefault="007E18E4" w:rsidP="007E18E4">
            <w:pPr>
              <w:rPr>
                <w:b/>
                <w:bCs/>
              </w:rPr>
            </w:pPr>
            <w:r w:rsidRPr="004C41F8">
              <w:rPr>
                <w:b/>
                <w:bCs/>
              </w:rPr>
              <w:t xml:space="preserve">Red </w:t>
            </w:r>
          </w:p>
        </w:tc>
        <w:tc>
          <w:tcPr>
            <w:tcW w:w="5026" w:type="dxa"/>
          </w:tcPr>
          <w:p w14:paraId="0FF14EAB" w14:textId="77777777" w:rsidR="007E18E4" w:rsidRPr="004C41F8" w:rsidRDefault="007E18E4" w:rsidP="007E18E4">
            <w:r w:rsidRPr="004C41F8">
              <w:t xml:space="preserve">Specialist prescribing only </w:t>
            </w:r>
          </w:p>
          <w:p w14:paraId="3763B403" w14:textId="518F28E6" w:rsidR="007E18E4" w:rsidRPr="004C41F8" w:rsidRDefault="007E18E4" w:rsidP="007E18E4">
            <w:r w:rsidRPr="004C41F8">
              <w:t xml:space="preserve">The specialist initiates, continues and completes all ongoing monitoring. </w:t>
            </w:r>
          </w:p>
        </w:tc>
        <w:tc>
          <w:tcPr>
            <w:tcW w:w="2487" w:type="dxa"/>
            <w:shd w:val="clear" w:color="auto" w:fill="FFC000"/>
          </w:tcPr>
          <w:p w14:paraId="1F495ACC" w14:textId="77777777" w:rsidR="007E18E4" w:rsidRPr="004C41F8" w:rsidRDefault="007E18E4" w:rsidP="007E18E4">
            <w:pPr>
              <w:rPr>
                <w:b/>
                <w:bCs/>
              </w:rPr>
            </w:pPr>
            <w:r w:rsidRPr="004C41F8">
              <w:rPr>
                <w:b/>
                <w:bCs/>
              </w:rPr>
              <w:t>Amber specialist recommendation (Amber SR)</w:t>
            </w:r>
          </w:p>
          <w:p w14:paraId="5C2D04D9" w14:textId="77777777" w:rsidR="007E18E4" w:rsidRPr="004C41F8" w:rsidRDefault="007E18E4" w:rsidP="007E18E4">
            <w:pPr>
              <w:rPr>
                <w:b/>
                <w:bCs/>
              </w:rPr>
            </w:pPr>
          </w:p>
          <w:p w14:paraId="6447963B" w14:textId="461FD046" w:rsidR="007E18E4" w:rsidRPr="004C41F8" w:rsidRDefault="007E18E4" w:rsidP="007E18E4">
            <w:r w:rsidRPr="004C41F8">
              <w:t>Formerly known as Amber 1 in Humber</w:t>
            </w:r>
          </w:p>
        </w:tc>
        <w:tc>
          <w:tcPr>
            <w:tcW w:w="5529" w:type="dxa"/>
          </w:tcPr>
          <w:p w14:paraId="4D85E64B" w14:textId="77777777" w:rsidR="007E18E4" w:rsidRPr="004C41F8" w:rsidRDefault="007E18E4" w:rsidP="007E18E4">
            <w:r w:rsidRPr="004C41F8">
              <w:t>Does not need to be initiated by a specialist but can be recommended by a specialist to general practice.</w:t>
            </w:r>
          </w:p>
          <w:p w14:paraId="5F788FD5" w14:textId="24E0B56C" w:rsidR="007E18E4" w:rsidRPr="004C41F8" w:rsidRDefault="007E18E4" w:rsidP="007E18E4">
            <w:r w:rsidRPr="004C41F8">
              <w:t xml:space="preserve">No ongoing arrangements between specialist and general practice. General practice can </w:t>
            </w:r>
            <w:proofErr w:type="gramStart"/>
            <w:r w:rsidRPr="004C41F8">
              <w:t>refer back</w:t>
            </w:r>
            <w:proofErr w:type="gramEnd"/>
            <w:r w:rsidRPr="004C41F8">
              <w:t xml:space="preserve"> to specialist at any time in relation to medication query, if required.</w:t>
            </w:r>
          </w:p>
        </w:tc>
      </w:tr>
      <w:tr w:rsidR="007E18E4" w:rsidRPr="004C41F8" w14:paraId="35763245" w14:textId="2F32CE8C" w:rsidTr="003E1755">
        <w:tc>
          <w:tcPr>
            <w:tcW w:w="2340" w:type="dxa"/>
            <w:shd w:val="clear" w:color="auto" w:fill="FFC000"/>
          </w:tcPr>
          <w:p w14:paraId="4DAD29CE" w14:textId="77777777" w:rsidR="007E18E4" w:rsidRPr="004C41F8" w:rsidRDefault="007E18E4" w:rsidP="007E18E4">
            <w:pPr>
              <w:rPr>
                <w:b/>
                <w:bCs/>
              </w:rPr>
            </w:pPr>
            <w:r w:rsidRPr="004C41F8">
              <w:rPr>
                <w:b/>
                <w:bCs/>
                <w:shd w:val="clear" w:color="auto" w:fill="FFC000"/>
              </w:rPr>
              <w:t>Amber shared care</w:t>
            </w:r>
            <w:r w:rsidRPr="004C41F8">
              <w:rPr>
                <w:b/>
                <w:bCs/>
              </w:rPr>
              <w:t xml:space="preserve"> (Amber SCP)</w:t>
            </w:r>
          </w:p>
        </w:tc>
        <w:tc>
          <w:tcPr>
            <w:tcW w:w="5026" w:type="dxa"/>
          </w:tcPr>
          <w:p w14:paraId="07299FC7" w14:textId="77777777" w:rsidR="007E18E4" w:rsidRPr="004C41F8" w:rsidRDefault="007E18E4" w:rsidP="007E18E4">
            <w:pPr>
              <w:rPr>
                <w:color w:val="000000"/>
                <w:shd w:val="clear" w:color="auto" w:fill="FFFFFF"/>
              </w:rPr>
            </w:pPr>
            <w:r w:rsidRPr="004C41F8">
              <w:rPr>
                <w:color w:val="000000"/>
                <w:shd w:val="clear" w:color="auto" w:fill="FFFFFF"/>
              </w:rPr>
              <w:t xml:space="preserve">Specialist initiation with ongoing monitoring </w:t>
            </w:r>
          </w:p>
          <w:p w14:paraId="62E343E6" w14:textId="77777777" w:rsidR="007E18E4" w:rsidRPr="004C41F8" w:rsidRDefault="007E18E4" w:rsidP="007E18E4">
            <w:pPr>
              <w:rPr>
                <w:color w:val="000000"/>
                <w:shd w:val="clear" w:color="auto" w:fill="FFFFFF"/>
              </w:rPr>
            </w:pPr>
            <w:r w:rsidRPr="004C41F8">
              <w:rPr>
                <w:color w:val="000000"/>
                <w:shd w:val="clear" w:color="auto" w:fill="FFFFFF"/>
              </w:rPr>
              <w:t xml:space="preserve">Medicines that must be initiated by a specialist*, and which require significant monitoring on an ongoing basis. </w:t>
            </w:r>
          </w:p>
          <w:p w14:paraId="43B0A7A5" w14:textId="77777777" w:rsidR="007E18E4" w:rsidRPr="004C41F8" w:rsidRDefault="007E18E4" w:rsidP="007E18E4">
            <w:pPr>
              <w:rPr>
                <w:color w:val="000000"/>
                <w:shd w:val="clear" w:color="auto" w:fill="FFFFFF"/>
              </w:rPr>
            </w:pPr>
            <w:r w:rsidRPr="004C41F8">
              <w:rPr>
                <w:color w:val="000000"/>
                <w:shd w:val="clear" w:color="auto" w:fill="FFFFFF"/>
              </w:rPr>
              <w:t>Full agreement to share the care of each specific patient must be reached under the shared care protocol (SCP) which must be provided to the primary care provider.</w:t>
            </w:r>
          </w:p>
          <w:p w14:paraId="6B1C3DA7" w14:textId="77777777" w:rsidR="007E18E4" w:rsidRPr="004C41F8" w:rsidRDefault="007E18E4" w:rsidP="007E18E4">
            <w:pPr>
              <w:rPr>
                <w:color w:val="000000"/>
                <w:shd w:val="clear" w:color="auto" w:fill="FFFFFF"/>
              </w:rPr>
            </w:pPr>
            <w:r w:rsidRPr="004C41F8">
              <w:rPr>
                <w:color w:val="000000"/>
                <w:shd w:val="clear" w:color="auto" w:fill="FFFFFF"/>
              </w:rPr>
              <w:t>If a commissioned SCP is not available these must be treated as red.</w:t>
            </w:r>
          </w:p>
        </w:tc>
        <w:tc>
          <w:tcPr>
            <w:tcW w:w="2487" w:type="dxa"/>
            <w:shd w:val="clear" w:color="auto" w:fill="92D050"/>
          </w:tcPr>
          <w:p w14:paraId="5B9CB278" w14:textId="77777777" w:rsidR="007E18E4" w:rsidRPr="004C41F8" w:rsidRDefault="007E18E4" w:rsidP="007E18E4">
            <w:pPr>
              <w:rPr>
                <w:b/>
                <w:bCs/>
              </w:rPr>
            </w:pPr>
            <w:r w:rsidRPr="004C41F8">
              <w:rPr>
                <w:b/>
                <w:bCs/>
              </w:rPr>
              <w:t>Green (with pathway/guideline)</w:t>
            </w:r>
          </w:p>
          <w:p w14:paraId="25779550" w14:textId="77777777" w:rsidR="007E18E4" w:rsidRPr="004C41F8" w:rsidRDefault="007E18E4" w:rsidP="007E18E4">
            <w:pPr>
              <w:rPr>
                <w:b/>
                <w:bCs/>
              </w:rPr>
            </w:pPr>
          </w:p>
          <w:p w14:paraId="2B8A5296" w14:textId="77A7F13B" w:rsidR="007E18E4" w:rsidRPr="004C41F8" w:rsidRDefault="007E18E4" w:rsidP="007E18E4">
            <w:pPr>
              <w:rPr>
                <w:color w:val="000000"/>
                <w:shd w:val="clear" w:color="auto" w:fill="FFFFFF"/>
              </w:rPr>
            </w:pPr>
            <w:r w:rsidRPr="004C41F8">
              <w:t>Formerly known as Amber 1 in Humber</w:t>
            </w:r>
          </w:p>
        </w:tc>
        <w:tc>
          <w:tcPr>
            <w:tcW w:w="5529" w:type="dxa"/>
          </w:tcPr>
          <w:p w14:paraId="4B2AA77A" w14:textId="00DE561B" w:rsidR="007E18E4" w:rsidRPr="004C41F8" w:rsidRDefault="007E18E4" w:rsidP="007E18E4">
            <w:pPr>
              <w:rPr>
                <w:color w:val="000000"/>
                <w:shd w:val="clear" w:color="auto" w:fill="FFFFFF"/>
              </w:rPr>
            </w:pPr>
            <w:r w:rsidRPr="004C41F8">
              <w:t>Can be prescribed in primary care in line with a recommended approved pathway/guideline.</w:t>
            </w:r>
          </w:p>
        </w:tc>
      </w:tr>
      <w:tr w:rsidR="007E18E4" w:rsidRPr="004C41F8" w14:paraId="2A87E35C" w14:textId="3E67CC43" w:rsidTr="003E1755">
        <w:tc>
          <w:tcPr>
            <w:tcW w:w="2340" w:type="dxa"/>
            <w:shd w:val="clear" w:color="auto" w:fill="FFC000"/>
          </w:tcPr>
          <w:p w14:paraId="12734BA0" w14:textId="77777777" w:rsidR="007E18E4" w:rsidRPr="004C41F8" w:rsidRDefault="007E18E4" w:rsidP="007E18E4">
            <w:pPr>
              <w:rPr>
                <w:b/>
                <w:bCs/>
              </w:rPr>
            </w:pPr>
            <w:r w:rsidRPr="004C41F8">
              <w:rPr>
                <w:b/>
                <w:bCs/>
              </w:rPr>
              <w:t>Amber specialist initiation</w:t>
            </w:r>
          </w:p>
          <w:p w14:paraId="6C28E255" w14:textId="77777777" w:rsidR="007E18E4" w:rsidRPr="004C41F8" w:rsidRDefault="007E18E4" w:rsidP="007E18E4">
            <w:pPr>
              <w:rPr>
                <w:b/>
                <w:bCs/>
              </w:rPr>
            </w:pPr>
            <w:r w:rsidRPr="004C41F8">
              <w:rPr>
                <w:b/>
                <w:bCs/>
              </w:rPr>
              <w:t>(Amber SI)</w:t>
            </w:r>
          </w:p>
          <w:p w14:paraId="777FD355" w14:textId="77777777" w:rsidR="007E18E4" w:rsidRPr="004C41F8" w:rsidRDefault="007E18E4" w:rsidP="007E18E4">
            <w:pPr>
              <w:rPr>
                <w:b/>
                <w:bCs/>
              </w:rPr>
            </w:pPr>
          </w:p>
          <w:p w14:paraId="7DDB58D7" w14:textId="77777777" w:rsidR="007E18E4" w:rsidRPr="004C41F8" w:rsidRDefault="007E18E4" w:rsidP="007E18E4">
            <w:r w:rsidRPr="004C41F8">
              <w:t>Formerly known as Amber 2 in Humber</w:t>
            </w:r>
          </w:p>
        </w:tc>
        <w:tc>
          <w:tcPr>
            <w:tcW w:w="5026" w:type="dxa"/>
          </w:tcPr>
          <w:p w14:paraId="62EC1EC6" w14:textId="6466A9DB" w:rsidR="007E18E4" w:rsidRPr="004C41F8" w:rsidRDefault="007E18E4" w:rsidP="007E18E4">
            <w:r w:rsidRPr="004C41F8">
              <w:t xml:space="preserve">Must be started by a specialist and remain with specialist until the patient is stable on the new medicine but can then be transferred to primary care (general practice) to continue prescribing without ongoing arrangements between specialist and general practice. General practice can </w:t>
            </w:r>
            <w:proofErr w:type="gramStart"/>
            <w:r w:rsidRPr="004C41F8">
              <w:t>refer back</w:t>
            </w:r>
            <w:proofErr w:type="gramEnd"/>
            <w:r w:rsidRPr="004C41F8">
              <w:t xml:space="preserve"> to specialist at any time in relation to medication query, if required.</w:t>
            </w:r>
          </w:p>
          <w:p w14:paraId="176576B6" w14:textId="77777777" w:rsidR="007E18E4" w:rsidRPr="004C41F8" w:rsidRDefault="007E18E4" w:rsidP="007E18E4"/>
        </w:tc>
        <w:tc>
          <w:tcPr>
            <w:tcW w:w="2487" w:type="dxa"/>
            <w:shd w:val="clear" w:color="auto" w:fill="92D050"/>
          </w:tcPr>
          <w:p w14:paraId="2C5B704D" w14:textId="6C99EC0C" w:rsidR="007E18E4" w:rsidRPr="004C41F8" w:rsidRDefault="007E18E4" w:rsidP="007E18E4">
            <w:r w:rsidRPr="004C41F8">
              <w:rPr>
                <w:b/>
                <w:bCs/>
              </w:rPr>
              <w:t>Green (no pathway/guideline)</w:t>
            </w:r>
          </w:p>
        </w:tc>
        <w:tc>
          <w:tcPr>
            <w:tcW w:w="5529" w:type="dxa"/>
          </w:tcPr>
          <w:p w14:paraId="680188EF" w14:textId="77777777" w:rsidR="007E18E4" w:rsidRPr="004C41F8" w:rsidRDefault="007E18E4" w:rsidP="007E18E4">
            <w:r w:rsidRPr="004C41F8">
              <w:rPr>
                <w:color w:val="000000"/>
                <w:shd w:val="clear" w:color="auto" w:fill="FFFFFF"/>
              </w:rPr>
              <w:t xml:space="preserve">Medicines suitable for routine use within primary care and secondary care. </w:t>
            </w:r>
          </w:p>
          <w:p w14:paraId="2F13F11F" w14:textId="1DEF38E1" w:rsidR="007E18E4" w:rsidRPr="004C41F8" w:rsidRDefault="007E18E4" w:rsidP="007E18E4">
            <w:r w:rsidRPr="004C41F8">
              <w:t>Can be prescribed in primary care, as per the wording on the formulary and considering both the drug SPC and BNF.</w:t>
            </w:r>
          </w:p>
        </w:tc>
      </w:tr>
    </w:tbl>
    <w:p w14:paraId="31164644" w14:textId="77777777" w:rsidR="007E18E4" w:rsidRPr="004C41F8" w:rsidRDefault="007E18E4" w:rsidP="00432265">
      <w:pPr>
        <w:pStyle w:val="BodyText"/>
        <w:tabs>
          <w:tab w:val="clear" w:pos="975"/>
        </w:tabs>
        <w:spacing w:before="68" w:after="0"/>
        <w:ind w:left="1"/>
        <w:jc w:val="center"/>
      </w:pPr>
    </w:p>
    <w:sectPr w:rsidR="007E18E4" w:rsidRPr="004C41F8" w:rsidSect="006E26D1">
      <w:footerReference w:type="even" r:id="rId28"/>
      <w:footerReference w:type="default" r:id="rId29"/>
      <w:footerReference w:type="first" r:id="rId30"/>
      <w:pgSz w:w="16840" w:h="11910" w:orient="landscape" w:code="9"/>
      <w:pgMar w:top="567" w:right="522" w:bottom="992" w:left="425" w:header="720" w:footer="1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33549" w14:textId="77777777" w:rsidR="00953EA0" w:rsidRDefault="00953EA0" w:rsidP="007909C3">
      <w:r>
        <w:separator/>
      </w:r>
    </w:p>
  </w:endnote>
  <w:endnote w:type="continuationSeparator" w:id="0">
    <w:p w14:paraId="7E330D39" w14:textId="77777777" w:rsidR="00953EA0" w:rsidRDefault="00953EA0" w:rsidP="007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Oblique">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18DE6" w14:textId="1C555584" w:rsidR="00383A54" w:rsidRDefault="00383A54" w:rsidP="007909C3">
    <w:pPr>
      <w:pStyle w:val="Footer"/>
    </w:pPr>
    <w:r>
      <w:rPr>
        <w:noProof/>
        <w:sz w:val="13"/>
        <w:lang w:eastAsia="en-GB"/>
      </w:rPr>
      <w:drawing>
        <wp:inline distT="0" distB="0" distL="0" distR="0" wp14:anchorId="0D21034A" wp14:editId="4687F224">
          <wp:extent cx="539497" cy="222504"/>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rsidR="009F2D6C">
      <w:t xml:space="preserve"> </w:t>
    </w:r>
    <w:r w:rsidRPr="00B47BFE">
      <w:t>Produced by the Regional Drug and Therapeutics Centre</w:t>
    </w:r>
    <w:r w:rsidR="009F2D6C">
      <w:t xml:space="preserve"> </w:t>
    </w:r>
    <w:r>
      <w:tab/>
    </w:r>
    <w:r>
      <w:tab/>
    </w:r>
    <w:r w:rsidR="001849DB">
      <w:t>August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2AC2A" w14:textId="275AE2F7" w:rsidR="00761464" w:rsidRDefault="00383A54" w:rsidP="007909C3">
    <w:pPr>
      <w:pStyle w:val="Footer"/>
    </w:pPr>
    <w:r>
      <w:rPr>
        <w:noProof/>
        <w:sz w:val="13"/>
        <w:lang w:eastAsia="en-GB"/>
      </w:rPr>
      <w:drawing>
        <wp:inline distT="0" distB="0" distL="0" distR="0" wp14:anchorId="68613B1F" wp14:editId="7526119D">
          <wp:extent cx="539497" cy="222504"/>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rsidR="009F2D6C">
      <w:t xml:space="preserve"> </w:t>
    </w:r>
    <w:r w:rsidR="003E1755" w:rsidRPr="003E1755">
      <w:t>* See end of document for full RAG definitions</w:t>
    </w:r>
    <w:r>
      <w:tab/>
    </w:r>
    <w:r>
      <w:tab/>
    </w:r>
    <w:r>
      <w:tab/>
    </w:r>
    <w:r>
      <w:tab/>
    </w:r>
    <w:r>
      <w:tab/>
    </w:r>
    <w:r>
      <w:tab/>
    </w:r>
    <w:r>
      <w:tab/>
    </w:r>
    <w:r>
      <w:tab/>
    </w:r>
    <w:r>
      <w:tab/>
    </w:r>
    <w:r w:rsidR="001F7828">
      <w:t>July</w:t>
    </w:r>
    <w:r w:rsidR="00690336">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31AC" w14:textId="75900FBA" w:rsidR="00383A54" w:rsidRDefault="00383A54" w:rsidP="007909C3">
    <w:pPr>
      <w:pStyle w:val="Footer"/>
    </w:pPr>
    <w:r>
      <w:rPr>
        <w:noProof/>
        <w:sz w:val="13"/>
        <w:lang w:eastAsia="en-GB"/>
      </w:rPr>
      <w:drawing>
        <wp:inline distT="0" distB="0" distL="0" distR="0" wp14:anchorId="507EAFD1" wp14:editId="272BC177">
          <wp:extent cx="539497" cy="222504"/>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ab/>
    </w:r>
    <w:r w:rsidR="009F2D6C">
      <w:t xml:space="preserve"> </w:t>
    </w:r>
    <w:r w:rsidRPr="00B47BFE">
      <w:t>Produced by the Regional Drug and Therapeutics Centre</w:t>
    </w:r>
    <w:r w:rsidR="009F2D6C">
      <w:t xml:space="preserve"> </w:t>
    </w:r>
    <w:r>
      <w:tab/>
    </w:r>
    <w:r>
      <w:tab/>
    </w:r>
    <w:r w:rsidR="00827FE8">
      <w:t>October</w:t>
    </w:r>
    <w:r w:rsidR="00870354">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2BFA6" w14:textId="77777777" w:rsidR="00953EA0" w:rsidRDefault="00953EA0" w:rsidP="007909C3">
      <w:r>
        <w:separator/>
      </w:r>
    </w:p>
  </w:footnote>
  <w:footnote w:type="continuationSeparator" w:id="0">
    <w:p w14:paraId="00C7BA8D" w14:textId="77777777" w:rsidR="00953EA0" w:rsidRDefault="00953EA0" w:rsidP="00790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F7E1B"/>
    <w:multiLevelType w:val="hybridMultilevel"/>
    <w:tmpl w:val="3B00F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56930"/>
    <w:multiLevelType w:val="hybridMultilevel"/>
    <w:tmpl w:val="1792AE5E"/>
    <w:lvl w:ilvl="0" w:tplc="CA0CD1C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0B221E"/>
    <w:multiLevelType w:val="hybridMultilevel"/>
    <w:tmpl w:val="3E08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427E8"/>
    <w:multiLevelType w:val="hybridMultilevel"/>
    <w:tmpl w:val="C7767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DE0840"/>
    <w:multiLevelType w:val="hybridMultilevel"/>
    <w:tmpl w:val="3A2890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D961CA2"/>
    <w:multiLevelType w:val="hybridMultilevel"/>
    <w:tmpl w:val="2F866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7F221D"/>
    <w:multiLevelType w:val="hybridMultilevel"/>
    <w:tmpl w:val="DE421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851CE3"/>
    <w:multiLevelType w:val="hybridMultilevel"/>
    <w:tmpl w:val="C0AAC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E80B13"/>
    <w:multiLevelType w:val="hybridMultilevel"/>
    <w:tmpl w:val="2C2298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FAC69E6"/>
    <w:multiLevelType w:val="hybridMultilevel"/>
    <w:tmpl w:val="E5AA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3756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90285586">
    <w:abstractNumId w:val="1"/>
  </w:num>
  <w:num w:numId="2" w16cid:durableId="987050143">
    <w:abstractNumId w:val="2"/>
  </w:num>
  <w:num w:numId="3" w16cid:durableId="1347630567">
    <w:abstractNumId w:val="4"/>
  </w:num>
  <w:num w:numId="4" w16cid:durableId="1714304817">
    <w:abstractNumId w:val="8"/>
  </w:num>
  <w:num w:numId="5" w16cid:durableId="1409771954">
    <w:abstractNumId w:val="7"/>
  </w:num>
  <w:num w:numId="6" w16cid:durableId="1880435926">
    <w:abstractNumId w:val="0"/>
  </w:num>
  <w:num w:numId="7" w16cid:durableId="653686586">
    <w:abstractNumId w:val="6"/>
  </w:num>
  <w:num w:numId="8" w16cid:durableId="431710196">
    <w:abstractNumId w:val="3"/>
  </w:num>
  <w:num w:numId="9" w16cid:durableId="402216445">
    <w:abstractNumId w:val="10"/>
  </w:num>
  <w:num w:numId="10" w16cid:durableId="1668485083">
    <w:abstractNumId w:val="9"/>
  </w:num>
  <w:num w:numId="11" w16cid:durableId="13575841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DF"/>
    <w:rsid w:val="00007A83"/>
    <w:rsid w:val="00014B00"/>
    <w:rsid w:val="0002610B"/>
    <w:rsid w:val="0003501F"/>
    <w:rsid w:val="00041DB2"/>
    <w:rsid w:val="000444AB"/>
    <w:rsid w:val="000445EA"/>
    <w:rsid w:val="00051DB8"/>
    <w:rsid w:val="00052D53"/>
    <w:rsid w:val="00053A7D"/>
    <w:rsid w:val="00054B52"/>
    <w:rsid w:val="000676AA"/>
    <w:rsid w:val="00070448"/>
    <w:rsid w:val="0007607C"/>
    <w:rsid w:val="00077E7C"/>
    <w:rsid w:val="0008216B"/>
    <w:rsid w:val="000959AE"/>
    <w:rsid w:val="00096427"/>
    <w:rsid w:val="000A1DB8"/>
    <w:rsid w:val="000A1EB8"/>
    <w:rsid w:val="000A2E7F"/>
    <w:rsid w:val="000A4068"/>
    <w:rsid w:val="000B1C54"/>
    <w:rsid w:val="000B5DED"/>
    <w:rsid w:val="000C4518"/>
    <w:rsid w:val="000D4E03"/>
    <w:rsid w:val="000E1BF5"/>
    <w:rsid w:val="000F21CC"/>
    <w:rsid w:val="00101419"/>
    <w:rsid w:val="00115A3E"/>
    <w:rsid w:val="00121DDE"/>
    <w:rsid w:val="0012752E"/>
    <w:rsid w:val="00130E9F"/>
    <w:rsid w:val="00150937"/>
    <w:rsid w:val="00151934"/>
    <w:rsid w:val="00163CC8"/>
    <w:rsid w:val="00164BE9"/>
    <w:rsid w:val="0016537D"/>
    <w:rsid w:val="0017149C"/>
    <w:rsid w:val="001849DB"/>
    <w:rsid w:val="001948E1"/>
    <w:rsid w:val="0019705A"/>
    <w:rsid w:val="001A014B"/>
    <w:rsid w:val="001A7500"/>
    <w:rsid w:val="001B293E"/>
    <w:rsid w:val="001B5482"/>
    <w:rsid w:val="001C291E"/>
    <w:rsid w:val="001C3140"/>
    <w:rsid w:val="001C5068"/>
    <w:rsid w:val="001E21E1"/>
    <w:rsid w:val="001E350C"/>
    <w:rsid w:val="001F0421"/>
    <w:rsid w:val="001F28EB"/>
    <w:rsid w:val="001F6F4E"/>
    <w:rsid w:val="001F7828"/>
    <w:rsid w:val="002112E3"/>
    <w:rsid w:val="002243E0"/>
    <w:rsid w:val="00227123"/>
    <w:rsid w:val="0023031F"/>
    <w:rsid w:val="002423B4"/>
    <w:rsid w:val="00245DEB"/>
    <w:rsid w:val="002544D2"/>
    <w:rsid w:val="00254784"/>
    <w:rsid w:val="00267904"/>
    <w:rsid w:val="00275DC6"/>
    <w:rsid w:val="00276F91"/>
    <w:rsid w:val="0028057F"/>
    <w:rsid w:val="0028306A"/>
    <w:rsid w:val="00284386"/>
    <w:rsid w:val="00287462"/>
    <w:rsid w:val="002915C2"/>
    <w:rsid w:val="002953C7"/>
    <w:rsid w:val="00297D20"/>
    <w:rsid w:val="002A386D"/>
    <w:rsid w:val="002A760C"/>
    <w:rsid w:val="002B7031"/>
    <w:rsid w:val="002C038B"/>
    <w:rsid w:val="002D5A93"/>
    <w:rsid w:val="002D6B55"/>
    <w:rsid w:val="002E29B2"/>
    <w:rsid w:val="00310A03"/>
    <w:rsid w:val="00317A38"/>
    <w:rsid w:val="00330D33"/>
    <w:rsid w:val="00341777"/>
    <w:rsid w:val="00350A04"/>
    <w:rsid w:val="00351DF4"/>
    <w:rsid w:val="0035392C"/>
    <w:rsid w:val="00357F53"/>
    <w:rsid w:val="00364888"/>
    <w:rsid w:val="003662FE"/>
    <w:rsid w:val="003675E8"/>
    <w:rsid w:val="003679C5"/>
    <w:rsid w:val="003721C9"/>
    <w:rsid w:val="00383847"/>
    <w:rsid w:val="00383A54"/>
    <w:rsid w:val="00383CC5"/>
    <w:rsid w:val="00385175"/>
    <w:rsid w:val="00385DB1"/>
    <w:rsid w:val="00394717"/>
    <w:rsid w:val="003A01D0"/>
    <w:rsid w:val="003A0939"/>
    <w:rsid w:val="003A0AA7"/>
    <w:rsid w:val="003A32D1"/>
    <w:rsid w:val="003A3E0B"/>
    <w:rsid w:val="003B1091"/>
    <w:rsid w:val="003B42C3"/>
    <w:rsid w:val="003B62EF"/>
    <w:rsid w:val="003C0906"/>
    <w:rsid w:val="003E1755"/>
    <w:rsid w:val="003F1A3A"/>
    <w:rsid w:val="00432265"/>
    <w:rsid w:val="00433C32"/>
    <w:rsid w:val="0047579F"/>
    <w:rsid w:val="004A0991"/>
    <w:rsid w:val="004B3656"/>
    <w:rsid w:val="004C41F8"/>
    <w:rsid w:val="004C6BED"/>
    <w:rsid w:val="004E5F2D"/>
    <w:rsid w:val="00512BEA"/>
    <w:rsid w:val="00513CF8"/>
    <w:rsid w:val="00521D47"/>
    <w:rsid w:val="0053453A"/>
    <w:rsid w:val="005455AE"/>
    <w:rsid w:val="00550B09"/>
    <w:rsid w:val="005545AE"/>
    <w:rsid w:val="00557E9D"/>
    <w:rsid w:val="00560ADF"/>
    <w:rsid w:val="005617A9"/>
    <w:rsid w:val="00562B5A"/>
    <w:rsid w:val="00566C50"/>
    <w:rsid w:val="00574EAF"/>
    <w:rsid w:val="00575FD1"/>
    <w:rsid w:val="0057659A"/>
    <w:rsid w:val="005A1880"/>
    <w:rsid w:val="005A38DA"/>
    <w:rsid w:val="005B1A2C"/>
    <w:rsid w:val="005B40C7"/>
    <w:rsid w:val="005B6E51"/>
    <w:rsid w:val="005C31E2"/>
    <w:rsid w:val="005C3CE2"/>
    <w:rsid w:val="005D6B46"/>
    <w:rsid w:val="005F1105"/>
    <w:rsid w:val="005F2269"/>
    <w:rsid w:val="005F304B"/>
    <w:rsid w:val="005F42DB"/>
    <w:rsid w:val="00601C48"/>
    <w:rsid w:val="00607DF4"/>
    <w:rsid w:val="0061616B"/>
    <w:rsid w:val="00630CB4"/>
    <w:rsid w:val="00643A85"/>
    <w:rsid w:val="00645A71"/>
    <w:rsid w:val="006629FB"/>
    <w:rsid w:val="00684989"/>
    <w:rsid w:val="0068542C"/>
    <w:rsid w:val="00686FE4"/>
    <w:rsid w:val="00690336"/>
    <w:rsid w:val="00692E4D"/>
    <w:rsid w:val="00693EB2"/>
    <w:rsid w:val="006B180B"/>
    <w:rsid w:val="006B4F2B"/>
    <w:rsid w:val="006C2FB5"/>
    <w:rsid w:val="006C378C"/>
    <w:rsid w:val="006C3D19"/>
    <w:rsid w:val="006C4E00"/>
    <w:rsid w:val="006D0A38"/>
    <w:rsid w:val="006D5F7D"/>
    <w:rsid w:val="006E26D1"/>
    <w:rsid w:val="006E3847"/>
    <w:rsid w:val="006E3D7B"/>
    <w:rsid w:val="006E3E9C"/>
    <w:rsid w:val="006F093A"/>
    <w:rsid w:val="006F55B2"/>
    <w:rsid w:val="007030B7"/>
    <w:rsid w:val="00732CE6"/>
    <w:rsid w:val="00734652"/>
    <w:rsid w:val="00740EC8"/>
    <w:rsid w:val="00742E67"/>
    <w:rsid w:val="00761464"/>
    <w:rsid w:val="00773501"/>
    <w:rsid w:val="00775823"/>
    <w:rsid w:val="00787BA5"/>
    <w:rsid w:val="0079078F"/>
    <w:rsid w:val="007909C3"/>
    <w:rsid w:val="00792C42"/>
    <w:rsid w:val="007A31AE"/>
    <w:rsid w:val="007A402F"/>
    <w:rsid w:val="007A6E02"/>
    <w:rsid w:val="007C6FB7"/>
    <w:rsid w:val="007E0D14"/>
    <w:rsid w:val="007E18E4"/>
    <w:rsid w:val="007E1951"/>
    <w:rsid w:val="007E59C8"/>
    <w:rsid w:val="007F044F"/>
    <w:rsid w:val="007F1855"/>
    <w:rsid w:val="007F3142"/>
    <w:rsid w:val="007F5ABD"/>
    <w:rsid w:val="0080238C"/>
    <w:rsid w:val="0080527E"/>
    <w:rsid w:val="00806459"/>
    <w:rsid w:val="008072D2"/>
    <w:rsid w:val="00813388"/>
    <w:rsid w:val="0081642A"/>
    <w:rsid w:val="00823E02"/>
    <w:rsid w:val="0082620A"/>
    <w:rsid w:val="00827FE8"/>
    <w:rsid w:val="00832B7E"/>
    <w:rsid w:val="008400C9"/>
    <w:rsid w:val="00842E14"/>
    <w:rsid w:val="00842FE8"/>
    <w:rsid w:val="00850941"/>
    <w:rsid w:val="00851EFE"/>
    <w:rsid w:val="0085628E"/>
    <w:rsid w:val="00862815"/>
    <w:rsid w:val="00870354"/>
    <w:rsid w:val="00880C95"/>
    <w:rsid w:val="00885EE2"/>
    <w:rsid w:val="00890B23"/>
    <w:rsid w:val="00894352"/>
    <w:rsid w:val="008A2AEF"/>
    <w:rsid w:val="008A6AF7"/>
    <w:rsid w:val="008C0B9E"/>
    <w:rsid w:val="008C604F"/>
    <w:rsid w:val="008D2039"/>
    <w:rsid w:val="008E68A9"/>
    <w:rsid w:val="00905F02"/>
    <w:rsid w:val="009108ED"/>
    <w:rsid w:val="009155BD"/>
    <w:rsid w:val="00920C27"/>
    <w:rsid w:val="00922D21"/>
    <w:rsid w:val="0092436C"/>
    <w:rsid w:val="00931096"/>
    <w:rsid w:val="0093510F"/>
    <w:rsid w:val="00946212"/>
    <w:rsid w:val="0095030D"/>
    <w:rsid w:val="00953DFA"/>
    <w:rsid w:val="00953EA0"/>
    <w:rsid w:val="00955A14"/>
    <w:rsid w:val="0098276F"/>
    <w:rsid w:val="009832BB"/>
    <w:rsid w:val="00983E23"/>
    <w:rsid w:val="009846C4"/>
    <w:rsid w:val="009A04F9"/>
    <w:rsid w:val="009A721C"/>
    <w:rsid w:val="009B241F"/>
    <w:rsid w:val="009B6D46"/>
    <w:rsid w:val="009C22A2"/>
    <w:rsid w:val="009C2FC5"/>
    <w:rsid w:val="009C318B"/>
    <w:rsid w:val="009E14AC"/>
    <w:rsid w:val="009E2578"/>
    <w:rsid w:val="009E53C1"/>
    <w:rsid w:val="009E5F4F"/>
    <w:rsid w:val="009F1555"/>
    <w:rsid w:val="009F2D6C"/>
    <w:rsid w:val="00A00C8F"/>
    <w:rsid w:val="00A01100"/>
    <w:rsid w:val="00A12837"/>
    <w:rsid w:val="00A17C46"/>
    <w:rsid w:val="00A40B41"/>
    <w:rsid w:val="00A52257"/>
    <w:rsid w:val="00A64384"/>
    <w:rsid w:val="00A6661E"/>
    <w:rsid w:val="00A75F72"/>
    <w:rsid w:val="00A8014C"/>
    <w:rsid w:val="00A8317A"/>
    <w:rsid w:val="00A9155E"/>
    <w:rsid w:val="00AA2250"/>
    <w:rsid w:val="00AA2E11"/>
    <w:rsid w:val="00AA7BB9"/>
    <w:rsid w:val="00AC6922"/>
    <w:rsid w:val="00AD3141"/>
    <w:rsid w:val="00AF1D87"/>
    <w:rsid w:val="00AF7C38"/>
    <w:rsid w:val="00AF7FFC"/>
    <w:rsid w:val="00B16D53"/>
    <w:rsid w:val="00B221D6"/>
    <w:rsid w:val="00B242EC"/>
    <w:rsid w:val="00B33D69"/>
    <w:rsid w:val="00B37BF8"/>
    <w:rsid w:val="00B4247C"/>
    <w:rsid w:val="00B43BEE"/>
    <w:rsid w:val="00B452EC"/>
    <w:rsid w:val="00B47BFE"/>
    <w:rsid w:val="00B53501"/>
    <w:rsid w:val="00B6100A"/>
    <w:rsid w:val="00B62115"/>
    <w:rsid w:val="00B624BB"/>
    <w:rsid w:val="00B65BEA"/>
    <w:rsid w:val="00B65F12"/>
    <w:rsid w:val="00B73289"/>
    <w:rsid w:val="00B769B6"/>
    <w:rsid w:val="00B83148"/>
    <w:rsid w:val="00B86569"/>
    <w:rsid w:val="00B87989"/>
    <w:rsid w:val="00B900B4"/>
    <w:rsid w:val="00B91690"/>
    <w:rsid w:val="00BB0161"/>
    <w:rsid w:val="00BB3D47"/>
    <w:rsid w:val="00BC2FD0"/>
    <w:rsid w:val="00BC467C"/>
    <w:rsid w:val="00BC5B4D"/>
    <w:rsid w:val="00BD0E20"/>
    <w:rsid w:val="00BE00E8"/>
    <w:rsid w:val="00BE73A7"/>
    <w:rsid w:val="00C00E0A"/>
    <w:rsid w:val="00C05997"/>
    <w:rsid w:val="00C061BD"/>
    <w:rsid w:val="00C10052"/>
    <w:rsid w:val="00C13E92"/>
    <w:rsid w:val="00C20E88"/>
    <w:rsid w:val="00C20FFE"/>
    <w:rsid w:val="00C2625E"/>
    <w:rsid w:val="00C352B4"/>
    <w:rsid w:val="00C43079"/>
    <w:rsid w:val="00C7329C"/>
    <w:rsid w:val="00C764FD"/>
    <w:rsid w:val="00C84BB0"/>
    <w:rsid w:val="00C87597"/>
    <w:rsid w:val="00C97823"/>
    <w:rsid w:val="00CA13FA"/>
    <w:rsid w:val="00CA6426"/>
    <w:rsid w:val="00CA679F"/>
    <w:rsid w:val="00CB0954"/>
    <w:rsid w:val="00CB4203"/>
    <w:rsid w:val="00CC2256"/>
    <w:rsid w:val="00CC3A74"/>
    <w:rsid w:val="00CC4392"/>
    <w:rsid w:val="00CC7BD8"/>
    <w:rsid w:val="00CD6D4E"/>
    <w:rsid w:val="00CE62EB"/>
    <w:rsid w:val="00CF38AF"/>
    <w:rsid w:val="00CF4423"/>
    <w:rsid w:val="00D11CA4"/>
    <w:rsid w:val="00D20574"/>
    <w:rsid w:val="00D26A46"/>
    <w:rsid w:val="00D27CD5"/>
    <w:rsid w:val="00D34802"/>
    <w:rsid w:val="00D41C86"/>
    <w:rsid w:val="00D45C1A"/>
    <w:rsid w:val="00D56C5C"/>
    <w:rsid w:val="00D771F7"/>
    <w:rsid w:val="00D77342"/>
    <w:rsid w:val="00D80ED1"/>
    <w:rsid w:val="00DA1A0E"/>
    <w:rsid w:val="00DA7030"/>
    <w:rsid w:val="00DB2C0A"/>
    <w:rsid w:val="00DB31C3"/>
    <w:rsid w:val="00DF6DD1"/>
    <w:rsid w:val="00E03DC9"/>
    <w:rsid w:val="00E0601D"/>
    <w:rsid w:val="00E06176"/>
    <w:rsid w:val="00E2354D"/>
    <w:rsid w:val="00E239D5"/>
    <w:rsid w:val="00E26D7B"/>
    <w:rsid w:val="00E364E4"/>
    <w:rsid w:val="00E36C52"/>
    <w:rsid w:val="00E40C67"/>
    <w:rsid w:val="00E5071E"/>
    <w:rsid w:val="00E52400"/>
    <w:rsid w:val="00E525ED"/>
    <w:rsid w:val="00E55444"/>
    <w:rsid w:val="00E55960"/>
    <w:rsid w:val="00E57B3D"/>
    <w:rsid w:val="00E57C6F"/>
    <w:rsid w:val="00E61B5F"/>
    <w:rsid w:val="00E7173A"/>
    <w:rsid w:val="00E80933"/>
    <w:rsid w:val="00E83736"/>
    <w:rsid w:val="00E861D0"/>
    <w:rsid w:val="00E92251"/>
    <w:rsid w:val="00E95FFA"/>
    <w:rsid w:val="00E9626C"/>
    <w:rsid w:val="00E962C5"/>
    <w:rsid w:val="00EA523B"/>
    <w:rsid w:val="00EB3436"/>
    <w:rsid w:val="00EC091D"/>
    <w:rsid w:val="00EC2F6A"/>
    <w:rsid w:val="00EC48E4"/>
    <w:rsid w:val="00EC51A3"/>
    <w:rsid w:val="00ED412F"/>
    <w:rsid w:val="00ED4F43"/>
    <w:rsid w:val="00ED7717"/>
    <w:rsid w:val="00EE12A8"/>
    <w:rsid w:val="00EE60D5"/>
    <w:rsid w:val="00EE7E7B"/>
    <w:rsid w:val="00EF6D1B"/>
    <w:rsid w:val="00EF74D1"/>
    <w:rsid w:val="00F01329"/>
    <w:rsid w:val="00F03419"/>
    <w:rsid w:val="00F07C92"/>
    <w:rsid w:val="00F12C29"/>
    <w:rsid w:val="00F13B08"/>
    <w:rsid w:val="00F23A62"/>
    <w:rsid w:val="00F35A95"/>
    <w:rsid w:val="00F35E8F"/>
    <w:rsid w:val="00F3766D"/>
    <w:rsid w:val="00F52BBA"/>
    <w:rsid w:val="00F54CB1"/>
    <w:rsid w:val="00F57334"/>
    <w:rsid w:val="00F619CB"/>
    <w:rsid w:val="00F719B4"/>
    <w:rsid w:val="00F81187"/>
    <w:rsid w:val="00FB2049"/>
    <w:rsid w:val="00FC005D"/>
    <w:rsid w:val="00FC029C"/>
    <w:rsid w:val="00FC43D3"/>
    <w:rsid w:val="00FD134A"/>
    <w:rsid w:val="00FD45B9"/>
    <w:rsid w:val="00FE314B"/>
    <w:rsid w:val="00FF245F"/>
    <w:rsid w:val="00FF27A3"/>
    <w:rsid w:val="00FF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6AC6"/>
  <w15:docId w15:val="{B9C31A46-EF9D-4C3D-AE5E-36A4A3B8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DB"/>
    <w:pPr>
      <w:tabs>
        <w:tab w:val="left" w:pos="975"/>
      </w:tabs>
      <w:spacing w:before="60" w:after="60"/>
    </w:pPr>
    <w:rPr>
      <w:rFonts w:ascii="Arial" w:eastAsia="Helvetica" w:hAnsi="Arial" w:cs="Arial"/>
      <w:sz w:val="18"/>
      <w:szCs w:val="18"/>
      <w:lang w:val="en-GB"/>
    </w:rPr>
  </w:style>
  <w:style w:type="paragraph" w:styleId="Heading1">
    <w:name w:val="heading 1"/>
    <w:basedOn w:val="Normal"/>
    <w:uiPriority w:val="9"/>
    <w:qFormat/>
    <w:rsid w:val="00ED4F43"/>
    <w:pPr>
      <w:spacing w:before="61"/>
      <w:ind w:left="120"/>
      <w:outlineLvl w:val="0"/>
    </w:pPr>
    <w:rPr>
      <w:rFonts w:ascii="Helvetica-BoldOblique" w:eastAsia="Helvetica-BoldOblique" w:hAnsi="Helvetica-BoldOblique" w:cs="Helvetica-BoldOblique"/>
      <w:b/>
      <w:bCs/>
      <w:i/>
      <w:color w:val="41B6E6"/>
      <w:sz w:val="21"/>
      <w:szCs w:val="21"/>
    </w:rPr>
  </w:style>
  <w:style w:type="paragraph" w:styleId="Heading4">
    <w:name w:val="heading 4"/>
    <w:basedOn w:val="Normal"/>
    <w:next w:val="Normal"/>
    <w:link w:val="Heading4Char"/>
    <w:uiPriority w:val="9"/>
    <w:semiHidden/>
    <w:unhideWhenUsed/>
    <w:qFormat/>
    <w:rsid w:val="0002610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1"/>
      <w:ind w:left="124"/>
    </w:pPr>
    <w:rPr>
      <w:rFonts w:ascii="Helvetica-BoldOblique" w:eastAsia="Helvetica-BoldOblique" w:hAnsi="Helvetica-BoldOblique" w:cs="Helvetica-BoldOblique"/>
      <w:b/>
      <w:bCs/>
      <w:i/>
    </w:rPr>
  </w:style>
  <w:style w:type="paragraph" w:styleId="ListParagraph">
    <w:name w:val="List Paragraph"/>
    <w:basedOn w:val="Normal"/>
    <w:uiPriority w:val="34"/>
    <w:qFormat/>
    <w:rsid w:val="003A0939"/>
    <w:pPr>
      <w:numPr>
        <w:numId w:val="1"/>
      </w:numPr>
      <w:ind w:left="357" w:hanging="357"/>
      <w:contextualSpacing/>
    </w:pPr>
  </w:style>
  <w:style w:type="paragraph" w:customStyle="1" w:styleId="TableParagraph">
    <w:name w:val="Table Paragraph"/>
    <w:basedOn w:val="Normal"/>
    <w:uiPriority w:val="1"/>
    <w:qFormat/>
    <w:pPr>
      <w:spacing w:line="172" w:lineRule="exact"/>
    </w:pPr>
    <w:rPr>
      <w:rFonts w:ascii="Calibri" w:eastAsia="Calibri" w:hAnsi="Calibri" w:cs="Calibri"/>
    </w:rPr>
  </w:style>
  <w:style w:type="paragraph" w:styleId="BalloonText">
    <w:name w:val="Balloon Text"/>
    <w:basedOn w:val="Normal"/>
    <w:link w:val="BalloonTextChar"/>
    <w:uiPriority w:val="99"/>
    <w:semiHidden/>
    <w:unhideWhenUsed/>
    <w:rsid w:val="00CC4392"/>
    <w:rPr>
      <w:rFonts w:ascii="Segoe UI" w:hAnsi="Segoe UI" w:cs="Segoe UI"/>
    </w:rPr>
  </w:style>
  <w:style w:type="character" w:customStyle="1" w:styleId="BalloonTextChar">
    <w:name w:val="Balloon Text Char"/>
    <w:basedOn w:val="DefaultParagraphFont"/>
    <w:link w:val="BalloonText"/>
    <w:uiPriority w:val="99"/>
    <w:semiHidden/>
    <w:rsid w:val="00CC4392"/>
    <w:rPr>
      <w:rFonts w:ascii="Segoe UI" w:eastAsia="Helvetica" w:hAnsi="Segoe UI" w:cs="Segoe UI"/>
      <w:sz w:val="18"/>
      <w:szCs w:val="18"/>
      <w:lang w:val="en-GB"/>
    </w:rPr>
  </w:style>
  <w:style w:type="paragraph" w:styleId="Header">
    <w:name w:val="header"/>
    <w:basedOn w:val="Normal"/>
    <w:link w:val="HeaderChar"/>
    <w:uiPriority w:val="99"/>
    <w:unhideWhenUsed/>
    <w:rsid w:val="00922D21"/>
    <w:pPr>
      <w:tabs>
        <w:tab w:val="center" w:pos="4513"/>
        <w:tab w:val="right" w:pos="9026"/>
      </w:tabs>
    </w:pPr>
  </w:style>
  <w:style w:type="character" w:customStyle="1" w:styleId="HeaderChar">
    <w:name w:val="Header Char"/>
    <w:basedOn w:val="DefaultParagraphFont"/>
    <w:link w:val="Header"/>
    <w:uiPriority w:val="99"/>
    <w:rsid w:val="00922D21"/>
    <w:rPr>
      <w:rFonts w:ascii="Helvetica" w:eastAsia="Helvetica" w:hAnsi="Helvetica" w:cs="Helvetica"/>
      <w:lang w:val="en-GB"/>
    </w:rPr>
  </w:style>
  <w:style w:type="paragraph" w:styleId="Footer">
    <w:name w:val="footer"/>
    <w:basedOn w:val="Normal"/>
    <w:link w:val="FooterChar"/>
    <w:uiPriority w:val="99"/>
    <w:unhideWhenUsed/>
    <w:rsid w:val="00922D21"/>
    <w:pPr>
      <w:tabs>
        <w:tab w:val="center" w:pos="4513"/>
        <w:tab w:val="right" w:pos="9026"/>
      </w:tabs>
    </w:pPr>
  </w:style>
  <w:style w:type="character" w:customStyle="1" w:styleId="FooterChar">
    <w:name w:val="Footer Char"/>
    <w:basedOn w:val="DefaultParagraphFont"/>
    <w:link w:val="Footer"/>
    <w:uiPriority w:val="99"/>
    <w:rsid w:val="00922D21"/>
    <w:rPr>
      <w:rFonts w:ascii="Helvetica" w:eastAsia="Helvetica" w:hAnsi="Helvetica" w:cs="Helvetica"/>
      <w:lang w:val="en-GB"/>
    </w:rPr>
  </w:style>
  <w:style w:type="table" w:styleId="TableGrid">
    <w:name w:val="Table Grid"/>
    <w:basedOn w:val="TableNormal"/>
    <w:uiPriority w:val="59"/>
    <w:rsid w:val="0092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4247C"/>
    <w:rPr>
      <w:rFonts w:cs="Times New Roman"/>
      <w:color w:val="0000FF"/>
      <w:u w:val="single"/>
    </w:rPr>
  </w:style>
  <w:style w:type="character" w:styleId="FollowedHyperlink">
    <w:name w:val="FollowedHyperlink"/>
    <w:basedOn w:val="DefaultParagraphFont"/>
    <w:uiPriority w:val="99"/>
    <w:semiHidden/>
    <w:unhideWhenUsed/>
    <w:rsid w:val="009108ED"/>
    <w:rPr>
      <w:color w:val="800080" w:themeColor="followedHyperlink"/>
      <w:u w:val="single"/>
    </w:rPr>
  </w:style>
  <w:style w:type="character" w:styleId="CommentReference">
    <w:name w:val="annotation reference"/>
    <w:basedOn w:val="DefaultParagraphFont"/>
    <w:uiPriority w:val="99"/>
    <w:semiHidden/>
    <w:unhideWhenUsed/>
    <w:rsid w:val="00C97823"/>
    <w:rPr>
      <w:sz w:val="16"/>
      <w:szCs w:val="16"/>
    </w:rPr>
  </w:style>
  <w:style w:type="paragraph" w:styleId="CommentText">
    <w:name w:val="annotation text"/>
    <w:basedOn w:val="Normal"/>
    <w:link w:val="CommentTextChar"/>
    <w:uiPriority w:val="99"/>
    <w:unhideWhenUsed/>
    <w:rsid w:val="00C97823"/>
    <w:rPr>
      <w:sz w:val="20"/>
      <w:szCs w:val="20"/>
    </w:rPr>
  </w:style>
  <w:style w:type="character" w:customStyle="1" w:styleId="CommentTextChar">
    <w:name w:val="Comment Text Char"/>
    <w:basedOn w:val="DefaultParagraphFont"/>
    <w:link w:val="CommentText"/>
    <w:uiPriority w:val="99"/>
    <w:rsid w:val="00C97823"/>
    <w:rPr>
      <w:rFonts w:ascii="Arial" w:eastAsia="Helvetica"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97823"/>
    <w:rPr>
      <w:b/>
      <w:bCs/>
    </w:rPr>
  </w:style>
  <w:style w:type="character" w:customStyle="1" w:styleId="CommentSubjectChar">
    <w:name w:val="Comment Subject Char"/>
    <w:basedOn w:val="CommentTextChar"/>
    <w:link w:val="CommentSubject"/>
    <w:uiPriority w:val="99"/>
    <w:semiHidden/>
    <w:rsid w:val="00C97823"/>
    <w:rPr>
      <w:rFonts w:ascii="Arial" w:eastAsia="Helvetica" w:hAnsi="Arial" w:cs="Arial"/>
      <w:b/>
      <w:bCs/>
      <w:sz w:val="20"/>
      <w:szCs w:val="20"/>
      <w:lang w:val="en-GB"/>
    </w:rPr>
  </w:style>
  <w:style w:type="character" w:customStyle="1" w:styleId="UnresolvedMention1">
    <w:name w:val="Unresolved Mention1"/>
    <w:basedOn w:val="DefaultParagraphFont"/>
    <w:uiPriority w:val="99"/>
    <w:semiHidden/>
    <w:unhideWhenUsed/>
    <w:rsid w:val="00121DDE"/>
    <w:rPr>
      <w:color w:val="605E5C"/>
      <w:shd w:val="clear" w:color="auto" w:fill="E1DFDD"/>
    </w:rPr>
  </w:style>
  <w:style w:type="character" w:styleId="PlaceholderText">
    <w:name w:val="Placeholder Text"/>
    <w:basedOn w:val="DefaultParagraphFont"/>
    <w:uiPriority w:val="99"/>
    <w:semiHidden/>
    <w:rsid w:val="006E26D1"/>
    <w:rPr>
      <w:color w:val="666666"/>
    </w:rPr>
  </w:style>
  <w:style w:type="character" w:customStyle="1" w:styleId="UnresolvedMention2">
    <w:name w:val="Unresolved Mention2"/>
    <w:basedOn w:val="DefaultParagraphFont"/>
    <w:uiPriority w:val="99"/>
    <w:semiHidden/>
    <w:unhideWhenUsed/>
    <w:rsid w:val="00BB0161"/>
    <w:rPr>
      <w:color w:val="605E5C"/>
      <w:shd w:val="clear" w:color="auto" w:fill="E1DFDD"/>
    </w:rPr>
  </w:style>
  <w:style w:type="paragraph" w:customStyle="1" w:styleId="Default">
    <w:name w:val="Default"/>
    <w:rsid w:val="00D80ED1"/>
    <w:pPr>
      <w:widowControl/>
      <w:adjustRightInd w:val="0"/>
    </w:pPr>
    <w:rPr>
      <w:rFonts w:ascii="Arial" w:hAnsi="Arial" w:cs="Arial"/>
      <w:color w:val="000000"/>
      <w:sz w:val="24"/>
      <w:szCs w:val="24"/>
      <w:lang w:val="en-GB"/>
    </w:rPr>
  </w:style>
  <w:style w:type="character" w:customStyle="1" w:styleId="Style1">
    <w:name w:val="Style1"/>
    <w:uiPriority w:val="1"/>
    <w:rsid w:val="007A402F"/>
    <w:rPr>
      <w:sz w:val="32"/>
    </w:rPr>
  </w:style>
  <w:style w:type="character" w:styleId="UnresolvedMention">
    <w:name w:val="Unresolved Mention"/>
    <w:basedOn w:val="DefaultParagraphFont"/>
    <w:uiPriority w:val="99"/>
    <w:semiHidden/>
    <w:unhideWhenUsed/>
    <w:rsid w:val="002915C2"/>
    <w:rPr>
      <w:color w:val="605E5C"/>
      <w:shd w:val="clear" w:color="auto" w:fill="E1DFDD"/>
    </w:rPr>
  </w:style>
  <w:style w:type="character" w:customStyle="1" w:styleId="Heading4Char">
    <w:name w:val="Heading 4 Char"/>
    <w:basedOn w:val="DefaultParagraphFont"/>
    <w:link w:val="Heading4"/>
    <w:uiPriority w:val="9"/>
    <w:semiHidden/>
    <w:rsid w:val="0002610B"/>
    <w:rPr>
      <w:rFonts w:asciiTheme="majorHAnsi" w:eastAsiaTheme="majorEastAsia" w:hAnsiTheme="majorHAnsi" w:cstheme="majorBidi"/>
      <w:i/>
      <w:iCs/>
      <w:color w:val="365F91" w:themeColor="accent1" w:themeShade="B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7808">
      <w:bodyDiv w:val="1"/>
      <w:marLeft w:val="0"/>
      <w:marRight w:val="0"/>
      <w:marTop w:val="0"/>
      <w:marBottom w:val="0"/>
      <w:divBdr>
        <w:top w:val="none" w:sz="0" w:space="0" w:color="auto"/>
        <w:left w:val="none" w:sz="0" w:space="0" w:color="auto"/>
        <w:bottom w:val="none" w:sz="0" w:space="0" w:color="auto"/>
        <w:right w:val="none" w:sz="0" w:space="0" w:color="auto"/>
      </w:divBdr>
    </w:div>
    <w:div w:id="112025128">
      <w:bodyDiv w:val="1"/>
      <w:marLeft w:val="0"/>
      <w:marRight w:val="0"/>
      <w:marTop w:val="0"/>
      <w:marBottom w:val="0"/>
      <w:divBdr>
        <w:top w:val="none" w:sz="0" w:space="0" w:color="auto"/>
        <w:left w:val="none" w:sz="0" w:space="0" w:color="auto"/>
        <w:bottom w:val="none" w:sz="0" w:space="0" w:color="auto"/>
        <w:right w:val="none" w:sz="0" w:space="0" w:color="auto"/>
      </w:divBdr>
    </w:div>
    <w:div w:id="114521755">
      <w:bodyDiv w:val="1"/>
      <w:marLeft w:val="0"/>
      <w:marRight w:val="0"/>
      <w:marTop w:val="0"/>
      <w:marBottom w:val="0"/>
      <w:divBdr>
        <w:top w:val="none" w:sz="0" w:space="0" w:color="auto"/>
        <w:left w:val="none" w:sz="0" w:space="0" w:color="auto"/>
        <w:bottom w:val="none" w:sz="0" w:space="0" w:color="auto"/>
        <w:right w:val="none" w:sz="0" w:space="0" w:color="auto"/>
      </w:divBdr>
    </w:div>
    <w:div w:id="198671306">
      <w:bodyDiv w:val="1"/>
      <w:marLeft w:val="0"/>
      <w:marRight w:val="0"/>
      <w:marTop w:val="0"/>
      <w:marBottom w:val="0"/>
      <w:divBdr>
        <w:top w:val="none" w:sz="0" w:space="0" w:color="auto"/>
        <w:left w:val="none" w:sz="0" w:space="0" w:color="auto"/>
        <w:bottom w:val="none" w:sz="0" w:space="0" w:color="auto"/>
        <w:right w:val="none" w:sz="0" w:space="0" w:color="auto"/>
      </w:divBdr>
    </w:div>
    <w:div w:id="300158391">
      <w:bodyDiv w:val="1"/>
      <w:marLeft w:val="0"/>
      <w:marRight w:val="0"/>
      <w:marTop w:val="0"/>
      <w:marBottom w:val="0"/>
      <w:divBdr>
        <w:top w:val="none" w:sz="0" w:space="0" w:color="auto"/>
        <w:left w:val="none" w:sz="0" w:space="0" w:color="auto"/>
        <w:bottom w:val="none" w:sz="0" w:space="0" w:color="auto"/>
        <w:right w:val="none" w:sz="0" w:space="0" w:color="auto"/>
      </w:divBdr>
    </w:div>
    <w:div w:id="346441806">
      <w:bodyDiv w:val="1"/>
      <w:marLeft w:val="0"/>
      <w:marRight w:val="0"/>
      <w:marTop w:val="0"/>
      <w:marBottom w:val="0"/>
      <w:divBdr>
        <w:top w:val="none" w:sz="0" w:space="0" w:color="auto"/>
        <w:left w:val="none" w:sz="0" w:space="0" w:color="auto"/>
        <w:bottom w:val="none" w:sz="0" w:space="0" w:color="auto"/>
        <w:right w:val="none" w:sz="0" w:space="0" w:color="auto"/>
      </w:divBdr>
    </w:div>
    <w:div w:id="653919236">
      <w:bodyDiv w:val="1"/>
      <w:marLeft w:val="0"/>
      <w:marRight w:val="0"/>
      <w:marTop w:val="0"/>
      <w:marBottom w:val="0"/>
      <w:divBdr>
        <w:top w:val="none" w:sz="0" w:space="0" w:color="auto"/>
        <w:left w:val="none" w:sz="0" w:space="0" w:color="auto"/>
        <w:bottom w:val="none" w:sz="0" w:space="0" w:color="auto"/>
        <w:right w:val="none" w:sz="0" w:space="0" w:color="auto"/>
      </w:divBdr>
    </w:div>
    <w:div w:id="775443979">
      <w:bodyDiv w:val="1"/>
      <w:marLeft w:val="0"/>
      <w:marRight w:val="0"/>
      <w:marTop w:val="0"/>
      <w:marBottom w:val="0"/>
      <w:divBdr>
        <w:top w:val="none" w:sz="0" w:space="0" w:color="auto"/>
        <w:left w:val="none" w:sz="0" w:space="0" w:color="auto"/>
        <w:bottom w:val="none" w:sz="0" w:space="0" w:color="auto"/>
        <w:right w:val="none" w:sz="0" w:space="0" w:color="auto"/>
      </w:divBdr>
    </w:div>
    <w:div w:id="886140396">
      <w:bodyDiv w:val="1"/>
      <w:marLeft w:val="0"/>
      <w:marRight w:val="0"/>
      <w:marTop w:val="0"/>
      <w:marBottom w:val="0"/>
      <w:divBdr>
        <w:top w:val="none" w:sz="0" w:space="0" w:color="auto"/>
        <w:left w:val="none" w:sz="0" w:space="0" w:color="auto"/>
        <w:bottom w:val="none" w:sz="0" w:space="0" w:color="auto"/>
        <w:right w:val="none" w:sz="0" w:space="0" w:color="auto"/>
      </w:divBdr>
    </w:div>
    <w:div w:id="934630087">
      <w:bodyDiv w:val="1"/>
      <w:marLeft w:val="0"/>
      <w:marRight w:val="0"/>
      <w:marTop w:val="0"/>
      <w:marBottom w:val="0"/>
      <w:divBdr>
        <w:top w:val="none" w:sz="0" w:space="0" w:color="auto"/>
        <w:left w:val="none" w:sz="0" w:space="0" w:color="auto"/>
        <w:bottom w:val="none" w:sz="0" w:space="0" w:color="auto"/>
        <w:right w:val="none" w:sz="0" w:space="0" w:color="auto"/>
      </w:divBdr>
    </w:div>
    <w:div w:id="1008141092">
      <w:bodyDiv w:val="1"/>
      <w:marLeft w:val="0"/>
      <w:marRight w:val="0"/>
      <w:marTop w:val="0"/>
      <w:marBottom w:val="0"/>
      <w:divBdr>
        <w:top w:val="none" w:sz="0" w:space="0" w:color="auto"/>
        <w:left w:val="none" w:sz="0" w:space="0" w:color="auto"/>
        <w:bottom w:val="none" w:sz="0" w:space="0" w:color="auto"/>
        <w:right w:val="none" w:sz="0" w:space="0" w:color="auto"/>
      </w:divBdr>
    </w:div>
    <w:div w:id="1025978457">
      <w:bodyDiv w:val="1"/>
      <w:marLeft w:val="0"/>
      <w:marRight w:val="0"/>
      <w:marTop w:val="0"/>
      <w:marBottom w:val="0"/>
      <w:divBdr>
        <w:top w:val="none" w:sz="0" w:space="0" w:color="auto"/>
        <w:left w:val="none" w:sz="0" w:space="0" w:color="auto"/>
        <w:bottom w:val="none" w:sz="0" w:space="0" w:color="auto"/>
        <w:right w:val="none" w:sz="0" w:space="0" w:color="auto"/>
      </w:divBdr>
    </w:div>
    <w:div w:id="1090008754">
      <w:bodyDiv w:val="1"/>
      <w:marLeft w:val="0"/>
      <w:marRight w:val="0"/>
      <w:marTop w:val="0"/>
      <w:marBottom w:val="0"/>
      <w:divBdr>
        <w:top w:val="none" w:sz="0" w:space="0" w:color="auto"/>
        <w:left w:val="none" w:sz="0" w:space="0" w:color="auto"/>
        <w:bottom w:val="none" w:sz="0" w:space="0" w:color="auto"/>
        <w:right w:val="none" w:sz="0" w:space="0" w:color="auto"/>
      </w:divBdr>
    </w:div>
    <w:div w:id="1152916666">
      <w:bodyDiv w:val="1"/>
      <w:marLeft w:val="0"/>
      <w:marRight w:val="0"/>
      <w:marTop w:val="0"/>
      <w:marBottom w:val="0"/>
      <w:divBdr>
        <w:top w:val="none" w:sz="0" w:space="0" w:color="auto"/>
        <w:left w:val="none" w:sz="0" w:space="0" w:color="auto"/>
        <w:bottom w:val="none" w:sz="0" w:space="0" w:color="auto"/>
        <w:right w:val="none" w:sz="0" w:space="0" w:color="auto"/>
      </w:divBdr>
    </w:div>
    <w:div w:id="1208184424">
      <w:bodyDiv w:val="1"/>
      <w:marLeft w:val="0"/>
      <w:marRight w:val="0"/>
      <w:marTop w:val="0"/>
      <w:marBottom w:val="0"/>
      <w:divBdr>
        <w:top w:val="none" w:sz="0" w:space="0" w:color="auto"/>
        <w:left w:val="none" w:sz="0" w:space="0" w:color="auto"/>
        <w:bottom w:val="none" w:sz="0" w:space="0" w:color="auto"/>
        <w:right w:val="none" w:sz="0" w:space="0" w:color="auto"/>
      </w:divBdr>
    </w:div>
    <w:div w:id="1431200122">
      <w:bodyDiv w:val="1"/>
      <w:marLeft w:val="0"/>
      <w:marRight w:val="0"/>
      <w:marTop w:val="0"/>
      <w:marBottom w:val="0"/>
      <w:divBdr>
        <w:top w:val="none" w:sz="0" w:space="0" w:color="auto"/>
        <w:left w:val="none" w:sz="0" w:space="0" w:color="auto"/>
        <w:bottom w:val="none" w:sz="0" w:space="0" w:color="auto"/>
        <w:right w:val="none" w:sz="0" w:space="0" w:color="auto"/>
      </w:divBdr>
    </w:div>
    <w:div w:id="1439984504">
      <w:bodyDiv w:val="1"/>
      <w:marLeft w:val="0"/>
      <w:marRight w:val="0"/>
      <w:marTop w:val="0"/>
      <w:marBottom w:val="0"/>
      <w:divBdr>
        <w:top w:val="none" w:sz="0" w:space="0" w:color="auto"/>
        <w:left w:val="none" w:sz="0" w:space="0" w:color="auto"/>
        <w:bottom w:val="none" w:sz="0" w:space="0" w:color="auto"/>
        <w:right w:val="none" w:sz="0" w:space="0" w:color="auto"/>
      </w:divBdr>
    </w:div>
    <w:div w:id="1552109665">
      <w:bodyDiv w:val="1"/>
      <w:marLeft w:val="0"/>
      <w:marRight w:val="0"/>
      <w:marTop w:val="0"/>
      <w:marBottom w:val="0"/>
      <w:divBdr>
        <w:top w:val="none" w:sz="0" w:space="0" w:color="auto"/>
        <w:left w:val="none" w:sz="0" w:space="0" w:color="auto"/>
        <w:bottom w:val="none" w:sz="0" w:space="0" w:color="auto"/>
        <w:right w:val="none" w:sz="0" w:space="0" w:color="auto"/>
      </w:divBdr>
    </w:div>
    <w:div w:id="1596740289">
      <w:bodyDiv w:val="1"/>
      <w:marLeft w:val="0"/>
      <w:marRight w:val="0"/>
      <w:marTop w:val="0"/>
      <w:marBottom w:val="0"/>
      <w:divBdr>
        <w:top w:val="none" w:sz="0" w:space="0" w:color="auto"/>
        <w:left w:val="none" w:sz="0" w:space="0" w:color="auto"/>
        <w:bottom w:val="none" w:sz="0" w:space="0" w:color="auto"/>
        <w:right w:val="none" w:sz="0" w:space="0" w:color="auto"/>
      </w:divBdr>
    </w:div>
    <w:div w:id="1601331229">
      <w:bodyDiv w:val="1"/>
      <w:marLeft w:val="0"/>
      <w:marRight w:val="0"/>
      <w:marTop w:val="0"/>
      <w:marBottom w:val="0"/>
      <w:divBdr>
        <w:top w:val="none" w:sz="0" w:space="0" w:color="auto"/>
        <w:left w:val="none" w:sz="0" w:space="0" w:color="auto"/>
        <w:bottom w:val="none" w:sz="0" w:space="0" w:color="auto"/>
        <w:right w:val="none" w:sz="0" w:space="0" w:color="auto"/>
      </w:divBdr>
    </w:div>
    <w:div w:id="1615556189">
      <w:bodyDiv w:val="1"/>
      <w:marLeft w:val="0"/>
      <w:marRight w:val="0"/>
      <w:marTop w:val="0"/>
      <w:marBottom w:val="0"/>
      <w:divBdr>
        <w:top w:val="none" w:sz="0" w:space="0" w:color="auto"/>
        <w:left w:val="none" w:sz="0" w:space="0" w:color="auto"/>
        <w:bottom w:val="none" w:sz="0" w:space="0" w:color="auto"/>
        <w:right w:val="none" w:sz="0" w:space="0" w:color="auto"/>
      </w:divBdr>
    </w:div>
    <w:div w:id="1643803443">
      <w:bodyDiv w:val="1"/>
      <w:marLeft w:val="0"/>
      <w:marRight w:val="0"/>
      <w:marTop w:val="0"/>
      <w:marBottom w:val="0"/>
      <w:divBdr>
        <w:top w:val="none" w:sz="0" w:space="0" w:color="auto"/>
        <w:left w:val="none" w:sz="0" w:space="0" w:color="auto"/>
        <w:bottom w:val="none" w:sz="0" w:space="0" w:color="auto"/>
        <w:right w:val="none" w:sz="0" w:space="0" w:color="auto"/>
      </w:divBdr>
    </w:div>
    <w:div w:id="1674456943">
      <w:bodyDiv w:val="1"/>
      <w:marLeft w:val="0"/>
      <w:marRight w:val="0"/>
      <w:marTop w:val="0"/>
      <w:marBottom w:val="0"/>
      <w:divBdr>
        <w:top w:val="none" w:sz="0" w:space="0" w:color="auto"/>
        <w:left w:val="none" w:sz="0" w:space="0" w:color="auto"/>
        <w:bottom w:val="none" w:sz="0" w:space="0" w:color="auto"/>
        <w:right w:val="none" w:sz="0" w:space="0" w:color="auto"/>
      </w:divBdr>
    </w:div>
    <w:div w:id="1682854767">
      <w:bodyDiv w:val="1"/>
      <w:marLeft w:val="0"/>
      <w:marRight w:val="0"/>
      <w:marTop w:val="0"/>
      <w:marBottom w:val="0"/>
      <w:divBdr>
        <w:top w:val="none" w:sz="0" w:space="0" w:color="auto"/>
        <w:left w:val="none" w:sz="0" w:space="0" w:color="auto"/>
        <w:bottom w:val="none" w:sz="0" w:space="0" w:color="auto"/>
        <w:right w:val="none" w:sz="0" w:space="0" w:color="auto"/>
      </w:divBdr>
    </w:div>
    <w:div w:id="1860973079">
      <w:bodyDiv w:val="1"/>
      <w:marLeft w:val="0"/>
      <w:marRight w:val="0"/>
      <w:marTop w:val="0"/>
      <w:marBottom w:val="0"/>
      <w:divBdr>
        <w:top w:val="none" w:sz="0" w:space="0" w:color="auto"/>
        <w:left w:val="none" w:sz="0" w:space="0" w:color="auto"/>
        <w:bottom w:val="none" w:sz="0" w:space="0" w:color="auto"/>
        <w:right w:val="none" w:sz="0" w:space="0" w:color="auto"/>
      </w:divBdr>
    </w:div>
    <w:div w:id="2146123265">
      <w:bodyDiv w:val="1"/>
      <w:marLeft w:val="0"/>
      <w:marRight w:val="0"/>
      <w:marTop w:val="0"/>
      <w:marBottom w:val="0"/>
      <w:divBdr>
        <w:top w:val="none" w:sz="0" w:space="0" w:color="auto"/>
        <w:left w:val="none" w:sz="0" w:space="0" w:color="auto"/>
        <w:bottom w:val="none" w:sz="0" w:space="0" w:color="auto"/>
        <w:right w:val="none" w:sz="0" w:space="0" w:color="auto"/>
      </w:divBdr>
      <w:divsChild>
        <w:div w:id="1944919474">
          <w:marLeft w:val="0"/>
          <w:marRight w:val="0"/>
          <w:marTop w:val="0"/>
          <w:marBottom w:val="0"/>
          <w:divBdr>
            <w:top w:val="none" w:sz="0" w:space="0" w:color="auto"/>
            <w:left w:val="none" w:sz="0" w:space="0" w:color="auto"/>
            <w:bottom w:val="none" w:sz="0" w:space="0" w:color="auto"/>
            <w:right w:val="none" w:sz="0" w:space="0" w:color="auto"/>
          </w:divBdr>
        </w:div>
        <w:div w:id="8925417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ng203" TargetMode="External"/><Relationship Id="rId18" Type="http://schemas.openxmlformats.org/officeDocument/2006/relationships/hyperlink" Target="https://www.nice.org.uk/guidance/ta1069"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nice.org.uk/guidance/ta1071" TargetMode="External"/><Relationship Id="rId7" Type="http://schemas.openxmlformats.org/officeDocument/2006/relationships/endnotes" Target="endnotes.xml"/><Relationship Id="rId12" Type="http://schemas.openxmlformats.org/officeDocument/2006/relationships/hyperlink" Target="https://www.nice.org.uk/guidance/ng203" TargetMode="External"/><Relationship Id="rId17" Type="http://schemas.openxmlformats.org/officeDocument/2006/relationships/hyperlink" Target="https://www.nice.org.uk/guidance/ta1070" TargetMode="External"/><Relationship Id="rId25" Type="http://schemas.openxmlformats.org/officeDocument/2006/relationships/hyperlink" Target="https://humberandnorthyorkshire.org.uk/area-prescribing-committee-ap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ce.org.uk/guidance/ta1057" TargetMode="External"/><Relationship Id="rId20" Type="http://schemas.openxmlformats.org/officeDocument/2006/relationships/hyperlink" Target="https://www.nice.org.uk/guidance/ta107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rug-safety-update/antiepileptic-drugs-updated-advice-on-switching-between-different-manufacturers-products" TargetMode="External"/><Relationship Id="rId24" Type="http://schemas.openxmlformats.org/officeDocument/2006/relationships/hyperlink" Target="mailto:nuth.nyrdtc.rxsupp@nhs.net"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nice.org.uk/guidance/ta1067" TargetMode="External"/><Relationship Id="rId23" Type="http://schemas.openxmlformats.org/officeDocument/2006/relationships/hyperlink" Target="https://www.nice.org.uk/guidance/ta1072" TargetMode="External"/><Relationship Id="rId28" Type="http://schemas.openxmlformats.org/officeDocument/2006/relationships/footer" Target="footer1.xml"/><Relationship Id="rId10" Type="http://schemas.openxmlformats.org/officeDocument/2006/relationships/hyperlink" Target="https://www.nice.org.uk/guidance/ng217" TargetMode="External"/><Relationship Id="rId19" Type="http://schemas.openxmlformats.org/officeDocument/2006/relationships/hyperlink" Target="https://www.gov.uk/government/publications/efgartigimod-alfa-in-the-treatment-of-myasthenia-gravis-gmg?UNLID=641052917202571411583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ice.org.uk/guidance/ng23" TargetMode="External"/><Relationship Id="rId22" Type="http://schemas.openxmlformats.org/officeDocument/2006/relationships/hyperlink" Target="https://www.nice.org.uk/guidance/ta1073" TargetMode="External"/><Relationship Id="rId27" Type="http://schemas.openxmlformats.org/officeDocument/2006/relationships/hyperlink" Target="https://twitter.com/RDTC_Rx" TargetMode="External"/><Relationship Id="rId30" Type="http://schemas.openxmlformats.org/officeDocument/2006/relationships/footer" Target="footer3.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DA717F1D-BC65-42D3-AE1B-4745896D4804}"/>
      </w:docPartPr>
      <w:docPartBody>
        <w:p w:rsidR="00540650" w:rsidRDefault="00540650">
          <w:r w:rsidRPr="00291D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Oblique">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50"/>
    <w:rsid w:val="000A1EB8"/>
    <w:rsid w:val="000B5DED"/>
    <w:rsid w:val="000F675B"/>
    <w:rsid w:val="001E7B56"/>
    <w:rsid w:val="00275DC6"/>
    <w:rsid w:val="00343313"/>
    <w:rsid w:val="00474B96"/>
    <w:rsid w:val="00540650"/>
    <w:rsid w:val="0080238C"/>
    <w:rsid w:val="0081642A"/>
    <w:rsid w:val="00832B7E"/>
    <w:rsid w:val="0092436C"/>
    <w:rsid w:val="00A15A76"/>
    <w:rsid w:val="00B452EC"/>
    <w:rsid w:val="00C764FD"/>
    <w:rsid w:val="00E23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065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A47D5-6BB8-43AC-90D7-32D47FCCC66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Prescribing Bulletin</vt:lpstr>
    </vt:vector>
  </TitlesOfParts>
  <Company>Newcastle upon Tyne Hospitals NHS Foundation Trust</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Prescribing Bulletin</dc:title>
  <dc:creator>Regional Drug and Therapeutics Centre</dc:creator>
  <cp:lastModifiedBy>KANE, Nancy (THE NEWCASTLE UPON TYNE HOSPITALS NHS FOUNDATION TRUST)</cp:lastModifiedBy>
  <cp:revision>2</cp:revision>
  <dcterms:created xsi:type="dcterms:W3CDTF">2025-07-29T16:16:00Z</dcterms:created>
  <dcterms:modified xsi:type="dcterms:W3CDTF">2025-07-29T16:16:00Z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Adobe InDesign 15.1 (Macintosh)</vt:lpwstr>
  </property>
  <property fmtid="{D5CDD505-2E9C-101B-9397-08002B2CF9AE}" pid="4" name="LastSaved">
    <vt:filetime>2020-10-05T00:00:00Z</vt:filetime>
  </property>
</Properties>
</file>