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A1C" w14:textId="5F168A91" w:rsidR="003C21D1" w:rsidRDefault="003C21D1"/>
    <w:p w14:paraId="1A9789A2" w14:textId="3DB1EEB2" w:rsidR="005228A2" w:rsidRDefault="00330B76" w:rsidP="005228A2">
      <w:pPr>
        <w:pStyle w:val="Heading2"/>
        <w:numPr>
          <w:ilvl w:val="0"/>
          <w:numId w:val="0"/>
        </w:numPr>
        <w:ind w:left="357" w:hanging="357"/>
        <w:jc w:val="center"/>
        <w:rPr>
          <w:sz w:val="28"/>
          <w:szCs w:val="32"/>
        </w:rPr>
      </w:pPr>
      <w:r w:rsidRPr="00330B76">
        <w:rPr>
          <w:sz w:val="28"/>
          <w:szCs w:val="32"/>
        </w:rPr>
        <w:t>Methotrexate (oral and subcutaneous</w:t>
      </w:r>
      <w:r w:rsidR="00F97686">
        <w:rPr>
          <w:sz w:val="28"/>
          <w:szCs w:val="32"/>
        </w:rPr>
        <w:t>*</w:t>
      </w:r>
      <w:r w:rsidRPr="00330B76">
        <w:rPr>
          <w:sz w:val="28"/>
          <w:szCs w:val="32"/>
        </w:rPr>
        <w:t>) for patients in adult services (excluding cancer care)</w:t>
      </w:r>
    </w:p>
    <w:p w14:paraId="3C9BBE71" w14:textId="771DA166" w:rsidR="0029451F" w:rsidRPr="00B71AC7" w:rsidRDefault="00277B43" w:rsidP="00B71AC7">
      <w:r>
        <w:t>*</w:t>
      </w:r>
      <w:r w:rsidR="00F82AEF">
        <w:t xml:space="preserve">Interim position </w:t>
      </w:r>
      <w:r w:rsidR="00F97686">
        <w:t xml:space="preserve">in York </w:t>
      </w:r>
      <w:r>
        <w:t xml:space="preserve">and Scarborough </w:t>
      </w:r>
      <w:r w:rsidR="00F82AEF">
        <w:t xml:space="preserve">until HNY formularies aligned </w:t>
      </w:r>
      <w:r w:rsidR="00AE06DC">
        <w:t>(all other Places Red</w:t>
      </w:r>
      <w:r w:rsidR="004875AB">
        <w:t>)</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0812579">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298DD2A0" w:rsidR="00812579" w:rsidRDefault="00A01195" w:rsidP="00BF1406">
            <w:pPr>
              <w:rPr>
                <w:rFonts w:cs="Arial"/>
              </w:rPr>
            </w:pPr>
            <w:r>
              <w:rPr>
                <w:rFonts w:cs="Arial"/>
              </w:rPr>
              <w:t xml:space="preserve">HNY </w:t>
            </w:r>
            <w:r w:rsidR="00826798">
              <w:rPr>
                <w:rFonts w:cs="Arial"/>
              </w:rPr>
              <w:t>v</w:t>
            </w:r>
            <w:r w:rsidR="00487CCF">
              <w:rPr>
                <w:rFonts w:cs="Arial"/>
              </w:rPr>
              <w:t>2</w:t>
            </w:r>
            <w:r w:rsidR="00826798">
              <w:rPr>
                <w:rFonts w:cs="Arial"/>
              </w:rPr>
              <w:t>.</w:t>
            </w:r>
            <w:r>
              <w:rPr>
                <w:rFonts w:cs="Arial"/>
              </w:rPr>
              <w:t>0</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6B1D16D9" w:rsidR="00812579" w:rsidRDefault="00487CCF" w:rsidP="00BF1406">
            <w:pPr>
              <w:rPr>
                <w:rFonts w:cs="Arial"/>
              </w:rPr>
            </w:pPr>
            <w:r>
              <w:rPr>
                <w:rFonts w:cs="Arial"/>
              </w:rPr>
              <w:t>HNY v1.0</w:t>
            </w:r>
          </w:p>
        </w:tc>
      </w:tr>
      <w:tr w:rsidR="00812579" w14:paraId="69C53677" w14:textId="77777777" w:rsidTr="00812579">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35CC7180" w:rsidR="00812579" w:rsidRDefault="00330B76" w:rsidP="00BF1406">
            <w:pPr>
              <w:rPr>
                <w:rFonts w:cs="Arial"/>
              </w:rPr>
            </w:pPr>
            <w:r>
              <w:rPr>
                <w:rFonts w:cs="Arial"/>
              </w:rPr>
              <w:t>November 2023</w:t>
            </w:r>
          </w:p>
        </w:tc>
        <w:tc>
          <w:tcPr>
            <w:tcW w:w="2447" w:type="dxa"/>
          </w:tcPr>
          <w:p w14:paraId="3D826204" w14:textId="26C8FFED" w:rsidR="00812579" w:rsidRDefault="00812579" w:rsidP="00BF1406">
            <w:pPr>
              <w:rPr>
                <w:rFonts w:cs="Arial"/>
              </w:rPr>
            </w:pPr>
            <w:r>
              <w:rPr>
                <w:rFonts w:cs="Arial"/>
              </w:rPr>
              <w:t>Next review date:</w:t>
            </w:r>
          </w:p>
        </w:tc>
        <w:tc>
          <w:tcPr>
            <w:tcW w:w="2448" w:type="dxa"/>
          </w:tcPr>
          <w:p w14:paraId="112594AC" w14:textId="3DBAD75B" w:rsidR="00812579" w:rsidRDefault="00FE03C0" w:rsidP="00BF1406">
            <w:pPr>
              <w:rPr>
                <w:rFonts w:cs="Arial"/>
              </w:rPr>
            </w:pPr>
            <w:r>
              <w:rPr>
                <w:rFonts w:cs="Arial"/>
              </w:rPr>
              <w:t>November 2025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05A7119">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467E0087" w:rsidR="00812579" w:rsidRDefault="00826798" w:rsidP="00812579">
            <w:pPr>
              <w:rPr>
                <w:rFonts w:cs="Arial"/>
              </w:rPr>
            </w:pPr>
            <w:r>
              <w:rPr>
                <w:rFonts w:cs="Arial"/>
              </w:rPr>
              <w:t>10/04/24</w:t>
            </w:r>
          </w:p>
        </w:tc>
        <w:tc>
          <w:tcPr>
            <w:tcW w:w="7200" w:type="dxa"/>
          </w:tcPr>
          <w:p w14:paraId="294477C0" w14:textId="54D507C4" w:rsidR="00641F7D" w:rsidRDefault="00616DFC" w:rsidP="007A56FB">
            <w:pPr>
              <w:rPr>
                <w:rFonts w:cs="Arial"/>
              </w:rPr>
            </w:pPr>
            <w:r>
              <w:rPr>
                <w:rFonts w:cs="Arial"/>
              </w:rPr>
              <w:t>Hyperlinks and references updated to latest versions. Safety advice reinforced throughout</w:t>
            </w:r>
          </w:p>
          <w:p w14:paraId="36C6F773" w14:textId="110259A9" w:rsidR="00616DFC" w:rsidRDefault="00616DFC" w:rsidP="007A56FB">
            <w:pPr>
              <w:rPr>
                <w:rFonts w:cs="Arial"/>
              </w:rPr>
            </w:pPr>
            <w:r>
              <w:rPr>
                <w:rFonts w:cs="Arial"/>
              </w:rPr>
              <w:t xml:space="preserve">Section 5: advice </w:t>
            </w:r>
            <w:r w:rsidR="00C3749A">
              <w:rPr>
                <w:rFonts w:cs="Arial"/>
              </w:rPr>
              <w:t xml:space="preserve">added </w:t>
            </w:r>
            <w:r>
              <w:rPr>
                <w:rFonts w:cs="Arial"/>
              </w:rPr>
              <w:t>on monitoring for patients taking methotrexate with leflunomide</w:t>
            </w:r>
            <w:r w:rsidR="00C3749A">
              <w:rPr>
                <w:rFonts w:cs="Arial"/>
              </w:rPr>
              <w:t>, and when higher doses of folic acid may be needed</w:t>
            </w:r>
          </w:p>
          <w:p w14:paraId="32F166E7" w14:textId="77777777" w:rsidR="00616DFC" w:rsidRDefault="00616DFC" w:rsidP="007A56FB">
            <w:pPr>
              <w:rPr>
                <w:rFonts w:cs="Arial"/>
              </w:rPr>
            </w:pPr>
            <w:r>
              <w:rPr>
                <w:rFonts w:cs="Arial"/>
              </w:rPr>
              <w:t>Section 6: advice on shingles vaccination updated to align with new national schedule</w:t>
            </w:r>
          </w:p>
          <w:p w14:paraId="7B42E240" w14:textId="77777777" w:rsidR="00616DFC" w:rsidRDefault="00616DFC" w:rsidP="007A56FB">
            <w:pPr>
              <w:rPr>
                <w:rFonts w:cs="Arial"/>
              </w:rPr>
            </w:pPr>
            <w:r>
              <w:rPr>
                <w:rFonts w:cs="Arial"/>
              </w:rPr>
              <w:t>Section 11: links added to MHRA advice on sun exposure</w:t>
            </w:r>
          </w:p>
          <w:p w14:paraId="36F87864" w14:textId="1F3E9C6B" w:rsidR="00826798" w:rsidRPr="007A56FB" w:rsidRDefault="00826798" w:rsidP="007A56FB">
            <w:pPr>
              <w:rPr>
                <w:rFonts w:cs="Arial"/>
              </w:rPr>
            </w:pPr>
            <w:r w:rsidRPr="00826798">
              <w:rPr>
                <w:rFonts w:cs="Arial"/>
              </w:rPr>
              <w:t>Section 12: Information on use in pregnancy updated to reflect UKTIS advice</w:t>
            </w:r>
          </w:p>
        </w:tc>
      </w:tr>
      <w:tr w:rsidR="00812579" w:rsidRPr="00AB063D" w14:paraId="120F2CF5" w14:textId="77777777" w:rsidTr="005A7119">
        <w:tc>
          <w:tcPr>
            <w:tcW w:w="1413" w:type="dxa"/>
          </w:tcPr>
          <w:p w14:paraId="36E8A0C3" w14:textId="75D1039D" w:rsidR="00812579" w:rsidRDefault="00B842DD" w:rsidP="00812579">
            <w:pPr>
              <w:rPr>
                <w:rFonts w:cs="Arial"/>
              </w:rPr>
            </w:pPr>
            <w:r>
              <w:rPr>
                <w:rFonts w:cs="Arial"/>
              </w:rPr>
              <w:t>RDTC v1.1</w:t>
            </w:r>
          </w:p>
        </w:tc>
        <w:tc>
          <w:tcPr>
            <w:tcW w:w="1843" w:type="dxa"/>
          </w:tcPr>
          <w:p w14:paraId="156C2558" w14:textId="4B71BF67" w:rsidR="00812579" w:rsidRDefault="00AB063D" w:rsidP="00812579">
            <w:pPr>
              <w:rPr>
                <w:rFonts w:cs="Arial"/>
              </w:rPr>
            </w:pPr>
            <w:r>
              <w:rPr>
                <w:rFonts w:cs="Arial"/>
              </w:rPr>
              <w:t>26</w:t>
            </w:r>
            <w:r w:rsidRPr="00AB063D">
              <w:rPr>
                <w:rFonts w:cs="Arial"/>
                <w:vertAlign w:val="superscript"/>
              </w:rPr>
              <w:t>th</w:t>
            </w:r>
            <w:r>
              <w:rPr>
                <w:rFonts w:cs="Arial"/>
              </w:rPr>
              <w:t xml:space="preserve"> November 2024</w:t>
            </w:r>
          </w:p>
        </w:tc>
        <w:tc>
          <w:tcPr>
            <w:tcW w:w="7200" w:type="dxa"/>
          </w:tcPr>
          <w:p w14:paraId="70E165E6" w14:textId="654C8AE3" w:rsidR="00812579" w:rsidRPr="00AB063D" w:rsidRDefault="00B842DD" w:rsidP="00812579">
            <w:pPr>
              <w:rPr>
                <w:rFonts w:cs="Arial"/>
              </w:rPr>
            </w:pPr>
            <w:r w:rsidRPr="00AB063D">
              <w:rPr>
                <w:rFonts w:cs="Arial"/>
              </w:rPr>
              <w:t>Advice on shingles vaccine clarified to reflect potential eligibility of patients aged 50 years or older taking immunosuppressive therapy</w:t>
            </w:r>
          </w:p>
        </w:tc>
      </w:tr>
      <w:tr w:rsidR="00652846" w:rsidRPr="00AB063D" w14:paraId="0F2AFC42" w14:textId="77777777" w:rsidTr="005A7119">
        <w:tc>
          <w:tcPr>
            <w:tcW w:w="1413" w:type="dxa"/>
          </w:tcPr>
          <w:p w14:paraId="39BA05D4" w14:textId="4C767599" w:rsidR="00652846" w:rsidRDefault="00652846" w:rsidP="00812579">
            <w:pPr>
              <w:rPr>
                <w:rFonts w:cs="Arial"/>
              </w:rPr>
            </w:pPr>
            <w:r>
              <w:rPr>
                <w:rFonts w:cs="Arial"/>
              </w:rPr>
              <w:t>RDTC v1.2</w:t>
            </w:r>
          </w:p>
        </w:tc>
        <w:tc>
          <w:tcPr>
            <w:tcW w:w="1843" w:type="dxa"/>
          </w:tcPr>
          <w:p w14:paraId="307E612C" w14:textId="390C96F6" w:rsidR="00652846" w:rsidRDefault="00652846" w:rsidP="00812579">
            <w:pPr>
              <w:rPr>
                <w:rFonts w:cs="Arial"/>
              </w:rPr>
            </w:pPr>
            <w:r>
              <w:rPr>
                <w:rFonts w:cs="Arial"/>
              </w:rPr>
              <w:t>12/03/2025</w:t>
            </w:r>
          </w:p>
        </w:tc>
        <w:tc>
          <w:tcPr>
            <w:tcW w:w="7200" w:type="dxa"/>
          </w:tcPr>
          <w:p w14:paraId="7B628F93" w14:textId="073A21C5" w:rsidR="00652846" w:rsidRPr="00AB063D" w:rsidRDefault="00652846" w:rsidP="00812579">
            <w:pPr>
              <w:rPr>
                <w:rFonts w:cs="Arial"/>
              </w:rPr>
            </w:pPr>
            <w:r>
              <w:rPr>
                <w:rFonts w:cs="Arial"/>
              </w:rPr>
              <w:t xml:space="preserve">Units for PIIINP test corrected as per </w:t>
            </w:r>
            <w:hyperlink r:id="rId11" w:history="1">
              <w:r w:rsidR="00A94DEF" w:rsidRPr="00A94DEF">
                <w:rPr>
                  <w:rStyle w:val="Hyperlink"/>
                  <w:rFonts w:cs="Arial"/>
                </w:rPr>
                <w:t>BAD guidelines corrigendum</w:t>
              </w:r>
            </w:hyperlink>
          </w:p>
        </w:tc>
      </w:tr>
      <w:tr w:rsidR="00A01195" w:rsidRPr="00AB063D" w14:paraId="2504AE00" w14:textId="77777777" w:rsidTr="005A7119">
        <w:tc>
          <w:tcPr>
            <w:tcW w:w="1413" w:type="dxa"/>
          </w:tcPr>
          <w:p w14:paraId="3906097B" w14:textId="73B87320" w:rsidR="00A01195" w:rsidRDefault="00A01195" w:rsidP="00812579">
            <w:pPr>
              <w:rPr>
                <w:rFonts w:cs="Arial"/>
              </w:rPr>
            </w:pPr>
            <w:r>
              <w:rPr>
                <w:rFonts w:cs="Arial"/>
              </w:rPr>
              <w:t>HNY v1.0</w:t>
            </w:r>
          </w:p>
        </w:tc>
        <w:tc>
          <w:tcPr>
            <w:tcW w:w="1843" w:type="dxa"/>
          </w:tcPr>
          <w:p w14:paraId="37A697DD" w14:textId="2273D692" w:rsidR="00A01195" w:rsidRDefault="00183898" w:rsidP="00812579">
            <w:pPr>
              <w:rPr>
                <w:rFonts w:cs="Arial"/>
              </w:rPr>
            </w:pPr>
            <w:r>
              <w:rPr>
                <w:rFonts w:cs="Arial"/>
              </w:rPr>
              <w:t>April 2025</w:t>
            </w:r>
          </w:p>
        </w:tc>
        <w:tc>
          <w:tcPr>
            <w:tcW w:w="7200" w:type="dxa"/>
          </w:tcPr>
          <w:p w14:paraId="564CAA4B" w14:textId="77777777" w:rsidR="000E4C8B" w:rsidRPr="000E4C8B" w:rsidRDefault="000E4C8B" w:rsidP="00D2291B">
            <w:pPr>
              <w:pStyle w:val="ListParagraph"/>
              <w:numPr>
                <w:ilvl w:val="0"/>
                <w:numId w:val="12"/>
              </w:numPr>
            </w:pPr>
            <w:r>
              <w:rPr>
                <w:rFonts w:cs="Arial"/>
              </w:rPr>
              <w:t>Added HNY logos</w:t>
            </w:r>
          </w:p>
          <w:p w14:paraId="609B5F79" w14:textId="361B7462" w:rsidR="00D67621" w:rsidRPr="002273EC" w:rsidRDefault="00D67621" w:rsidP="00596904">
            <w:pPr>
              <w:pStyle w:val="ListParagraph"/>
              <w:numPr>
                <w:ilvl w:val="0"/>
                <w:numId w:val="12"/>
              </w:numPr>
            </w:pPr>
            <w:r w:rsidRPr="00D67621">
              <w:rPr>
                <w:rFonts w:cs="Arial"/>
              </w:rPr>
              <w:t xml:space="preserve">Added </w:t>
            </w:r>
            <w:r>
              <w:rPr>
                <w:rFonts w:cs="Arial"/>
              </w:rPr>
              <w:t xml:space="preserve">note to </w:t>
            </w:r>
            <w:r w:rsidR="008207C4">
              <w:rPr>
                <w:rFonts w:cs="Arial"/>
              </w:rPr>
              <w:t xml:space="preserve">subcutaneous* - </w:t>
            </w:r>
            <w:r>
              <w:t>*Interim position in York and Scarborough until HNY formularies aligned (all other Places Red)</w:t>
            </w:r>
          </w:p>
          <w:p w14:paraId="2E00E399" w14:textId="2ED8EC35" w:rsidR="000527AC" w:rsidRPr="00183898" w:rsidRDefault="000527AC" w:rsidP="00183898">
            <w:pPr>
              <w:pStyle w:val="ListParagraph"/>
              <w:numPr>
                <w:ilvl w:val="0"/>
                <w:numId w:val="12"/>
              </w:numPr>
              <w:rPr>
                <w:rFonts w:cs="Arial"/>
              </w:rPr>
            </w:pPr>
            <w:r w:rsidRPr="00183898">
              <w:rPr>
                <w:rFonts w:cs="Arial"/>
              </w:rPr>
              <w:t xml:space="preserve">Section 4: Transfer of monitoring and prescribing updated as per NHSE document - </w:t>
            </w:r>
            <w:hyperlink r:id="rId12" w:history="1">
              <w:r w:rsidRPr="00183898">
                <w:rPr>
                  <w:rStyle w:val="Hyperlink"/>
                  <w:rFonts w:cs="Arial"/>
                </w:rPr>
                <w:t>https://www.england.nhs.uk/wp-content/uploads/2018/03/responsibility-prescribing-between-primary-secondary-care-v2.pdf</w:t>
              </w:r>
            </w:hyperlink>
            <w:r w:rsidR="00183898">
              <w:t xml:space="preserve"> and following wording added: </w:t>
            </w:r>
            <w:r w:rsidR="00183898"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5A3E77AF" w14:textId="77777777" w:rsidR="00ED3C19" w:rsidRPr="0095305B" w:rsidRDefault="00ED3C19" w:rsidP="00D2291B">
            <w:pPr>
              <w:pStyle w:val="ListParagraph"/>
              <w:numPr>
                <w:ilvl w:val="0"/>
                <w:numId w:val="12"/>
              </w:numPr>
              <w:rPr>
                <w:rFonts w:cs="Arial"/>
              </w:rPr>
            </w:pPr>
            <w:r>
              <w:rPr>
                <w:rFonts w:cs="Arial"/>
              </w:rPr>
              <w:t>Section 5: Wording re screening for viral infections changed from "as per local policy" to "</w:t>
            </w:r>
            <w:r>
              <w:t>at discretion of the treating clinician"</w:t>
            </w:r>
          </w:p>
          <w:p w14:paraId="3C079119" w14:textId="77777777" w:rsidR="008F7A5A" w:rsidRPr="002273EC" w:rsidRDefault="008F7A5A" w:rsidP="00D2291B">
            <w:pPr>
              <w:pStyle w:val="ListParagraph"/>
              <w:numPr>
                <w:ilvl w:val="0"/>
                <w:numId w:val="12"/>
              </w:numPr>
              <w:rPr>
                <w:rStyle w:val="Heading3Char"/>
                <w:rFonts w:eastAsiaTheme="minorHAnsi" w:cs="Arial"/>
                <w:b w:val="0"/>
                <w:szCs w:val="22"/>
                <w:u w:val="none"/>
              </w:rPr>
            </w:pPr>
            <w:r>
              <w:rPr>
                <w:rFonts w:cs="Arial"/>
              </w:rPr>
              <w:t xml:space="preserve">Section 5: Wording re checking bloods </w:t>
            </w:r>
            <w:r w:rsidRPr="002273EC">
              <w:rPr>
                <w:rStyle w:val="Heading3Char"/>
                <w:b w:val="0"/>
                <w:bCs/>
                <w:u w:val="none"/>
              </w:rPr>
              <w:t>after dose change amended from "every 2 weeks" to "repeat bloods after 2 weeks and 6 weeks"</w:t>
            </w:r>
          </w:p>
          <w:p w14:paraId="7BE536CF" w14:textId="77777777" w:rsidR="00147FC5" w:rsidRDefault="00147FC5" w:rsidP="00D2291B">
            <w:pPr>
              <w:pStyle w:val="ListParagraph"/>
              <w:numPr>
                <w:ilvl w:val="0"/>
                <w:numId w:val="12"/>
              </w:numPr>
              <w:rPr>
                <w:rFonts w:cs="Arial"/>
              </w:rPr>
            </w:pPr>
            <w:r>
              <w:rPr>
                <w:rFonts w:cs="Arial"/>
              </w:rPr>
              <w:t xml:space="preserve">Section 6: </w:t>
            </w:r>
            <w:proofErr w:type="spellStart"/>
            <w:r>
              <w:rPr>
                <w:rFonts w:cs="Arial"/>
              </w:rPr>
              <w:t>CrCl</w:t>
            </w:r>
            <w:proofErr w:type="spellEnd"/>
            <w:r>
              <w:rPr>
                <w:rFonts w:cs="Arial"/>
              </w:rPr>
              <w:t xml:space="preserve"> removed and added eGFR</w:t>
            </w:r>
          </w:p>
          <w:p w14:paraId="23749445" w14:textId="77777777" w:rsidR="00147FC5" w:rsidRDefault="00147FC5" w:rsidP="00D2291B">
            <w:pPr>
              <w:pStyle w:val="ListParagraph"/>
              <w:numPr>
                <w:ilvl w:val="0"/>
                <w:numId w:val="12"/>
              </w:numPr>
              <w:rPr>
                <w:rFonts w:cs="Arial"/>
              </w:rPr>
            </w:pPr>
            <w:r>
              <w:rPr>
                <w:rFonts w:cs="Arial"/>
              </w:rPr>
              <w:t>Section 6: Removed monitoring of CRP &amp; / or ESR</w:t>
            </w:r>
          </w:p>
          <w:p w14:paraId="558FC7F5" w14:textId="77777777" w:rsidR="00A01195" w:rsidRPr="00596904" w:rsidRDefault="00994E2A" w:rsidP="00D2291B">
            <w:pPr>
              <w:pStyle w:val="ListParagraph"/>
              <w:numPr>
                <w:ilvl w:val="0"/>
                <w:numId w:val="12"/>
              </w:numPr>
              <w:rPr>
                <w:rFonts w:cs="Arial"/>
              </w:rPr>
            </w:pPr>
            <w:r>
              <w:rPr>
                <w:rFonts w:cs="Arial"/>
              </w:rPr>
              <w:t xml:space="preserve">Section 6: </w:t>
            </w:r>
            <w:r>
              <w:rPr>
                <w:lang w:eastAsia="en-GB"/>
              </w:rPr>
              <w:t>Psoriasis patients: serum PIIINP – added "this can be requested. If not available locally, the request would be sent to another lab"</w:t>
            </w:r>
          </w:p>
          <w:p w14:paraId="34B02D91" w14:textId="77777777" w:rsidR="000767FB" w:rsidRPr="00596904" w:rsidRDefault="000767FB" w:rsidP="00D2291B">
            <w:pPr>
              <w:pStyle w:val="ListParagraph"/>
              <w:numPr>
                <w:ilvl w:val="0"/>
                <w:numId w:val="12"/>
              </w:numPr>
              <w:rPr>
                <w:rFonts w:cs="Arial"/>
              </w:rPr>
            </w:pPr>
            <w:r>
              <w:rPr>
                <w:rFonts w:cs="Arial"/>
              </w:rPr>
              <w:t xml:space="preserve">Section 7: Formulation – added </w:t>
            </w:r>
            <w:r w:rsidR="0081754F">
              <w:rPr>
                <w:rFonts w:eastAsia="Times New Roman" w:cstheme="minorHAnsi"/>
                <w:bCs/>
                <w:iCs/>
                <w:color w:val="000000"/>
                <w:lang w:eastAsia="en-GB"/>
              </w:rPr>
              <w:t>(note maximum dose is 25mg) to s/c injection</w:t>
            </w:r>
          </w:p>
          <w:p w14:paraId="5C45BD42" w14:textId="7EB5A04A" w:rsidR="000E2D93" w:rsidRPr="008A05AC" w:rsidRDefault="000E2D93" w:rsidP="00D2291B">
            <w:pPr>
              <w:pStyle w:val="ListParagraph"/>
              <w:numPr>
                <w:ilvl w:val="0"/>
                <w:numId w:val="12"/>
              </w:numPr>
            </w:pPr>
            <w:r>
              <w:rPr>
                <w:rFonts w:cs="Arial"/>
              </w:rPr>
              <w:t xml:space="preserve">Section 8: </w:t>
            </w:r>
            <w:r w:rsidRPr="008A05AC">
              <w:t xml:space="preserve">Significant renal impairment – </w:t>
            </w:r>
            <w:r>
              <w:t>added "</w:t>
            </w:r>
            <w:r w:rsidRPr="00596904">
              <w:rPr>
                <w:b/>
                <w:bCs/>
              </w:rPr>
              <w:t>SPC advises</w:t>
            </w:r>
            <w:r>
              <w:rPr>
                <w:b/>
                <w:bCs/>
              </w:rPr>
              <w:t>"</w:t>
            </w:r>
            <w:r>
              <w:t xml:space="preserve"> </w:t>
            </w:r>
            <w:r w:rsidRPr="008A05AC">
              <w:t>creatinine clearance (</w:t>
            </w:r>
            <w:proofErr w:type="spellStart"/>
            <w:r w:rsidRPr="008A05AC">
              <w:t>CrCl</w:t>
            </w:r>
            <w:proofErr w:type="spellEnd"/>
            <w:r w:rsidRPr="008A05AC">
              <w:t>) less than 30 mL/min.</w:t>
            </w:r>
            <w:r>
              <w:t xml:space="preserve"> and added "however rheumatologists would take an individualised approach considering age and frailty and also whether decline in renal function acute or chronic".</w:t>
            </w:r>
          </w:p>
          <w:p w14:paraId="5A8DA523" w14:textId="77777777" w:rsidR="0068509F" w:rsidRDefault="0068509F" w:rsidP="00D2291B">
            <w:pPr>
              <w:pStyle w:val="ListParagraph"/>
              <w:numPr>
                <w:ilvl w:val="0"/>
                <w:numId w:val="12"/>
              </w:numPr>
              <w:rPr>
                <w:rFonts w:cs="Arial"/>
              </w:rPr>
            </w:pPr>
            <w:r>
              <w:rPr>
                <w:rFonts w:cs="Arial"/>
              </w:rPr>
              <w:t>Section 10: Changed eosinophilia to unexplained eosinophilia</w:t>
            </w:r>
          </w:p>
          <w:p w14:paraId="07052595" w14:textId="77777777" w:rsidR="0068509F" w:rsidRPr="0096279B" w:rsidRDefault="0068509F" w:rsidP="00D2291B">
            <w:pPr>
              <w:pStyle w:val="ListParagraph"/>
              <w:numPr>
                <w:ilvl w:val="0"/>
                <w:numId w:val="12"/>
              </w:numPr>
              <w:rPr>
                <w:rFonts w:cs="Arial"/>
              </w:rPr>
            </w:pPr>
            <w:r>
              <w:rPr>
                <w:rFonts w:cs="Arial"/>
              </w:rPr>
              <w:t>Section 10: Mean cell volume greater than 105fl – changed wording in management section from "</w:t>
            </w:r>
            <w:r w:rsidRPr="00F97FA5">
              <w:t>Consider interruption in treatment if there is a significant increase from baseline</w:t>
            </w:r>
            <w:r>
              <w:t>" to "</w:t>
            </w:r>
            <w:r w:rsidRPr="00F97FA5">
              <w:t xml:space="preserve"> Check serum folate, B12, alcohol history and TSH and treat any underlying abnormality. If results of these additional investigations are </w:t>
            </w:r>
            <w:r>
              <w:t xml:space="preserve">abnormal treat, if </w:t>
            </w:r>
            <w:r w:rsidRPr="00F97FA5">
              <w:t>normal discuss with specialist team</w:t>
            </w:r>
            <w:r>
              <w:t>"</w:t>
            </w:r>
          </w:p>
          <w:p w14:paraId="67805F22" w14:textId="6EA27C2E" w:rsidR="00E826A9" w:rsidRDefault="00E826A9" w:rsidP="00D2291B">
            <w:pPr>
              <w:pStyle w:val="ListParagraph"/>
              <w:numPr>
                <w:ilvl w:val="0"/>
                <w:numId w:val="12"/>
              </w:numPr>
              <w:rPr>
                <w:rFonts w:cs="Arial"/>
              </w:rPr>
            </w:pPr>
            <w:r>
              <w:rPr>
                <w:rFonts w:cs="Arial"/>
              </w:rPr>
              <w:t xml:space="preserve">Section 10: Changed </w:t>
            </w:r>
            <w:proofErr w:type="spellStart"/>
            <w:r>
              <w:rPr>
                <w:rFonts w:cs="Arial"/>
              </w:rPr>
              <w:t>CrCl</w:t>
            </w:r>
            <w:proofErr w:type="spellEnd"/>
            <w:r>
              <w:rPr>
                <w:rFonts w:cs="Arial"/>
              </w:rPr>
              <w:t xml:space="preserve"> to eGFR</w:t>
            </w:r>
          </w:p>
          <w:p w14:paraId="2E00D603" w14:textId="77777777" w:rsidR="000E2D93" w:rsidRDefault="000D06A0" w:rsidP="00D2291B">
            <w:pPr>
              <w:pStyle w:val="ListParagraph"/>
              <w:numPr>
                <w:ilvl w:val="0"/>
                <w:numId w:val="12"/>
              </w:numPr>
              <w:rPr>
                <w:rFonts w:cs="Arial"/>
              </w:rPr>
            </w:pPr>
            <w:r>
              <w:rPr>
                <w:rFonts w:cs="Arial"/>
              </w:rPr>
              <w:t xml:space="preserve">Section </w:t>
            </w:r>
            <w:r w:rsidR="003105CB">
              <w:rPr>
                <w:rFonts w:cs="Arial"/>
              </w:rPr>
              <w:t>11: Advice to patients and / or carers – added "What action to take in event of sickness / missed dose"</w:t>
            </w:r>
          </w:p>
          <w:p w14:paraId="4C2AEE72" w14:textId="77777777" w:rsidR="00D2291B" w:rsidRPr="00370D0C" w:rsidRDefault="00D2291B" w:rsidP="00D2291B">
            <w:pPr>
              <w:pStyle w:val="ListParagraph"/>
              <w:numPr>
                <w:ilvl w:val="0"/>
                <w:numId w:val="12"/>
              </w:numPr>
              <w:rPr>
                <w:rFonts w:cs="Arial"/>
              </w:rPr>
            </w:pPr>
            <w:r w:rsidRPr="00CD6693">
              <w:rPr>
                <w:rFonts w:cs="Arial"/>
              </w:rPr>
              <w:t>Section 13: Contact information updated to "</w:t>
            </w:r>
            <w:r w:rsidRPr="002273EC">
              <w:rPr>
                <w:rFonts w:cs="Arial"/>
                <w:i/>
                <w:iCs/>
              </w:rPr>
              <w:t xml:space="preserve"> </w:t>
            </w:r>
            <w:r w:rsidRPr="002273EC">
              <w:rPr>
                <w:rFonts w:cs="Arial"/>
              </w:rPr>
              <w:t>Details</w:t>
            </w:r>
            <w:r w:rsidRPr="002273EC">
              <w:rPr>
                <w:rFonts w:cs="Arial"/>
                <w:i/>
                <w:iCs/>
              </w:rPr>
              <w:t xml:space="preserve"> </w:t>
            </w:r>
            <w:r w:rsidRPr="00370D0C">
              <w:rPr>
                <w:rFonts w:cs="Arial"/>
              </w:rPr>
              <w:t>for contacting specialist must be included on clinic letter"</w:t>
            </w:r>
          </w:p>
          <w:p w14:paraId="0D1CCD82" w14:textId="6CA2B746" w:rsidR="00D2291B" w:rsidRPr="00D67621" w:rsidRDefault="00023055" w:rsidP="00596904">
            <w:pPr>
              <w:pStyle w:val="ListParagraph"/>
              <w:numPr>
                <w:ilvl w:val="0"/>
                <w:numId w:val="12"/>
              </w:numPr>
              <w:rPr>
                <w:rFonts w:cs="Arial"/>
              </w:rPr>
            </w:pPr>
            <w:r>
              <w:rPr>
                <w:rFonts w:cs="Arial"/>
              </w:rPr>
              <w:t>Section 16: Hyperlink to Shared Care for Medicines Guidance updated</w:t>
            </w:r>
          </w:p>
        </w:tc>
      </w:tr>
      <w:tr w:rsidR="00487CCF" w:rsidRPr="00AB063D" w14:paraId="5A1A48DD" w14:textId="77777777" w:rsidTr="005A7119">
        <w:tc>
          <w:tcPr>
            <w:tcW w:w="1413" w:type="dxa"/>
          </w:tcPr>
          <w:p w14:paraId="2D45F5CF" w14:textId="6DB961EE" w:rsidR="00487CCF" w:rsidRDefault="00487CCF" w:rsidP="00812579">
            <w:pPr>
              <w:rPr>
                <w:rFonts w:cs="Arial"/>
              </w:rPr>
            </w:pPr>
            <w:r>
              <w:rPr>
                <w:rFonts w:cs="Arial"/>
              </w:rPr>
              <w:t>HNY v2.0</w:t>
            </w:r>
          </w:p>
        </w:tc>
        <w:tc>
          <w:tcPr>
            <w:tcW w:w="1843" w:type="dxa"/>
          </w:tcPr>
          <w:p w14:paraId="6FF3C06A" w14:textId="523D4D58" w:rsidR="00487CCF" w:rsidRDefault="00FA6EE6" w:rsidP="00812579">
            <w:pPr>
              <w:rPr>
                <w:rFonts w:cs="Arial"/>
              </w:rPr>
            </w:pPr>
            <w:r>
              <w:rPr>
                <w:rFonts w:cs="Arial"/>
              </w:rPr>
              <w:t>July 2025</w:t>
            </w:r>
          </w:p>
        </w:tc>
        <w:tc>
          <w:tcPr>
            <w:tcW w:w="7200" w:type="dxa"/>
          </w:tcPr>
          <w:p w14:paraId="209B21C7" w14:textId="77777777" w:rsidR="0011566C" w:rsidRPr="00A66752" w:rsidRDefault="0011566C" w:rsidP="00A66752">
            <w:pPr>
              <w:pStyle w:val="ListParagraph"/>
              <w:numPr>
                <w:ilvl w:val="0"/>
                <w:numId w:val="37"/>
              </w:numPr>
              <w:rPr>
                <w:rFonts w:cs="Arial"/>
              </w:rPr>
            </w:pPr>
            <w:r w:rsidRPr="00A66752">
              <w:rPr>
                <w:rFonts w:cs="Arial"/>
              </w:rPr>
              <w:t>Section 5: Added statement on excluding pregnancy prior to treatment</w:t>
            </w:r>
          </w:p>
          <w:p w14:paraId="7A6B9DAA" w14:textId="77777777" w:rsidR="0011566C" w:rsidRPr="00A66752" w:rsidRDefault="0011566C" w:rsidP="00A66752">
            <w:pPr>
              <w:pStyle w:val="ListParagraph"/>
              <w:numPr>
                <w:ilvl w:val="0"/>
                <w:numId w:val="37"/>
              </w:numPr>
              <w:rPr>
                <w:rFonts w:cs="Arial"/>
              </w:rPr>
            </w:pPr>
            <w:r w:rsidRPr="00A66752">
              <w:rPr>
                <w:rFonts w:cs="Arial"/>
              </w:rPr>
              <w:t xml:space="preserve">Section 10: Advice on management of patients who become pregnant clarified. </w:t>
            </w:r>
          </w:p>
          <w:p w14:paraId="7529A7E1" w14:textId="0D8C82D0" w:rsidR="00487CCF" w:rsidRDefault="0011566C" w:rsidP="0011566C">
            <w:pPr>
              <w:pStyle w:val="ListParagraph"/>
              <w:numPr>
                <w:ilvl w:val="0"/>
                <w:numId w:val="12"/>
              </w:numPr>
              <w:rPr>
                <w:rFonts w:cs="Arial"/>
              </w:rPr>
            </w:pPr>
            <w:r w:rsidRPr="00A66752">
              <w:rPr>
                <w:rFonts w:cs="Arial"/>
              </w:rPr>
              <w:t>Section 11: Advice on duration of effective contraception following stopping methotrexate harmonised and aligned with BSR.</w:t>
            </w:r>
          </w:p>
        </w:tc>
      </w:tr>
    </w:tbl>
    <w:p w14:paraId="3EC6F559"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716319">
        <w:tc>
          <w:tcPr>
            <w:tcW w:w="4248" w:type="dxa"/>
          </w:tcPr>
          <w:p w14:paraId="6F1EF854" w14:textId="77777777" w:rsidR="005432DD" w:rsidRPr="00812579" w:rsidRDefault="005432DD" w:rsidP="00716319">
            <w:pPr>
              <w:rPr>
                <w:rFonts w:cs="Arial"/>
                <w:b/>
                <w:bCs/>
              </w:rPr>
            </w:pPr>
            <w:r>
              <w:rPr>
                <w:rFonts w:cs="Arial"/>
                <w:b/>
                <w:bCs/>
              </w:rPr>
              <w:t>Local approval</w:t>
            </w:r>
          </w:p>
        </w:tc>
        <w:tc>
          <w:tcPr>
            <w:tcW w:w="4365" w:type="dxa"/>
          </w:tcPr>
          <w:p w14:paraId="1229A162" w14:textId="77777777" w:rsidR="005432DD" w:rsidRPr="00812579" w:rsidRDefault="005432DD" w:rsidP="00716319">
            <w:pPr>
              <w:rPr>
                <w:rFonts w:cs="Arial"/>
                <w:b/>
                <w:bCs/>
              </w:rPr>
            </w:pPr>
            <w:r>
              <w:rPr>
                <w:rFonts w:cs="Arial"/>
                <w:b/>
                <w:bCs/>
              </w:rPr>
              <w:t>Date</w:t>
            </w:r>
          </w:p>
        </w:tc>
      </w:tr>
      <w:tr w:rsidR="005A7119" w14:paraId="141E8B71" w14:textId="77777777" w:rsidTr="00716319">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566F707E" w:rsidR="005A7119" w:rsidRDefault="00016649" w:rsidP="005A7119">
            <w:pPr>
              <w:rPr>
                <w:rFonts w:cs="Arial"/>
              </w:rPr>
            </w:pPr>
            <w:r>
              <w:rPr>
                <w:rFonts w:cs="Arial"/>
              </w:rPr>
              <w:t xml:space="preserve">June </w:t>
            </w:r>
            <w:r w:rsidR="00A01195">
              <w:rPr>
                <w:rFonts w:cs="Arial"/>
              </w:rPr>
              <w:t>2025</w:t>
            </w:r>
          </w:p>
        </w:tc>
      </w:tr>
      <w:tr w:rsidR="005A7119" w14:paraId="5274CE57" w14:textId="77777777" w:rsidTr="00716319">
        <w:tc>
          <w:tcPr>
            <w:tcW w:w="4248" w:type="dxa"/>
          </w:tcPr>
          <w:p w14:paraId="72D8275E" w14:textId="6ED350B4" w:rsidR="005A7119" w:rsidRDefault="005A7119" w:rsidP="005A7119">
            <w:pPr>
              <w:rPr>
                <w:rFonts w:cs="Arial"/>
              </w:rPr>
            </w:pPr>
            <w:r>
              <w:rPr>
                <w:rFonts w:cs="Arial"/>
              </w:rPr>
              <w:t xml:space="preserve">Approved for use by </w:t>
            </w:r>
            <w:r w:rsidR="000E4C8B">
              <w:rPr>
                <w:rFonts w:cs="Arial"/>
              </w:rPr>
              <w:t xml:space="preserve">HNY </w:t>
            </w:r>
            <w:r>
              <w:rPr>
                <w:rFonts w:cs="Arial"/>
              </w:rPr>
              <w:t xml:space="preserve">ICB </w:t>
            </w:r>
          </w:p>
        </w:tc>
        <w:tc>
          <w:tcPr>
            <w:tcW w:w="4365" w:type="dxa"/>
          </w:tcPr>
          <w:p w14:paraId="696B3FA0" w14:textId="17B249FA" w:rsidR="005A7119" w:rsidRDefault="00FA6EE6" w:rsidP="005A7119">
            <w:pPr>
              <w:rPr>
                <w:rFonts w:cs="Arial"/>
              </w:rPr>
            </w:pPr>
            <w:r>
              <w:rPr>
                <w:rFonts w:cs="Arial"/>
              </w:rPr>
              <w:t>2</w:t>
            </w:r>
            <w:r w:rsidRPr="00862166">
              <w:rPr>
                <w:rFonts w:cs="Arial"/>
                <w:vertAlign w:val="superscript"/>
              </w:rPr>
              <w:t>nd</w:t>
            </w:r>
            <w:r>
              <w:rPr>
                <w:rFonts w:cs="Arial"/>
              </w:rPr>
              <w:t xml:space="preserve"> July 2025</w:t>
            </w:r>
          </w:p>
        </w:tc>
      </w:tr>
    </w:tbl>
    <w:p w14:paraId="4E87CD01" w14:textId="77777777" w:rsidR="00812579" w:rsidRDefault="00812579">
      <w:pPr>
        <w:rPr>
          <w:rFonts w:cs="Arial"/>
        </w:rPr>
      </w:pPr>
    </w:p>
    <w:p w14:paraId="2EA3AED0" w14:textId="70BA7B66"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w:t>
      </w:r>
      <w:proofErr w:type="gramStart"/>
      <w:r>
        <w:rPr>
          <w:rFonts w:cs="Arial"/>
          <w:sz w:val="24"/>
          <w:szCs w:val="24"/>
        </w:rPr>
        <w:t>North West</w:t>
      </w:r>
      <w:proofErr w:type="gramEnd"/>
      <w:r>
        <w:rPr>
          <w:rFonts w:cs="Arial"/>
          <w:sz w:val="24"/>
          <w:szCs w:val="24"/>
        </w:rPr>
        <w:t xml:space="preserve"> and </w:t>
      </w:r>
      <w:proofErr w:type="gramStart"/>
      <w:r>
        <w:rPr>
          <w:rFonts w:cs="Arial"/>
          <w:sz w:val="24"/>
          <w:szCs w:val="24"/>
        </w:rPr>
        <w:t>North East</w:t>
      </w:r>
      <w:proofErr w:type="gramEnd"/>
      <w:r>
        <w:rPr>
          <w:rFonts w:cs="Arial"/>
          <w:sz w:val="24"/>
          <w:szCs w:val="24"/>
        </w:rPr>
        <w:t xml:space="preserve"> and Yorkshire ICBs for localisation and approval through standard ICB processes. The most recent version is available on the RDTC website at </w:t>
      </w:r>
      <w:hyperlink r:id="rId13" w:history="1">
        <w:r w:rsidR="008D478B" w:rsidRPr="00AE253B">
          <w:rPr>
            <w:rStyle w:val="Hyperlink"/>
            <w:rFonts w:cs="Arial"/>
            <w:sz w:val="24"/>
            <w:szCs w:val="24"/>
          </w:rPr>
          <w:t>https://rdtc.nhs.uk/prescribing-support-document/shared-care-protocol-methotrexate-in-adults/</w:t>
        </w:r>
      </w:hyperlink>
      <w:r w:rsidR="008D478B">
        <w:rPr>
          <w:rFonts w:cs="Arial"/>
          <w:sz w:val="24"/>
          <w:szCs w:val="24"/>
        </w:rPr>
        <w:t xml:space="preserve">. </w:t>
      </w:r>
    </w:p>
    <w:p w14:paraId="58762991" w14:textId="77777777" w:rsidR="005A7119" w:rsidRDefault="005A7119" w:rsidP="005A7119">
      <w:pPr>
        <w:rPr>
          <w:rFonts w:cs="Arial"/>
          <w:sz w:val="24"/>
          <w:szCs w:val="24"/>
        </w:rPr>
      </w:pPr>
    </w:p>
    <w:p w14:paraId="48258EDF" w14:textId="2C1D6DF8" w:rsidR="005A7119" w:rsidRDefault="005A7119" w:rsidP="005A7119">
      <w:pPr>
        <w:rPr>
          <w:rFonts w:cs="Arial"/>
          <w:sz w:val="24"/>
          <w:szCs w:val="24"/>
        </w:rPr>
      </w:pPr>
      <w:r w:rsidRPr="005A633C">
        <w:rPr>
          <w:rFonts w:cs="Arial"/>
          <w:sz w:val="24"/>
          <w:szCs w:val="24"/>
        </w:rPr>
        <w:t xml:space="preserve">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t>Shared Care Protocol</w:t>
      </w:r>
    </w:p>
    <w:p w14:paraId="0E304D85" w14:textId="07A11FC9" w:rsidR="00F321FC" w:rsidRPr="00ED7968" w:rsidRDefault="00330B76" w:rsidP="005228A2">
      <w:pPr>
        <w:pStyle w:val="Heading2"/>
        <w:numPr>
          <w:ilvl w:val="0"/>
          <w:numId w:val="0"/>
        </w:numPr>
        <w:ind w:left="357" w:hanging="357"/>
        <w:rPr>
          <w:sz w:val="24"/>
          <w:szCs w:val="24"/>
        </w:rPr>
      </w:pPr>
      <w:r w:rsidRPr="00330B76">
        <w:rPr>
          <w:sz w:val="24"/>
          <w:szCs w:val="24"/>
        </w:rPr>
        <w:t>Methotrexate (oral and subcutaneous) for patients in adult services (excluding cancer care)</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330B76" w:rsidRPr="00F321FC" w14:paraId="3FF50130" w14:textId="77777777" w:rsidTr="0051526F">
        <w:tc>
          <w:tcPr>
            <w:tcW w:w="2199" w:type="dxa"/>
            <w:tcBorders>
              <w:top w:val="single" w:sz="4" w:space="0" w:color="BFBFBF" w:themeColor="background1" w:themeShade="BF"/>
            </w:tcBorders>
          </w:tcPr>
          <w:p w14:paraId="60850D61" w14:textId="74515AEE" w:rsidR="00330B76" w:rsidRPr="00F321FC" w:rsidRDefault="00330B76" w:rsidP="00330B76">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1D65A98B" w14:textId="77777777" w:rsidR="00330B76" w:rsidRPr="002D7E5B" w:rsidRDefault="00330B76" w:rsidP="00330B76">
            <w:pPr>
              <w:rPr>
                <w:rFonts w:cs="Arial"/>
              </w:rPr>
            </w:pPr>
            <w:r w:rsidRPr="002D7E5B">
              <w:rPr>
                <w:rFonts w:cs="Arial"/>
              </w:rPr>
              <w:t xml:space="preserve">Methotrexate is a cytotoxic folic acid antagonist used to treat chronic inflammatory conditions and certain cancers. It inhibits the enzyme dihydrofolate reductase and inhibits synthesis of DNA, RNA and proteins. </w:t>
            </w:r>
            <w:r>
              <w:rPr>
                <w:rFonts w:cs="Arial"/>
              </w:rPr>
              <w:t>Methotrexate is routinely prescribed with folic acid supplements, to reduce methotrexate toxicity.</w:t>
            </w:r>
          </w:p>
          <w:p w14:paraId="60260579" w14:textId="77777777" w:rsidR="00330B76" w:rsidRPr="002D7E5B" w:rsidRDefault="00330B76" w:rsidP="00330B76">
            <w:pPr>
              <w:rPr>
                <w:rFonts w:cs="Arial"/>
              </w:rPr>
            </w:pPr>
            <w:r w:rsidRPr="002D7E5B">
              <w:rPr>
                <w:rFonts w:cs="Arial"/>
              </w:rPr>
              <w:t>Methotrexate is licensed for the treatment of certain cancers, as well as some chronic inflammatory disorders. It is not licensed for all the conditions it is used to treat. However, its use for the indications below are well established and supported by clinical specialists.</w:t>
            </w:r>
          </w:p>
          <w:p w14:paraId="6B5F3EB1" w14:textId="2DACD3D7" w:rsidR="00330B76" w:rsidRPr="00B87200" w:rsidRDefault="00330B76" w:rsidP="00330B76">
            <w:pPr>
              <w:rPr>
                <w:rFonts w:cs="Arial"/>
              </w:rPr>
            </w:pPr>
            <w:r w:rsidRPr="002D7E5B">
              <w:rPr>
                <w:rFonts w:cs="Arial"/>
              </w:rPr>
              <w:t>This shared care protocol does not cover treatment of cancer, or treatment of people less than 18 years old.</w:t>
            </w:r>
          </w:p>
        </w:tc>
      </w:tr>
      <w:tr w:rsidR="00330B76" w:rsidRPr="00F321FC" w14:paraId="700AF380" w14:textId="77777777" w:rsidTr="0051526F">
        <w:tc>
          <w:tcPr>
            <w:tcW w:w="2199" w:type="dxa"/>
          </w:tcPr>
          <w:p w14:paraId="353B7610" w14:textId="421AD839" w:rsidR="00330B76" w:rsidRPr="00F321FC" w:rsidRDefault="00330B76" w:rsidP="00330B76">
            <w:pPr>
              <w:pStyle w:val="Heading2"/>
              <w:rPr>
                <w:rFonts w:cs="Arial"/>
              </w:rPr>
            </w:pPr>
            <w:bookmarkStart w:id="2" w:name="two_indications"/>
            <w:bookmarkStart w:id="3" w:name="_Toc149231786"/>
            <w:r w:rsidRPr="00F321FC">
              <w:rPr>
                <w:rFonts w:cs="Arial"/>
              </w:rPr>
              <w:t xml:space="preserve">Licensed </w:t>
            </w:r>
            <w:r>
              <w:rPr>
                <w:rFonts w:cs="Arial"/>
              </w:rPr>
              <w:t xml:space="preserve">and agreed off-label </w:t>
            </w:r>
            <w:r w:rsidRPr="00F321FC">
              <w:rPr>
                <w:rFonts w:cs="Arial"/>
              </w:rPr>
              <w:t>indications</w:t>
            </w:r>
            <w:bookmarkEnd w:id="2"/>
            <w:bookmarkEnd w:id="3"/>
          </w:p>
        </w:tc>
        <w:tc>
          <w:tcPr>
            <w:tcW w:w="8262" w:type="dxa"/>
          </w:tcPr>
          <w:p w14:paraId="0BC2D6C6" w14:textId="77777777" w:rsidR="00330B76" w:rsidRPr="00AF2590" w:rsidRDefault="00330B76" w:rsidP="00330B76">
            <w:pPr>
              <w:rPr>
                <w:rFonts w:cs="Arial"/>
              </w:rPr>
            </w:pPr>
            <w:r w:rsidRPr="00AF2590">
              <w:rPr>
                <w:rFonts w:cs="Arial"/>
              </w:rPr>
              <w:t>The licensed indications for methotrexate include:</w:t>
            </w:r>
          </w:p>
          <w:p w14:paraId="4CB60EA5" w14:textId="77777777" w:rsidR="00330B76" w:rsidRPr="00AF2590" w:rsidRDefault="00330B76" w:rsidP="00330B76">
            <w:pPr>
              <w:pStyle w:val="ListParagraph"/>
              <w:numPr>
                <w:ilvl w:val="0"/>
                <w:numId w:val="5"/>
              </w:numPr>
              <w:rPr>
                <w:rFonts w:cs="Arial"/>
              </w:rPr>
            </w:pPr>
            <w:r w:rsidRPr="00AF2590">
              <w:rPr>
                <w:rFonts w:cs="Arial"/>
              </w:rPr>
              <w:t>Active rheumatoid arthritis</w:t>
            </w:r>
          </w:p>
          <w:p w14:paraId="7F5CA9ED" w14:textId="77777777" w:rsidR="00330B76" w:rsidRPr="00AF2590" w:rsidRDefault="00330B76" w:rsidP="00330B76">
            <w:pPr>
              <w:pStyle w:val="ListParagraph"/>
              <w:numPr>
                <w:ilvl w:val="0"/>
                <w:numId w:val="5"/>
              </w:numPr>
              <w:rPr>
                <w:rFonts w:cs="Arial"/>
              </w:rPr>
            </w:pPr>
            <w:r w:rsidRPr="00AF2590">
              <w:rPr>
                <w:rFonts w:cs="Arial"/>
              </w:rPr>
              <w:t xml:space="preserve">Mild to moderate Crohn’s disease in </w:t>
            </w:r>
            <w:proofErr w:type="gramStart"/>
            <w:r w:rsidRPr="00AF2590">
              <w:rPr>
                <w:rFonts w:cs="Arial"/>
              </w:rPr>
              <w:t>patients</w:t>
            </w:r>
            <w:proofErr w:type="gramEnd"/>
            <w:r w:rsidRPr="00AF2590">
              <w:rPr>
                <w:rFonts w:cs="Arial"/>
              </w:rPr>
              <w:t xml:space="preserve"> refractory or intolerant to thiopurines (licensed indication of subcutaneous preparations)</w:t>
            </w:r>
          </w:p>
          <w:p w14:paraId="20EFEF12" w14:textId="77777777" w:rsidR="00330B76" w:rsidRDefault="00330B76" w:rsidP="00330B76">
            <w:pPr>
              <w:pStyle w:val="ListParagraph"/>
              <w:numPr>
                <w:ilvl w:val="0"/>
                <w:numId w:val="5"/>
              </w:numPr>
              <w:rPr>
                <w:rFonts w:cs="Arial"/>
              </w:rPr>
            </w:pPr>
            <w:r w:rsidRPr="00AF2590">
              <w:rPr>
                <w:rFonts w:cs="Arial"/>
              </w:rPr>
              <w:t>Severe psoriasis</w:t>
            </w:r>
            <w:r>
              <w:rPr>
                <w:rFonts w:cs="Arial"/>
              </w:rPr>
              <w:t xml:space="preserve"> unresponsive to conventional therapies</w:t>
            </w:r>
          </w:p>
          <w:p w14:paraId="2FB356B0" w14:textId="77777777" w:rsidR="00330B76" w:rsidRPr="00AF2590" w:rsidRDefault="00330B76" w:rsidP="00330B76">
            <w:pPr>
              <w:pStyle w:val="ListParagraph"/>
              <w:numPr>
                <w:ilvl w:val="0"/>
                <w:numId w:val="5"/>
              </w:numPr>
              <w:rPr>
                <w:rFonts w:cs="Arial"/>
              </w:rPr>
            </w:pPr>
            <w:r w:rsidRPr="00AF2590">
              <w:rPr>
                <w:rFonts w:cs="Arial"/>
              </w:rPr>
              <w:t xml:space="preserve">Severe psoriatic arthritis </w:t>
            </w:r>
          </w:p>
          <w:p w14:paraId="0E116CEA" w14:textId="77777777" w:rsidR="00330B76" w:rsidRPr="00AF2590" w:rsidRDefault="00330B76" w:rsidP="00330B76">
            <w:pPr>
              <w:rPr>
                <w:rFonts w:cs="Arial"/>
              </w:rPr>
            </w:pPr>
            <w:r w:rsidRPr="00AF2590">
              <w:rPr>
                <w:rFonts w:cs="Arial"/>
              </w:rPr>
              <w:t xml:space="preserve">Licensed indications vary with brand. See relevant summary of product characteristics for full details. </w:t>
            </w:r>
          </w:p>
          <w:p w14:paraId="4D8C11B7" w14:textId="77777777" w:rsidR="00330B76" w:rsidRPr="00AF2590" w:rsidRDefault="00330B76" w:rsidP="00330B76">
            <w:pPr>
              <w:rPr>
                <w:rFonts w:cs="Arial"/>
              </w:rPr>
            </w:pPr>
          </w:p>
          <w:p w14:paraId="119088FA" w14:textId="77777777" w:rsidR="00330B76" w:rsidRPr="00AF2590" w:rsidRDefault="00330B76" w:rsidP="00330B76">
            <w:pPr>
              <w:rPr>
                <w:rFonts w:cs="Arial"/>
              </w:rPr>
            </w:pPr>
            <w:r w:rsidRPr="00AF2590">
              <w:rPr>
                <w:rFonts w:cs="Arial"/>
              </w:rPr>
              <w:t>This shared care protocol also includes treatment of chronic inflammatory conditions where off-label use of methotrexate is appropriate, including, but not limited to, the following specialities and conditions:</w:t>
            </w:r>
          </w:p>
          <w:p w14:paraId="70E39D15" w14:textId="77777777" w:rsidR="00330B76" w:rsidRPr="00AF2590" w:rsidRDefault="00330B76" w:rsidP="00330B76">
            <w:pPr>
              <w:pStyle w:val="ListParagraph"/>
              <w:numPr>
                <w:ilvl w:val="0"/>
                <w:numId w:val="6"/>
              </w:numPr>
              <w:rPr>
                <w:rFonts w:cs="Arial"/>
              </w:rPr>
            </w:pPr>
            <w:r w:rsidRPr="00AF2590">
              <w:rPr>
                <w:rFonts w:cs="Arial"/>
              </w:rPr>
              <w:t>Rheumatology (e.g. inflammatory arthritis, connective tissue disease, vasculitis)</w:t>
            </w:r>
          </w:p>
          <w:p w14:paraId="670E2CA8" w14:textId="77777777" w:rsidR="00330B76" w:rsidRPr="00AF2590" w:rsidRDefault="00330B76" w:rsidP="00330B76">
            <w:pPr>
              <w:pStyle w:val="ListParagraph"/>
              <w:numPr>
                <w:ilvl w:val="0"/>
                <w:numId w:val="6"/>
              </w:numPr>
              <w:rPr>
                <w:rFonts w:cs="Arial"/>
              </w:rPr>
            </w:pPr>
            <w:r w:rsidRPr="00AF2590">
              <w:rPr>
                <w:rFonts w:cs="Arial"/>
              </w:rPr>
              <w:t>Dermatology (e.g., severe eczema, bullous conditions)</w:t>
            </w:r>
          </w:p>
          <w:p w14:paraId="25D416F4" w14:textId="60C60A12" w:rsidR="00330B76" w:rsidRPr="00AF2590" w:rsidRDefault="00330B76" w:rsidP="00330B76">
            <w:pPr>
              <w:pStyle w:val="ListParagraph"/>
              <w:numPr>
                <w:ilvl w:val="0"/>
                <w:numId w:val="6"/>
              </w:numPr>
              <w:rPr>
                <w:rFonts w:cs="Arial"/>
              </w:rPr>
            </w:pPr>
            <w:r w:rsidRPr="00AF2590">
              <w:rPr>
                <w:rFonts w:cs="Arial"/>
              </w:rPr>
              <w:t>Gastroenterology (e.g. Crohn’s disease or other inflammatory bowel disease)</w:t>
            </w:r>
          </w:p>
          <w:p w14:paraId="54815406" w14:textId="77777777" w:rsidR="00330B76" w:rsidRPr="00AF2590" w:rsidRDefault="00330B76" w:rsidP="00330B76">
            <w:pPr>
              <w:pStyle w:val="ListParagraph"/>
              <w:numPr>
                <w:ilvl w:val="0"/>
                <w:numId w:val="6"/>
              </w:numPr>
              <w:rPr>
                <w:rFonts w:cs="Arial"/>
              </w:rPr>
            </w:pPr>
            <w:r w:rsidRPr="00AF2590">
              <w:rPr>
                <w:rFonts w:cs="Arial"/>
              </w:rPr>
              <w:t>Neurology (e.g. myasthenia gravis, inflammatory neuropathies)</w:t>
            </w:r>
          </w:p>
          <w:p w14:paraId="00814BAA" w14:textId="77777777" w:rsidR="00330B76" w:rsidRPr="00AF2590" w:rsidRDefault="00330B76" w:rsidP="00330B76">
            <w:pPr>
              <w:pStyle w:val="ListParagraph"/>
              <w:numPr>
                <w:ilvl w:val="0"/>
                <w:numId w:val="6"/>
              </w:numPr>
              <w:rPr>
                <w:rFonts w:cs="Arial"/>
              </w:rPr>
            </w:pPr>
            <w:r w:rsidRPr="00AF2590">
              <w:rPr>
                <w:rFonts w:cs="Arial"/>
              </w:rPr>
              <w:t>Ophthalmology (e.g. uveitis, scleritis)</w:t>
            </w:r>
          </w:p>
          <w:p w14:paraId="7B40784B" w14:textId="77777777" w:rsidR="00330B76" w:rsidRPr="00AF2590" w:rsidRDefault="00330B76" w:rsidP="00330B76">
            <w:pPr>
              <w:pStyle w:val="ListParagraph"/>
              <w:numPr>
                <w:ilvl w:val="0"/>
                <w:numId w:val="6"/>
              </w:numPr>
              <w:rPr>
                <w:rFonts w:cs="Arial"/>
              </w:rPr>
            </w:pPr>
            <w:r w:rsidRPr="00AF2590">
              <w:rPr>
                <w:rFonts w:cs="Arial"/>
              </w:rPr>
              <w:t>Respiratory disease (e.g. sarcoidosis, interstitial lung disease)</w:t>
            </w:r>
          </w:p>
          <w:p w14:paraId="7353D6A5" w14:textId="77777777" w:rsidR="00330B76" w:rsidRPr="00AF2590" w:rsidRDefault="00330B76" w:rsidP="00330B76">
            <w:pPr>
              <w:rPr>
                <w:rFonts w:cs="Arial"/>
              </w:rPr>
            </w:pPr>
          </w:p>
          <w:p w14:paraId="725E77FE" w14:textId="77777777" w:rsidR="00330B76" w:rsidRPr="00AF2590" w:rsidRDefault="00330B76" w:rsidP="00330B76">
            <w:pPr>
              <w:rPr>
                <w:rFonts w:cs="Arial"/>
              </w:rPr>
            </w:pPr>
            <w:r w:rsidRPr="00AF2590">
              <w:rPr>
                <w:rFonts w:cs="Arial"/>
              </w:rPr>
              <w:t xml:space="preserve">These indications are </w:t>
            </w:r>
            <w:proofErr w:type="gramStart"/>
            <w:r w:rsidRPr="00AF2590">
              <w:rPr>
                <w:rFonts w:cs="Arial"/>
              </w:rPr>
              <w:t>off-label</w:t>
            </w:r>
            <w:proofErr w:type="gramEnd"/>
            <w:r w:rsidRPr="00AF2590">
              <w:rPr>
                <w:rFonts w:cs="Arial"/>
              </w:rPr>
              <w:t xml:space="preserve">. The specialist </w:t>
            </w:r>
            <w:r w:rsidRPr="00AF2590">
              <w:rPr>
                <w:rFonts w:cs="Arial"/>
                <w:u w:val="single"/>
              </w:rPr>
              <w:t>must specify the indication for each patient</w:t>
            </w:r>
            <w:r w:rsidRPr="00AF2590">
              <w:rPr>
                <w:rFonts w:cs="Arial"/>
              </w:rPr>
              <w:t xml:space="preserve"> when initiating shared care and clearly state when use is </w:t>
            </w:r>
            <w:proofErr w:type="gramStart"/>
            <w:r w:rsidRPr="00AF2590">
              <w:rPr>
                <w:rFonts w:cs="Arial"/>
              </w:rPr>
              <w:t>off-label</w:t>
            </w:r>
            <w:proofErr w:type="gramEnd"/>
            <w:r w:rsidRPr="00AF2590">
              <w:rPr>
                <w:rFonts w:cs="Arial"/>
              </w:rPr>
              <w:t>.</w:t>
            </w:r>
          </w:p>
          <w:p w14:paraId="2D2E3573" w14:textId="77777777" w:rsidR="00330B76" w:rsidRPr="00AF2590" w:rsidRDefault="00330B76" w:rsidP="00330B76">
            <w:pPr>
              <w:rPr>
                <w:rFonts w:cs="Arial"/>
              </w:rPr>
            </w:pPr>
          </w:p>
          <w:p w14:paraId="452D25AB" w14:textId="60C53F16" w:rsidR="00330B76" w:rsidRPr="007A56FB" w:rsidRDefault="00330B76" w:rsidP="00330B76">
            <w:pPr>
              <w:rPr>
                <w:rFonts w:cs="Arial"/>
              </w:rPr>
            </w:pPr>
            <w:r w:rsidRPr="00AF2590">
              <w:rPr>
                <w:rFonts w:cs="Arial"/>
              </w:rPr>
              <w:t>This shared care protocol applies to adults aged 18 and over. It does not include use of methotrexate for cancer indications.</w:t>
            </w:r>
          </w:p>
        </w:tc>
      </w:tr>
      <w:tr w:rsidR="00330B76" w:rsidRPr="00F321FC" w14:paraId="36B1B999" w14:textId="77777777" w:rsidTr="0051526F">
        <w:tc>
          <w:tcPr>
            <w:tcW w:w="2199" w:type="dxa"/>
          </w:tcPr>
          <w:p w14:paraId="6F2C624B" w14:textId="515A3B01" w:rsidR="00330B76" w:rsidRPr="00F321FC" w:rsidRDefault="00330B76" w:rsidP="00330B76">
            <w:pPr>
              <w:pStyle w:val="Heading2"/>
              <w:rPr>
                <w:rFonts w:cs="Arial"/>
              </w:rPr>
            </w:pPr>
            <w:bookmarkStart w:id="4" w:name="three_local_indications"/>
            <w:bookmarkStart w:id="5" w:name="_Toc149231787"/>
            <w:r w:rsidRPr="00F321FC">
              <w:rPr>
                <w:rFonts w:cs="Arial"/>
              </w:rPr>
              <w:t xml:space="preserve">Locally agreed </w:t>
            </w:r>
            <w:r>
              <w:rPr>
                <w:rFonts w:cs="Arial"/>
              </w:rPr>
              <w:t>indications</w:t>
            </w:r>
            <w:bookmarkEnd w:id="4"/>
            <w:bookmarkEnd w:id="5"/>
          </w:p>
        </w:tc>
        <w:tc>
          <w:tcPr>
            <w:tcW w:w="8262" w:type="dxa"/>
          </w:tcPr>
          <w:p w14:paraId="14C3CD90" w14:textId="442CD571" w:rsidR="00330B76" w:rsidRPr="00902F97" w:rsidRDefault="00902F97" w:rsidP="00330B76">
            <w:pPr>
              <w:rPr>
                <w:rFonts w:cs="Arial"/>
              </w:rPr>
            </w:pPr>
            <w:r w:rsidRPr="00902F97">
              <w:rPr>
                <w:rFonts w:cs="Arial"/>
              </w:rPr>
              <w:t>As per section 2</w:t>
            </w:r>
          </w:p>
        </w:tc>
      </w:tr>
      <w:tr w:rsidR="00330B76" w:rsidRPr="00F321FC" w14:paraId="6823BC14" w14:textId="77777777" w:rsidTr="0051526F">
        <w:tc>
          <w:tcPr>
            <w:tcW w:w="2199" w:type="dxa"/>
          </w:tcPr>
          <w:p w14:paraId="5B29E378" w14:textId="09C1A858" w:rsidR="00330B76" w:rsidRPr="00F321FC" w:rsidRDefault="00330B76" w:rsidP="00330B76">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09EBB9CB" w14:textId="77777777" w:rsidR="00183898" w:rsidRDefault="00330B76" w:rsidP="00183898">
            <w:pPr>
              <w:rPr>
                <w:rFonts w:cs="Arial"/>
              </w:rPr>
            </w:pPr>
            <w:r w:rsidRPr="00FB404F">
              <w:rPr>
                <w:rFonts w:cs="Arial"/>
              </w:rPr>
              <w:t xml:space="preserve">Transfer of monitoring and prescribing to primary care is normally after at least </w:t>
            </w:r>
            <w:r w:rsidR="006C1098" w:rsidRPr="00023055">
              <w:rPr>
                <w:rFonts w:cs="Arial"/>
              </w:rPr>
              <w:t>12</w:t>
            </w:r>
            <w:r w:rsidRPr="00023055">
              <w:rPr>
                <w:rFonts w:cs="Arial"/>
              </w:rPr>
              <w:t xml:space="preserve"> weeks</w:t>
            </w:r>
            <w:r w:rsidRPr="00FB404F">
              <w:rPr>
                <w:rFonts w:cs="Arial"/>
              </w:rPr>
              <w:t xml:space="preserve">, and when the patient’s dose has been optimised and with satisfactory investigation results for at least </w:t>
            </w:r>
            <w:r w:rsidR="006C1098" w:rsidRPr="00023055">
              <w:rPr>
                <w:rFonts w:cs="Arial"/>
              </w:rPr>
              <w:t>12</w:t>
            </w:r>
            <w:r w:rsidRPr="00023055">
              <w:rPr>
                <w:rFonts w:cs="Arial"/>
              </w:rPr>
              <w:t xml:space="preserve"> weeks</w:t>
            </w:r>
            <w:r w:rsidRPr="00FB404F">
              <w:rPr>
                <w:rFonts w:cs="Arial"/>
              </w:rPr>
              <w:t>.</w:t>
            </w:r>
            <w:r w:rsidR="00183898">
              <w:rPr>
                <w:rFonts w:cs="Arial"/>
              </w:rPr>
              <w:t xml:space="preserve"> </w:t>
            </w:r>
            <w:r w:rsidR="00183898"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2652FD05" w14:textId="33434670" w:rsidR="00330B76" w:rsidRPr="00FB404F" w:rsidRDefault="00330B76" w:rsidP="00330B76">
            <w:pPr>
              <w:rPr>
                <w:rFonts w:cs="Arial"/>
              </w:rPr>
            </w:pPr>
          </w:p>
          <w:p w14:paraId="58C16DF9" w14:textId="77777777" w:rsidR="00330B76" w:rsidRPr="00FB404F" w:rsidRDefault="00330B76" w:rsidP="00330B76">
            <w:pPr>
              <w:rPr>
                <w:rFonts w:cs="Arial"/>
              </w:rPr>
            </w:pPr>
            <w:r w:rsidRPr="00FB404F">
              <w:rPr>
                <w:rFonts w:cs="Arial"/>
              </w:rPr>
              <w:t>The duration of treatment &amp; frequency of review will be determined by the specialist, based on clinical response and tolerability.</w:t>
            </w:r>
          </w:p>
          <w:p w14:paraId="0FA4DC66" w14:textId="77777777" w:rsidR="00330B76" w:rsidRPr="00FB404F" w:rsidRDefault="00330B76" w:rsidP="00330B76">
            <w:pPr>
              <w:rPr>
                <w:rFonts w:cs="Arial"/>
              </w:rPr>
            </w:pPr>
            <w:r w:rsidRPr="00FB404F">
              <w:rPr>
                <w:rFonts w:cs="Arial"/>
              </w:rPr>
              <w:t>All dose or formulation adjustments will be the responsibility of the initiating specialist unless directions have been discussed and agreed with the primary care clinician.</w:t>
            </w:r>
          </w:p>
          <w:p w14:paraId="42A800F5" w14:textId="77777777" w:rsidR="00330B76" w:rsidRDefault="00330B76" w:rsidP="00330B76">
            <w:pPr>
              <w:rPr>
                <w:rFonts w:cs="Arial"/>
              </w:rPr>
            </w:pPr>
            <w:r w:rsidRPr="00FB404F">
              <w:rPr>
                <w:rFonts w:cs="Arial"/>
              </w:rPr>
              <w:t>Termination of treatment will be the responsibility of the specialist.</w:t>
            </w:r>
          </w:p>
          <w:p w14:paraId="423990EB" w14:textId="77777777" w:rsidR="00330B76" w:rsidRPr="00FB404F" w:rsidRDefault="00330B76" w:rsidP="00330B76">
            <w:pPr>
              <w:rPr>
                <w:rFonts w:cs="Arial"/>
              </w:rPr>
            </w:pPr>
          </w:p>
          <w:p w14:paraId="35796003" w14:textId="77777777" w:rsidR="00330B76" w:rsidRPr="00B75FB5" w:rsidRDefault="00330B76" w:rsidP="00330B76">
            <w:pPr>
              <w:pStyle w:val="Heading3"/>
            </w:pPr>
            <w:r w:rsidRPr="00B75FB5">
              <w:t>Initial stabilisation:</w:t>
            </w:r>
          </w:p>
          <w:p w14:paraId="0C65285D" w14:textId="77777777" w:rsidR="00330B76" w:rsidRDefault="00330B76" w:rsidP="00330B76">
            <w:r>
              <w:t xml:space="preserve">There is a wide dose range depending on the indication. The selected dose of methotrexate, and the folic acid regimen, will be tailored to the individual patient and decided by the specialist. </w:t>
            </w:r>
          </w:p>
          <w:p w14:paraId="1FCA2006" w14:textId="77777777" w:rsidR="00330B76" w:rsidRPr="001B3FA7" w:rsidRDefault="00330B76" w:rsidP="00330B76">
            <w:pPr>
              <w:rPr>
                <w:b/>
                <w:bCs/>
              </w:rPr>
            </w:pPr>
            <w:r w:rsidRPr="001B3FA7">
              <w:rPr>
                <w:b/>
                <w:bCs/>
              </w:rPr>
              <w:t>The dose titration period must be prescribed by the initiating specialist.</w:t>
            </w:r>
          </w:p>
          <w:p w14:paraId="283B4E6A" w14:textId="77777777" w:rsidR="00330B76" w:rsidRPr="00B75FB5" w:rsidRDefault="00330B76" w:rsidP="00330B76"/>
          <w:p w14:paraId="063BEFE2" w14:textId="77777777" w:rsidR="00330B76" w:rsidRPr="00B75FB5" w:rsidRDefault="00330B76" w:rsidP="00330B76">
            <w:pPr>
              <w:pStyle w:val="Heading3"/>
            </w:pPr>
            <w:r w:rsidRPr="00B75FB5">
              <w:t>Maintenance dose (following initial stabilisation):</w:t>
            </w:r>
          </w:p>
          <w:p w14:paraId="446E6D7E" w14:textId="77777777" w:rsidR="00330B76" w:rsidRDefault="00330B76" w:rsidP="00330B76">
            <w:pPr>
              <w:rPr>
                <w:rFonts w:cs="Arial"/>
              </w:rPr>
            </w:pPr>
            <w:r w:rsidRPr="001B3FA7">
              <w:rPr>
                <w:rFonts w:cs="Arial"/>
              </w:rPr>
              <w:t xml:space="preserve">Usual dose range: </w:t>
            </w:r>
            <w:r w:rsidRPr="001B3FA7">
              <w:rPr>
                <w:rFonts w:cs="Arial"/>
                <w:b/>
                <w:bCs/>
              </w:rPr>
              <w:t>7.5 mg – 25 mg weekly</w:t>
            </w:r>
            <w:r w:rsidRPr="001B3FA7">
              <w:rPr>
                <w:rFonts w:cs="Arial"/>
              </w:rPr>
              <w:t xml:space="preserve">, adjusted according to response. </w:t>
            </w:r>
          </w:p>
          <w:p w14:paraId="5B6B640C" w14:textId="77777777" w:rsidR="00330B76" w:rsidRDefault="00330B76" w:rsidP="00330B76">
            <w:pPr>
              <w:rPr>
                <w:rFonts w:cs="Arial"/>
              </w:rPr>
            </w:pPr>
            <w:r w:rsidRPr="001B3FA7">
              <w:rPr>
                <w:rFonts w:cs="Arial"/>
              </w:rPr>
              <w:t xml:space="preserve">Please note for rheumatology conditions a patient may be initiated on more than one DMARD. </w:t>
            </w:r>
          </w:p>
          <w:p w14:paraId="41EA0211" w14:textId="77777777" w:rsidR="00330B76" w:rsidRDefault="00330B76" w:rsidP="00330B76">
            <w:pPr>
              <w:rPr>
                <w:rFonts w:cs="Arial"/>
              </w:rPr>
            </w:pPr>
          </w:p>
          <w:p w14:paraId="495E1A9F" w14:textId="77777777" w:rsidR="00330B76" w:rsidRDefault="00330B76" w:rsidP="00330B76">
            <w:pPr>
              <w:rPr>
                <w:rFonts w:cs="Arial"/>
              </w:rPr>
            </w:pPr>
            <w:r w:rsidRPr="001B3FA7">
              <w:rPr>
                <w:rFonts w:cs="Arial"/>
              </w:rPr>
              <w:t xml:space="preserve">To reduce dosing errors </w:t>
            </w:r>
            <w:r w:rsidRPr="001B3FA7">
              <w:rPr>
                <w:rFonts w:cs="Arial"/>
                <w:b/>
                <w:bCs/>
                <w:u w:val="single"/>
              </w:rPr>
              <w:t>only the 2.5 mg tablets should be prescribed</w:t>
            </w:r>
            <w:r w:rsidRPr="001B3FA7">
              <w:rPr>
                <w:rFonts w:cs="Arial"/>
              </w:rPr>
              <w:t xml:space="preserve">. The dose should be taken </w:t>
            </w:r>
            <w:r w:rsidRPr="001B3FA7">
              <w:rPr>
                <w:rFonts w:cs="Arial"/>
                <w:b/>
                <w:bCs/>
                <w:u w:val="single"/>
              </w:rPr>
              <w:t>once weekly</w:t>
            </w:r>
            <w:r w:rsidRPr="001B3FA7">
              <w:rPr>
                <w:rFonts w:cs="Arial"/>
              </w:rPr>
              <w:t xml:space="preserve"> on the same day each week, and that day should be clearly communicated to the patient.</w:t>
            </w:r>
          </w:p>
          <w:p w14:paraId="3A301470" w14:textId="77777777" w:rsidR="00330B76" w:rsidRPr="001B3FA7" w:rsidRDefault="00330B76" w:rsidP="00330B76">
            <w:pPr>
              <w:rPr>
                <w:rFonts w:cs="Arial"/>
              </w:rPr>
            </w:pPr>
            <w:r w:rsidRPr="001B3FA7">
              <w:rPr>
                <w:rFonts w:cs="Arial"/>
              </w:rPr>
              <w:t xml:space="preserve"> </w:t>
            </w:r>
          </w:p>
          <w:p w14:paraId="618CDBE3" w14:textId="40601B88" w:rsidR="00330B76" w:rsidRDefault="00330B76" w:rsidP="00330B76">
            <w:pPr>
              <w:rPr>
                <w:rFonts w:cs="Arial"/>
              </w:rPr>
            </w:pPr>
            <w:r w:rsidRPr="001B3FA7">
              <w:rPr>
                <w:rFonts w:cs="Arial"/>
              </w:rPr>
              <w:t>All patients should be prescribed folic acid at a dose of 5 mg at least once weekly, to be taken on a different day than their methotrexate dose.</w:t>
            </w:r>
            <w:r>
              <w:rPr>
                <w:rFonts w:cs="Arial"/>
              </w:rPr>
              <w:t xml:space="preserve"> The dose can be increased to 10mg if </w:t>
            </w:r>
            <w:r w:rsidR="00C3749A">
              <w:rPr>
                <w:rFonts w:cs="Arial"/>
              </w:rPr>
              <w:t>the person experiences adverse effects to methotrexate</w:t>
            </w:r>
            <w:r>
              <w:rPr>
                <w:rFonts w:cs="Arial"/>
              </w:rPr>
              <w:t>; t</w:t>
            </w:r>
            <w:r w:rsidRPr="001B3FA7">
              <w:rPr>
                <w:rFonts w:cs="Arial"/>
              </w:rPr>
              <w:t>he specialist should include clear details of the folic acid regimen in their communication with the patient and primary care.</w:t>
            </w:r>
          </w:p>
          <w:p w14:paraId="73DC6D14" w14:textId="77777777" w:rsidR="00330B76" w:rsidRDefault="00330B76" w:rsidP="00330B76">
            <w:pPr>
              <w:rPr>
                <w:rFonts w:cs="Arial"/>
              </w:rPr>
            </w:pPr>
          </w:p>
          <w:p w14:paraId="6A517B65" w14:textId="77777777" w:rsidR="00330B76" w:rsidRDefault="00330B76" w:rsidP="00330B76">
            <w:pPr>
              <w:rPr>
                <w:rFonts w:cs="Arial"/>
                <w:b/>
                <w:bCs/>
              </w:rPr>
            </w:pPr>
            <w:r w:rsidRPr="001B3FA7">
              <w:rPr>
                <w:rFonts w:cs="Arial"/>
                <w:b/>
                <w:bCs/>
              </w:rPr>
              <w:t>The initial maintenance dose must be prescribed by the initiating specialist.</w:t>
            </w:r>
          </w:p>
          <w:p w14:paraId="52F7B785" w14:textId="77777777" w:rsidR="00330B76" w:rsidRPr="001B3FA7" w:rsidRDefault="00330B76" w:rsidP="00330B76">
            <w:pPr>
              <w:rPr>
                <w:rFonts w:cs="Arial"/>
                <w:b/>
                <w:bCs/>
              </w:rPr>
            </w:pPr>
          </w:p>
          <w:p w14:paraId="04483D64" w14:textId="3FF1F56F" w:rsidR="00330B76" w:rsidRDefault="00330B76" w:rsidP="00330B76">
            <w:pPr>
              <w:rPr>
                <w:rFonts w:cs="Arial"/>
              </w:rPr>
            </w:pPr>
            <w:r w:rsidRPr="001B3FA7">
              <w:rPr>
                <w:rFonts w:cs="Arial"/>
              </w:rPr>
              <w:t>The duration of treatment will be determined by the specialist based on clinical response and tolerability.</w:t>
            </w:r>
          </w:p>
          <w:p w14:paraId="6267D129" w14:textId="77777777" w:rsidR="00330B76" w:rsidRPr="00B75FB5" w:rsidRDefault="00330B76" w:rsidP="00330B76">
            <w:pPr>
              <w:rPr>
                <w:rFonts w:cs="Arial"/>
              </w:rPr>
            </w:pPr>
          </w:p>
          <w:p w14:paraId="43CFF5B3" w14:textId="77777777" w:rsidR="00330B76" w:rsidRPr="00B75FB5" w:rsidRDefault="00330B76" w:rsidP="00330B76">
            <w:pPr>
              <w:pStyle w:val="Heading4"/>
            </w:pPr>
            <w:r w:rsidRPr="00B75FB5">
              <w:t>Conditions requiring dose adjustment:</w:t>
            </w:r>
          </w:p>
          <w:p w14:paraId="1C11ABC5" w14:textId="77777777" w:rsidR="00330B76" w:rsidRDefault="00330B76" w:rsidP="00330B76">
            <w:pPr>
              <w:rPr>
                <w:rFonts w:cs="Arial"/>
              </w:rPr>
            </w:pPr>
            <w:r w:rsidRPr="001B3FA7">
              <w:rPr>
                <w:rFonts w:cs="Arial"/>
              </w:rPr>
              <w:t xml:space="preserve">Renal impairment: in patients with </w:t>
            </w:r>
            <w:r>
              <w:rPr>
                <w:rFonts w:cs="Arial"/>
              </w:rPr>
              <w:t>creatinine clearance (</w:t>
            </w:r>
            <w:proofErr w:type="spellStart"/>
            <w:r w:rsidRPr="001B3FA7">
              <w:rPr>
                <w:rFonts w:cs="Arial"/>
              </w:rPr>
              <w:t>CrCl</w:t>
            </w:r>
            <w:proofErr w:type="spellEnd"/>
            <w:r>
              <w:rPr>
                <w:rFonts w:cs="Arial"/>
              </w:rPr>
              <w:t>)</w:t>
            </w:r>
            <w:r w:rsidRPr="001B3FA7">
              <w:rPr>
                <w:rFonts w:cs="Arial"/>
              </w:rPr>
              <w:t xml:space="preserve"> less than 60 mL/min the dose should be reduced by 50%. If </w:t>
            </w:r>
            <w:proofErr w:type="spellStart"/>
            <w:r w:rsidRPr="001B3FA7">
              <w:rPr>
                <w:rFonts w:cs="Arial"/>
              </w:rPr>
              <w:t>CrCl</w:t>
            </w:r>
            <w:proofErr w:type="spellEnd"/>
            <w:r w:rsidRPr="001B3FA7">
              <w:rPr>
                <w:rFonts w:cs="Arial"/>
              </w:rPr>
              <w:t xml:space="preserve"> is less than 30mL/min discontinuation may be indicated. See </w:t>
            </w:r>
            <w:hyperlink w:anchor="ten_ADRs" w:history="1">
              <w:r w:rsidRPr="001B3FA7">
                <w:rPr>
                  <w:rStyle w:val="Hyperlink"/>
                  <w:rFonts w:cs="Arial"/>
                </w:rPr>
                <w:t>section 10</w:t>
              </w:r>
            </w:hyperlink>
            <w:r>
              <w:rPr>
                <w:rFonts w:cs="Arial"/>
              </w:rPr>
              <w:t>.</w:t>
            </w:r>
          </w:p>
          <w:p w14:paraId="710857F8" w14:textId="6CF772F0" w:rsidR="00330B76" w:rsidRPr="00FB404F" w:rsidRDefault="00330B76" w:rsidP="00330B76">
            <w:pPr>
              <w:rPr>
                <w:rFonts w:cs="Arial"/>
              </w:rPr>
            </w:pPr>
            <w:r>
              <w:rPr>
                <w:rFonts w:cs="Arial"/>
              </w:rPr>
              <w:t xml:space="preserve">Dose reduction should be considered in elderly patients, due to diminished hepatic and renal function and decreased folate stores. </w:t>
            </w:r>
          </w:p>
        </w:tc>
      </w:tr>
      <w:tr w:rsidR="00330B76" w:rsidRPr="00F321FC" w14:paraId="68FCED24" w14:textId="77777777" w:rsidTr="0051526F">
        <w:tc>
          <w:tcPr>
            <w:tcW w:w="2199" w:type="dxa"/>
          </w:tcPr>
          <w:p w14:paraId="3DF33630" w14:textId="4E2865B1" w:rsidR="00330B76" w:rsidRPr="00F321FC" w:rsidRDefault="00330B76" w:rsidP="00330B76">
            <w:pPr>
              <w:pStyle w:val="Heading2"/>
              <w:rPr>
                <w:rFonts w:cs="Arial"/>
              </w:rPr>
            </w:pPr>
            <w:bookmarkStart w:id="8" w:name="five_initial_monitoring"/>
            <w:bookmarkStart w:id="9" w:name="_Toc149231789"/>
            <w:r w:rsidRPr="00F321FC">
              <w:rPr>
                <w:rFonts w:cs="Arial"/>
              </w:rPr>
              <w:t xml:space="preserve">Baseline investigations, initial monitoring, and </w:t>
            </w:r>
            <w:r>
              <w:rPr>
                <w:rFonts w:cs="Arial"/>
              </w:rPr>
              <w:t xml:space="preserve">ongoing monitoring </w:t>
            </w:r>
            <w:r w:rsidRPr="00F321FC">
              <w:rPr>
                <w:rFonts w:cs="Arial"/>
              </w:rPr>
              <w:t>to be undertaken by specialist</w:t>
            </w:r>
            <w:bookmarkEnd w:id="8"/>
            <w:bookmarkEnd w:id="9"/>
          </w:p>
        </w:tc>
        <w:tc>
          <w:tcPr>
            <w:tcW w:w="8262" w:type="dxa"/>
          </w:tcPr>
          <w:p w14:paraId="68E2E48D" w14:textId="77777777" w:rsidR="00330B76" w:rsidRDefault="00330B76" w:rsidP="00330B76">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6366EBE8" w14:textId="77777777" w:rsidR="00330B76" w:rsidRPr="00FB404F" w:rsidRDefault="00330B76" w:rsidP="00330B76">
            <w:pPr>
              <w:rPr>
                <w:lang w:eastAsia="en-GB"/>
              </w:rPr>
            </w:pPr>
          </w:p>
          <w:p w14:paraId="7E7518B1" w14:textId="77777777" w:rsidR="00330B76" w:rsidRPr="0041687B" w:rsidRDefault="00330B76" w:rsidP="00330B76">
            <w:pPr>
              <w:pStyle w:val="Heading3"/>
              <w:spacing w:before="60" w:after="60"/>
              <w:rPr>
                <w:rFonts w:cs="Arial"/>
              </w:rPr>
            </w:pPr>
            <w:r w:rsidRPr="0041687B">
              <w:rPr>
                <w:rFonts w:cs="Arial"/>
              </w:rPr>
              <w:t>Baseline investigations:</w:t>
            </w:r>
          </w:p>
          <w:p w14:paraId="6D413057" w14:textId="77777777" w:rsidR="00330B76" w:rsidRDefault="00330B76" w:rsidP="00330B76">
            <w:pPr>
              <w:pStyle w:val="ListParagraph"/>
              <w:numPr>
                <w:ilvl w:val="0"/>
                <w:numId w:val="7"/>
              </w:numPr>
            </w:pPr>
            <w:r>
              <w:t xml:space="preserve">Height and weight </w:t>
            </w:r>
          </w:p>
          <w:p w14:paraId="78E86520" w14:textId="77777777" w:rsidR="00330B76" w:rsidRDefault="00330B76" w:rsidP="00330B76">
            <w:pPr>
              <w:pStyle w:val="ListParagraph"/>
              <w:numPr>
                <w:ilvl w:val="0"/>
                <w:numId w:val="7"/>
              </w:numPr>
            </w:pPr>
            <w:r>
              <w:t>Blood pressure</w:t>
            </w:r>
          </w:p>
          <w:p w14:paraId="067C6FA5" w14:textId="77777777" w:rsidR="00330B76" w:rsidRDefault="00330B76" w:rsidP="00330B76">
            <w:pPr>
              <w:pStyle w:val="ListParagraph"/>
              <w:numPr>
                <w:ilvl w:val="0"/>
                <w:numId w:val="7"/>
              </w:numPr>
            </w:pPr>
            <w:r>
              <w:t>Full blood count (FBC)</w:t>
            </w:r>
          </w:p>
          <w:p w14:paraId="6ED3B985" w14:textId="77777777" w:rsidR="00330B76" w:rsidRDefault="00330B76" w:rsidP="00330B76">
            <w:pPr>
              <w:pStyle w:val="ListParagraph"/>
              <w:numPr>
                <w:ilvl w:val="0"/>
                <w:numId w:val="7"/>
              </w:numPr>
            </w:pPr>
            <w:r>
              <w:t>Urea and electrolytes (U&amp;Es) including creatinine and creatinine clearance (</w:t>
            </w:r>
            <w:proofErr w:type="spellStart"/>
            <w:r>
              <w:t>CrCl</w:t>
            </w:r>
            <w:proofErr w:type="spellEnd"/>
            <w:r>
              <w:t>)</w:t>
            </w:r>
          </w:p>
          <w:p w14:paraId="4B812671" w14:textId="77777777" w:rsidR="00330B76" w:rsidRDefault="00330B76" w:rsidP="00330B76">
            <w:pPr>
              <w:pStyle w:val="ListParagraph"/>
              <w:numPr>
                <w:ilvl w:val="0"/>
                <w:numId w:val="7"/>
              </w:numPr>
            </w:pPr>
            <w:r>
              <w:t>Alanine aminotransferase (ALT) and/or aspartate aminotransferase (AST), and albumin</w:t>
            </w:r>
          </w:p>
          <w:p w14:paraId="247B0E42" w14:textId="77777777" w:rsidR="007B508E" w:rsidRPr="00862166" w:rsidRDefault="007B508E" w:rsidP="007B508E">
            <w:pPr>
              <w:pStyle w:val="ListParagraph"/>
              <w:numPr>
                <w:ilvl w:val="0"/>
                <w:numId w:val="7"/>
              </w:numPr>
            </w:pPr>
            <w:r w:rsidRPr="00862166">
              <w:t xml:space="preserve">In patients of child-bearing potential, exclude pregnancy prior to starting treatment. </w:t>
            </w:r>
          </w:p>
          <w:p w14:paraId="34AC9218" w14:textId="5F650259" w:rsidR="00330B76" w:rsidRDefault="00330B76" w:rsidP="00330B76">
            <w:pPr>
              <w:pStyle w:val="ListParagraph"/>
              <w:numPr>
                <w:ilvl w:val="0"/>
                <w:numId w:val="7"/>
              </w:numPr>
              <w:spacing w:line="259" w:lineRule="auto"/>
            </w:pPr>
            <w:r>
              <w:t xml:space="preserve">Screening for viral infections </w:t>
            </w:r>
            <w:r w:rsidR="00A01195">
              <w:t xml:space="preserve">at discretion of </w:t>
            </w:r>
            <w:r w:rsidR="008D5E91">
              <w:t>the treating clinician</w:t>
            </w:r>
            <w:r w:rsidRPr="008E2E06">
              <w:t>, e.g. HIV, hepatitis B and C, varicella zoster, Epstein Barr virus, cytomegalovirus</w:t>
            </w:r>
          </w:p>
          <w:p w14:paraId="133EE0E4" w14:textId="77777777" w:rsidR="00330B76" w:rsidRDefault="00330B76" w:rsidP="00330B76">
            <w:pPr>
              <w:pStyle w:val="ListParagraph"/>
              <w:numPr>
                <w:ilvl w:val="0"/>
                <w:numId w:val="7"/>
              </w:numPr>
            </w:pPr>
            <w:r>
              <w:t xml:space="preserve">Screening for lung disease, including interstitial lung disease and tuberculosis, should be undertaken at clinician discretion on a </w:t>
            </w:r>
            <w:proofErr w:type="gramStart"/>
            <w:r>
              <w:t>case by case</w:t>
            </w:r>
            <w:proofErr w:type="gramEnd"/>
            <w:r>
              <w:t xml:space="preserve"> basis</w:t>
            </w:r>
          </w:p>
          <w:p w14:paraId="6E464113" w14:textId="77777777" w:rsidR="00330B76" w:rsidRDefault="00330B76" w:rsidP="00330B76">
            <w:pPr>
              <w:pStyle w:val="ListParagraph"/>
              <w:numPr>
                <w:ilvl w:val="0"/>
                <w:numId w:val="7"/>
              </w:numPr>
            </w:pPr>
            <w:r>
              <w:t>Provide or request appropriate vaccination prior to treatment initiation, according to local arrangements (e.g. pneumococcal, shingles, influenza, COVID-19)</w:t>
            </w:r>
          </w:p>
          <w:p w14:paraId="183B633A" w14:textId="77777777" w:rsidR="00330B76" w:rsidRDefault="00330B76" w:rsidP="00330B76">
            <w:pPr>
              <w:pStyle w:val="ListParagraph"/>
              <w:numPr>
                <w:ilvl w:val="0"/>
                <w:numId w:val="7"/>
              </w:numPr>
            </w:pPr>
            <w:r>
              <w:t>Psoriasis patients: serum procollagen 3 N-terminal peptide (PIIINP)</w:t>
            </w:r>
          </w:p>
          <w:p w14:paraId="395A5C25" w14:textId="77777777" w:rsidR="00330B76" w:rsidRPr="00B75FB5" w:rsidRDefault="00330B76" w:rsidP="00330B76">
            <w:pPr>
              <w:rPr>
                <w:highlight w:val="yellow"/>
              </w:rPr>
            </w:pPr>
          </w:p>
          <w:p w14:paraId="5A8DDA7F" w14:textId="77777777" w:rsidR="00330B76" w:rsidRPr="00B75FB5" w:rsidRDefault="00330B76" w:rsidP="00330B76">
            <w:pPr>
              <w:rPr>
                <w:rFonts w:cs="Arial"/>
              </w:rPr>
            </w:pPr>
            <w:r w:rsidRPr="00B75FB5">
              <w:rPr>
                <w:rStyle w:val="Heading3Char"/>
              </w:rPr>
              <w:t>Initial monitoring and at dose change</w:t>
            </w:r>
            <w:r w:rsidRPr="00B75FB5">
              <w:rPr>
                <w:rFonts w:cs="Arial"/>
              </w:rPr>
              <w:t xml:space="preserve">: </w:t>
            </w:r>
          </w:p>
          <w:p w14:paraId="0F0418ED" w14:textId="77777777" w:rsidR="00330B76" w:rsidRPr="00504F30" w:rsidRDefault="00330B76" w:rsidP="00330B76">
            <w:r w:rsidRPr="00504F30">
              <w:t xml:space="preserve">To be repeated every 2 weeks until the dose has been stable for 6 weeks, then monthly for 3 months. After which, the transfer of prescribing to primary care should normally only take place when the patient has received a stable dose for at least 4 weeks and their blood and physical tests results have been satisfactory. </w:t>
            </w:r>
          </w:p>
          <w:p w14:paraId="2B3CE6F5" w14:textId="77777777" w:rsidR="00330B76" w:rsidRPr="00504F30" w:rsidRDefault="00330B76" w:rsidP="00330B76">
            <w:pPr>
              <w:pStyle w:val="ListParagraph"/>
              <w:numPr>
                <w:ilvl w:val="0"/>
                <w:numId w:val="7"/>
              </w:numPr>
            </w:pPr>
            <w:r w:rsidRPr="00504F30">
              <w:t>FBC</w:t>
            </w:r>
          </w:p>
          <w:p w14:paraId="5A751AF2" w14:textId="77777777" w:rsidR="00330B76" w:rsidRPr="00504F30" w:rsidRDefault="00330B76" w:rsidP="00330B76">
            <w:pPr>
              <w:pStyle w:val="ListParagraph"/>
              <w:numPr>
                <w:ilvl w:val="0"/>
                <w:numId w:val="7"/>
              </w:numPr>
            </w:pPr>
            <w:r w:rsidRPr="00504F30">
              <w:t xml:space="preserve">U&amp;Es, including creatinine and </w:t>
            </w:r>
            <w:proofErr w:type="spellStart"/>
            <w:r w:rsidRPr="00504F30">
              <w:t>CrCl</w:t>
            </w:r>
            <w:proofErr w:type="spellEnd"/>
          </w:p>
          <w:p w14:paraId="59979CDD" w14:textId="77777777" w:rsidR="00330B76" w:rsidRPr="00504F30" w:rsidRDefault="00330B76" w:rsidP="00330B76">
            <w:pPr>
              <w:pStyle w:val="ListParagraph"/>
              <w:numPr>
                <w:ilvl w:val="0"/>
                <w:numId w:val="7"/>
              </w:numPr>
            </w:pPr>
            <w:r w:rsidRPr="00504F30">
              <w:t>ALT and/or AST, and albumin</w:t>
            </w:r>
          </w:p>
          <w:p w14:paraId="2869BA28" w14:textId="77777777" w:rsidR="00330B76" w:rsidRPr="00504F30" w:rsidRDefault="00330B76" w:rsidP="00330B76">
            <w:pPr>
              <w:pStyle w:val="ListParagraph"/>
              <w:numPr>
                <w:ilvl w:val="0"/>
                <w:numId w:val="7"/>
              </w:numPr>
            </w:pPr>
            <w:r w:rsidRPr="00504F30">
              <w:t>Rheumatology patients: CRP &amp;/or ESR</w:t>
            </w:r>
          </w:p>
          <w:p w14:paraId="7B174B46" w14:textId="77777777" w:rsidR="00330B76" w:rsidRPr="00504F30" w:rsidRDefault="00330B76" w:rsidP="00330B76">
            <w:pPr>
              <w:pStyle w:val="ListParagraph"/>
              <w:numPr>
                <w:ilvl w:val="0"/>
                <w:numId w:val="7"/>
              </w:numPr>
            </w:pPr>
            <w:r w:rsidRPr="00504F30">
              <w:t>Psoriasis patients: serum PIIINP</w:t>
            </w:r>
          </w:p>
          <w:p w14:paraId="47AFA5DB" w14:textId="28B28D1E" w:rsidR="00330B76" w:rsidRPr="00504F30" w:rsidRDefault="00330B76" w:rsidP="00330B76">
            <w:r w:rsidRPr="00504F30">
              <w:t xml:space="preserve">Following a dose change repeat </w:t>
            </w:r>
            <w:r w:rsidR="008D5E91">
              <w:t xml:space="preserve">bloods after </w:t>
            </w:r>
            <w:r w:rsidRPr="00504F30">
              <w:t xml:space="preserve">2 weeks </w:t>
            </w:r>
            <w:r w:rsidR="00CE6518">
              <w:t>and</w:t>
            </w:r>
            <w:r w:rsidRPr="00504F30">
              <w:t xml:space="preserve"> 6 weeks, then revert to previous schedule.</w:t>
            </w:r>
          </w:p>
          <w:p w14:paraId="387A8BEA" w14:textId="77777777" w:rsidR="00330B76" w:rsidRPr="00504F30" w:rsidRDefault="00330B76" w:rsidP="00330B76"/>
          <w:p w14:paraId="5056632D" w14:textId="77777777" w:rsidR="00330B76" w:rsidRDefault="00330B76" w:rsidP="00330B76">
            <w:r w:rsidRPr="00504F30">
              <w:t>More frequent monitoring is appropriate in patients at higher risk of toxicity.</w:t>
            </w:r>
          </w:p>
          <w:p w14:paraId="1D27A704" w14:textId="77777777" w:rsidR="00330B76" w:rsidRPr="00504F30" w:rsidRDefault="00330B76" w:rsidP="00330B76">
            <w:r>
              <w:t>Patients taking concomitant methotrexate and leflunomide require longer term monthly monitoring. Patients who have been stable for 12 months can be considered for reduced frequency monitoring on an individual patient basis.</w:t>
            </w:r>
          </w:p>
          <w:p w14:paraId="153F0CFD" w14:textId="77777777" w:rsidR="00330B76" w:rsidRDefault="00330B76" w:rsidP="00330B76"/>
          <w:p w14:paraId="3E8BF5D1" w14:textId="16A151E7" w:rsidR="00A45261" w:rsidRPr="00A45261" w:rsidRDefault="00A45261" w:rsidP="00330B76">
            <w:pPr>
              <w:rPr>
                <w:b/>
                <w:bCs/>
              </w:rPr>
            </w:pPr>
            <w:r w:rsidRPr="00B71AC7">
              <w:rPr>
                <w:b/>
                <w:bCs/>
              </w:rPr>
              <w:t>Ongoing monitoring</w:t>
            </w:r>
            <w:r>
              <w:rPr>
                <w:b/>
                <w:bCs/>
              </w:rPr>
              <w:t>:</w:t>
            </w:r>
          </w:p>
          <w:p w14:paraId="2EE1F2CB" w14:textId="4EF13F0E" w:rsidR="00330B76" w:rsidRPr="00504F30" w:rsidRDefault="00330B76" w:rsidP="00330B76">
            <w:r w:rsidRPr="00504F30">
              <w:t xml:space="preserve">At initiation of shared care, communication to primary care should include current and ongoing dose, any relevant test results, and date the next monitoring is required. The specialist will retain the responsibility for monitoring the patient’s ongoing response to </w:t>
            </w:r>
            <w:proofErr w:type="gramStart"/>
            <w:r w:rsidRPr="00504F30">
              <w:t>treatment, and</w:t>
            </w:r>
            <w:proofErr w:type="gramEnd"/>
            <w:r w:rsidRPr="00504F30">
              <w:t xml:space="preserve"> advise if a dose change or treatment cessation is appropriate. This should usually be undertaken annually.</w:t>
            </w:r>
          </w:p>
          <w:p w14:paraId="3672B0FF" w14:textId="2D2C2805" w:rsidR="00330B76" w:rsidRPr="0041687B" w:rsidRDefault="00330B76" w:rsidP="00330B76">
            <w:pPr>
              <w:rPr>
                <w:rFonts w:cs="Arial"/>
              </w:rPr>
            </w:pPr>
            <w:r w:rsidRPr="00504F30">
              <w:t xml:space="preserve">When a patient is reviewed, advise primary care whether treatment should be continued, confirm the ongoing dose, and whether the ongoing monitoring outlined in </w:t>
            </w:r>
            <w:hyperlink w:anchor="six_monitoring" w:history="1">
              <w:r w:rsidRPr="00504F30">
                <w:rPr>
                  <w:rStyle w:val="Hyperlink"/>
                </w:rPr>
                <w:t>section 6</w:t>
              </w:r>
            </w:hyperlink>
            <w:r w:rsidRPr="00504F30">
              <w:t xml:space="preserve"> remains appropriate.</w:t>
            </w:r>
          </w:p>
        </w:tc>
      </w:tr>
    </w:tbl>
    <w:p w14:paraId="7BD95E7B" w14:textId="5AD0D97A" w:rsidR="00183898" w:rsidRDefault="00183898"/>
    <w:p w14:paraId="19340C24" w14:textId="77777777" w:rsidR="00183898" w:rsidRDefault="00183898">
      <w:pPr>
        <w:spacing w:before="0" w:after="160"/>
      </w:pPr>
      <w:r>
        <w:br w:type="page"/>
      </w:r>
    </w:p>
    <w:p w14:paraId="30417922" w14:textId="77777777" w:rsidR="0051526F" w:rsidRDefault="0051526F"/>
    <w:p w14:paraId="39805D5C" w14:textId="77777777" w:rsidR="0051526F" w:rsidRDefault="0051526F" w:rsidP="0051526F">
      <w:pPr>
        <w:pStyle w:val="Heading2"/>
        <w:rPr>
          <w:rFonts w:cs="Arial"/>
        </w:rPr>
      </w:pPr>
      <w:bookmarkStart w:id="10" w:name="_Toc149231790"/>
      <w:bookmarkStart w:id="11" w:name="six_monitoring"/>
      <w:r w:rsidRPr="00F321FC">
        <w:rPr>
          <w:rFonts w:cs="Arial"/>
        </w:rPr>
        <w:t>Ongoing monitoring requirements to be undertaken by primary care</w:t>
      </w:r>
      <w:bookmarkEnd w:id="10"/>
    </w:p>
    <w:bookmarkEnd w:id="11"/>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000B18BF">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330B76" w:rsidRPr="00F321FC" w14:paraId="33418424" w14:textId="77777777" w:rsidTr="000B18BF">
        <w:tc>
          <w:tcPr>
            <w:tcW w:w="5245" w:type="dxa"/>
          </w:tcPr>
          <w:p w14:paraId="02453515" w14:textId="77777777" w:rsidR="00330B76" w:rsidRDefault="00330B76" w:rsidP="00330B76">
            <w:pPr>
              <w:pStyle w:val="ListParagraph"/>
              <w:numPr>
                <w:ilvl w:val="0"/>
                <w:numId w:val="8"/>
              </w:numPr>
              <w:rPr>
                <w:lang w:eastAsia="en-GB"/>
              </w:rPr>
            </w:pPr>
            <w:r>
              <w:rPr>
                <w:lang w:eastAsia="en-GB"/>
              </w:rPr>
              <w:t xml:space="preserve">FBC </w:t>
            </w:r>
          </w:p>
          <w:p w14:paraId="34122A97" w14:textId="2E3033FC" w:rsidR="00330B76" w:rsidRDefault="00330B76" w:rsidP="00330B76">
            <w:pPr>
              <w:pStyle w:val="ListParagraph"/>
              <w:numPr>
                <w:ilvl w:val="0"/>
                <w:numId w:val="8"/>
              </w:numPr>
              <w:rPr>
                <w:lang w:eastAsia="en-GB"/>
              </w:rPr>
            </w:pPr>
            <w:r>
              <w:rPr>
                <w:lang w:eastAsia="en-GB"/>
              </w:rPr>
              <w:t xml:space="preserve">U&amp;Es including creatinine and </w:t>
            </w:r>
            <w:r w:rsidR="00C93008">
              <w:rPr>
                <w:lang w:eastAsia="en-GB"/>
              </w:rPr>
              <w:t>eGFR</w:t>
            </w:r>
          </w:p>
          <w:p w14:paraId="37F8B308" w14:textId="77777777" w:rsidR="00330B76" w:rsidRPr="00504F30" w:rsidRDefault="00330B76" w:rsidP="00330B76">
            <w:pPr>
              <w:pStyle w:val="ListParagraph"/>
              <w:numPr>
                <w:ilvl w:val="0"/>
                <w:numId w:val="8"/>
              </w:numPr>
              <w:rPr>
                <w:b/>
                <w:lang w:eastAsia="en-GB"/>
              </w:rPr>
            </w:pPr>
            <w:r>
              <w:rPr>
                <w:lang w:eastAsia="en-GB"/>
              </w:rPr>
              <w:t>ALT and/or AST and albumin</w:t>
            </w:r>
          </w:p>
          <w:p w14:paraId="38C3A527" w14:textId="670B5591" w:rsidR="00330B76" w:rsidRPr="007A56FB" w:rsidRDefault="00330B76" w:rsidP="00330B76">
            <w:pPr>
              <w:pStyle w:val="ListParagraph"/>
              <w:numPr>
                <w:ilvl w:val="0"/>
                <w:numId w:val="8"/>
              </w:numPr>
              <w:rPr>
                <w:rFonts w:cs="Arial"/>
              </w:rPr>
            </w:pPr>
            <w:r>
              <w:rPr>
                <w:lang w:eastAsia="en-GB"/>
              </w:rPr>
              <w:t>Psoriasis patients: serum PIIINP</w:t>
            </w:r>
            <w:r w:rsidR="00815C55">
              <w:rPr>
                <w:lang w:eastAsia="en-GB"/>
              </w:rPr>
              <w:t xml:space="preserve"> </w:t>
            </w:r>
            <w:r w:rsidR="003F0DBD">
              <w:rPr>
                <w:lang w:eastAsia="en-GB"/>
              </w:rPr>
              <w:t>– this can be requested</w:t>
            </w:r>
            <w:r w:rsidR="00C95FC9">
              <w:rPr>
                <w:lang w:eastAsia="en-GB"/>
              </w:rPr>
              <w:t xml:space="preserve">. If not available locally, the request would be </w:t>
            </w:r>
            <w:r w:rsidR="007A5437">
              <w:rPr>
                <w:lang w:eastAsia="en-GB"/>
              </w:rPr>
              <w:t>sent to another lab</w:t>
            </w:r>
          </w:p>
        </w:tc>
        <w:tc>
          <w:tcPr>
            <w:tcW w:w="5245" w:type="dxa"/>
          </w:tcPr>
          <w:p w14:paraId="35268D5B" w14:textId="77777777" w:rsidR="00330B76" w:rsidRDefault="00330B76" w:rsidP="00330B76">
            <w:pPr>
              <w:rPr>
                <w:iCs/>
                <w:lang w:eastAsia="en-GB"/>
              </w:rPr>
            </w:pPr>
            <w:r>
              <w:rPr>
                <w:iCs/>
                <w:lang w:eastAsia="en-GB"/>
              </w:rPr>
              <w:t>At least every 12 weeks, and more frequently in patients at higher risk of toxicity, as advised by the specialist team.</w:t>
            </w:r>
          </w:p>
          <w:p w14:paraId="460119A4" w14:textId="2309A1AB" w:rsidR="00330B76" w:rsidRPr="00F321FC" w:rsidRDefault="00330B76" w:rsidP="00330B76">
            <w:pPr>
              <w:rPr>
                <w:rFonts w:cs="Arial"/>
              </w:rPr>
            </w:pPr>
            <w:r>
              <w:rPr>
                <w:b/>
                <w:iCs/>
                <w:lang w:eastAsia="en-GB"/>
              </w:rPr>
              <w:t>The exact frequency of monitoring to be communicated by the specialist in all cases</w:t>
            </w:r>
            <w:r>
              <w:rPr>
                <w:iCs/>
                <w:lang w:eastAsia="en-GB"/>
              </w:rPr>
              <w:t>.</w:t>
            </w:r>
          </w:p>
        </w:tc>
      </w:tr>
      <w:tr w:rsidR="00330B76" w:rsidRPr="00F321FC" w14:paraId="60A93057" w14:textId="77777777" w:rsidTr="000B18BF">
        <w:tc>
          <w:tcPr>
            <w:tcW w:w="5245" w:type="dxa"/>
          </w:tcPr>
          <w:p w14:paraId="438BED25" w14:textId="3D6AD3A2" w:rsidR="00330B76" w:rsidRPr="00AB063D" w:rsidRDefault="00B842DD" w:rsidP="00330B76">
            <w:pPr>
              <w:pStyle w:val="ListParagraph"/>
              <w:numPr>
                <w:ilvl w:val="0"/>
                <w:numId w:val="9"/>
              </w:numPr>
              <w:rPr>
                <w:rFonts w:cs="Arial"/>
                <w:bCs/>
                <w:iCs/>
                <w:lang w:eastAsia="en-GB"/>
              </w:rPr>
            </w:pPr>
            <w:r w:rsidRPr="00AB063D">
              <w:rPr>
                <w:rFonts w:cs="Arial"/>
                <w:lang w:eastAsia="en-GB"/>
              </w:rPr>
              <w:t>Patients aged 60-79 years old are eligible for the shingles vaccine (herpes zoster). Patients aged 50 years or older and taking immunosuppressive therapy may also be eligible. Specialist input may be required. R</w:t>
            </w:r>
            <w:r w:rsidRPr="00AB063D">
              <w:rPr>
                <w:rFonts w:cs="Arial"/>
              </w:rPr>
              <w:t xml:space="preserve">efer to </w:t>
            </w:r>
            <w:hyperlink r:id="rId14" w:history="1">
              <w:r w:rsidRPr="00AB063D">
                <w:rPr>
                  <w:rStyle w:val="Hyperlink"/>
                  <w:rFonts w:cs="Arial"/>
                </w:rPr>
                <w:t>Green Book Chapter 6 (Contraindications and special considerations)</w:t>
              </w:r>
            </w:hyperlink>
            <w:r w:rsidRPr="00AB063D">
              <w:rPr>
                <w:rStyle w:val="Hyperlink"/>
                <w:rFonts w:cs="Arial"/>
              </w:rPr>
              <w:t xml:space="preserve"> and </w:t>
            </w:r>
            <w:hyperlink r:id="rId15" w:history="1">
              <w:r w:rsidRPr="00AB063D">
                <w:rPr>
                  <w:rStyle w:val="Hyperlink"/>
                  <w:rFonts w:cs="Arial"/>
                </w:rPr>
                <w:t>Green Book Chapter 28a (Shingles)</w:t>
              </w:r>
            </w:hyperlink>
            <w:r w:rsidRPr="00AB063D">
              <w:rPr>
                <w:rFonts w:cs="Arial"/>
              </w:rPr>
              <w:t xml:space="preserve"> </w:t>
            </w:r>
            <w:r w:rsidRPr="00AB063D">
              <w:rPr>
                <w:rFonts w:cs="Arial"/>
                <w:lang w:eastAsia="en-GB"/>
              </w:rPr>
              <w:t>for further details</w:t>
            </w:r>
            <w:r w:rsidR="00330B76" w:rsidRPr="00AB063D">
              <w:rPr>
                <w:rFonts w:cs="Arial"/>
                <w:bCs/>
                <w:iCs/>
                <w:lang w:eastAsia="en-GB"/>
              </w:rPr>
              <w:t>.</w:t>
            </w:r>
          </w:p>
          <w:p w14:paraId="6A157DFA" w14:textId="77777777" w:rsidR="00330B76" w:rsidRPr="00504F30" w:rsidRDefault="00330B76" w:rsidP="00330B76">
            <w:pPr>
              <w:pStyle w:val="ListParagraph"/>
              <w:numPr>
                <w:ilvl w:val="0"/>
                <w:numId w:val="9"/>
              </w:numPr>
              <w:rPr>
                <w:rFonts w:cs="Arial"/>
                <w:bCs/>
                <w:iCs/>
                <w:lang w:eastAsia="en-GB"/>
              </w:rPr>
            </w:pPr>
            <w:r w:rsidRPr="00504F30">
              <w:rPr>
                <w:rFonts w:cs="Arial"/>
                <w:b/>
                <w:bCs/>
                <w:iCs/>
                <w:lang w:eastAsia="en-GB"/>
              </w:rPr>
              <w:t xml:space="preserve">Annual </w:t>
            </w:r>
            <w:r w:rsidRPr="00504F30">
              <w:rPr>
                <w:rFonts w:cs="Arial"/>
                <w:bCs/>
                <w:iCs/>
                <w:lang w:eastAsia="en-GB"/>
              </w:rPr>
              <w:t>influenza (</w:t>
            </w:r>
            <w:hyperlink r:id="rId16" w:history="1">
              <w:r w:rsidRPr="00504F30">
                <w:rPr>
                  <w:rStyle w:val="Hyperlink"/>
                  <w:rFonts w:eastAsia="Times New Roman" w:cs="Arial"/>
                  <w:bCs/>
                  <w:iCs/>
                  <w:lang w:eastAsia="en-GB"/>
                </w:rPr>
                <w:t>The Green Book, Chapter 19</w:t>
              </w:r>
            </w:hyperlink>
            <w:r w:rsidRPr="00504F30">
              <w:rPr>
                <w:rFonts w:cs="Arial"/>
                <w:bCs/>
                <w:iCs/>
                <w:lang w:eastAsia="en-GB"/>
              </w:rPr>
              <w:t>) vaccinations are recommended.</w:t>
            </w:r>
          </w:p>
          <w:p w14:paraId="5B648E56" w14:textId="77777777" w:rsidR="00330B76" w:rsidRDefault="00330B76" w:rsidP="00330B76">
            <w:pPr>
              <w:pStyle w:val="ListParagraph"/>
              <w:numPr>
                <w:ilvl w:val="0"/>
                <w:numId w:val="9"/>
              </w:numPr>
              <w:rPr>
                <w:rFonts w:cs="Arial"/>
                <w:bCs/>
                <w:iCs/>
                <w:lang w:eastAsia="en-GB"/>
              </w:rPr>
            </w:pPr>
            <w:r w:rsidRPr="00504F30">
              <w:rPr>
                <w:rFonts w:cs="Arial"/>
                <w:bCs/>
                <w:iCs/>
                <w:lang w:eastAsia="en-GB"/>
              </w:rPr>
              <w:t>COVID-19 vaccination (</w:t>
            </w:r>
            <w:hyperlink r:id="rId17" w:history="1">
              <w:r w:rsidRPr="00504F30">
                <w:rPr>
                  <w:rStyle w:val="Hyperlink"/>
                  <w:rFonts w:eastAsia="Times New Roman" w:cs="Arial"/>
                  <w:bCs/>
                  <w:iCs/>
                  <w:lang w:eastAsia="en-GB"/>
                </w:rPr>
                <w:t>The Green Book, Chapter 14a</w:t>
              </w:r>
            </w:hyperlink>
            <w:r w:rsidRPr="00504F30">
              <w:rPr>
                <w:rFonts w:cs="Arial"/>
                <w:bCs/>
                <w:iCs/>
                <w:lang w:eastAsia="en-GB"/>
              </w:rPr>
              <w:t>) is safe and recommended.</w:t>
            </w:r>
          </w:p>
          <w:p w14:paraId="0C76948D" w14:textId="5E7220E3" w:rsidR="00330B76" w:rsidRPr="00330B76" w:rsidRDefault="00330B76" w:rsidP="00330B76">
            <w:pPr>
              <w:pStyle w:val="ListParagraph"/>
              <w:numPr>
                <w:ilvl w:val="0"/>
                <w:numId w:val="9"/>
              </w:numPr>
              <w:rPr>
                <w:rFonts w:cs="Arial"/>
                <w:bCs/>
                <w:iCs/>
                <w:lang w:eastAsia="en-GB"/>
              </w:rPr>
            </w:pPr>
            <w:r w:rsidRPr="00330B76">
              <w:rPr>
                <w:rFonts w:cs="Arial"/>
                <w:bCs/>
                <w:iCs/>
                <w:lang w:eastAsia="en-GB"/>
              </w:rPr>
              <w:t xml:space="preserve">Repeat pneumococcal vaccine may be indicated. See </w:t>
            </w:r>
            <w:hyperlink r:id="rId18" w:history="1">
              <w:r w:rsidRPr="00330B76">
                <w:rPr>
                  <w:rStyle w:val="Hyperlink"/>
                  <w:rFonts w:eastAsia="Times New Roman" w:cs="Arial"/>
                  <w:bCs/>
                  <w:iCs/>
                  <w:lang w:eastAsia="en-GB"/>
                </w:rPr>
                <w:t>Green Book Chapter 25</w:t>
              </w:r>
            </w:hyperlink>
            <w:r w:rsidRPr="00330B76">
              <w:rPr>
                <w:rFonts w:cs="Arial"/>
                <w:bCs/>
                <w:iCs/>
                <w:lang w:eastAsia="en-GB"/>
              </w:rPr>
              <w:t xml:space="preserve"> for advice.</w:t>
            </w:r>
          </w:p>
        </w:tc>
        <w:tc>
          <w:tcPr>
            <w:tcW w:w="5245" w:type="dxa"/>
          </w:tcPr>
          <w:p w14:paraId="1B67B233" w14:textId="14C96750" w:rsidR="00330B76" w:rsidRDefault="00330B76" w:rsidP="00330B76">
            <w:pPr>
              <w:pStyle w:val="ListParagraph"/>
              <w:numPr>
                <w:ilvl w:val="0"/>
                <w:numId w:val="9"/>
              </w:numPr>
              <w:rPr>
                <w:lang w:eastAsia="en-GB"/>
              </w:rPr>
            </w:pPr>
            <w:r>
              <w:rPr>
                <w:lang w:eastAsia="en-GB"/>
              </w:rPr>
              <w:t>Shingles vaccination: single course (two doses).</w:t>
            </w:r>
          </w:p>
          <w:p w14:paraId="66EDDF97" w14:textId="77777777" w:rsidR="00330B76" w:rsidRPr="00330B76" w:rsidRDefault="00330B76" w:rsidP="00330B76">
            <w:pPr>
              <w:pStyle w:val="ListParagraph"/>
              <w:numPr>
                <w:ilvl w:val="0"/>
                <w:numId w:val="9"/>
              </w:numPr>
              <w:rPr>
                <w:rFonts w:cs="Arial"/>
              </w:rPr>
            </w:pPr>
            <w:r>
              <w:rPr>
                <w:lang w:eastAsia="en-GB"/>
              </w:rPr>
              <w:t>Influenza vaccination: annual. It is advisable to add the patient to the influenza vaccine list.</w:t>
            </w:r>
          </w:p>
          <w:p w14:paraId="5A85F8DE" w14:textId="3D28F28D" w:rsidR="00330B76" w:rsidRPr="00F321FC" w:rsidRDefault="00330B76" w:rsidP="00330B76">
            <w:pPr>
              <w:pStyle w:val="ListParagraph"/>
              <w:numPr>
                <w:ilvl w:val="0"/>
                <w:numId w:val="9"/>
              </w:numPr>
              <w:rPr>
                <w:rFonts w:cs="Arial"/>
              </w:rPr>
            </w:pPr>
            <w:r>
              <w:rPr>
                <w:lang w:eastAsia="en-GB"/>
              </w:rPr>
              <w:t>Other vaccinations as per national schedule.</w:t>
            </w:r>
          </w:p>
        </w:tc>
      </w:tr>
    </w:tbl>
    <w:p w14:paraId="20855291" w14:textId="77777777" w:rsidR="0051526F" w:rsidRDefault="0051526F"/>
    <w:p w14:paraId="56152E6B" w14:textId="77777777" w:rsidR="0051526F" w:rsidRPr="00F321FC" w:rsidRDefault="0051526F" w:rsidP="0051526F">
      <w:pPr>
        <w:pStyle w:val="Heading2"/>
        <w:rPr>
          <w:rFonts w:cs="Arial"/>
        </w:rPr>
      </w:pPr>
      <w:bookmarkStart w:id="12" w:name="_Toc149231791"/>
      <w:r w:rsidRPr="00F321FC">
        <w:rPr>
          <w:rFonts w:cs="Arial"/>
        </w:rPr>
        <w:t>Pharmaceutical aspects</w:t>
      </w:r>
      <w:bookmarkEnd w:id="12"/>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330B76" w:rsidRPr="00F321FC" w14:paraId="793C17AD" w14:textId="77777777" w:rsidTr="002B6915">
        <w:trPr>
          <w:cantSplit/>
        </w:trPr>
        <w:tc>
          <w:tcPr>
            <w:tcW w:w="2410" w:type="dxa"/>
          </w:tcPr>
          <w:p w14:paraId="435FCFFB" w14:textId="2404CE1C" w:rsidR="00330B76" w:rsidRPr="00F321FC" w:rsidRDefault="00330B76" w:rsidP="00330B76">
            <w:pPr>
              <w:rPr>
                <w:rFonts w:cs="Arial"/>
              </w:rPr>
            </w:pPr>
            <w:r w:rsidRPr="00F321FC">
              <w:rPr>
                <w:rFonts w:cs="Arial"/>
              </w:rPr>
              <w:t>Route of administration:</w:t>
            </w:r>
          </w:p>
        </w:tc>
        <w:tc>
          <w:tcPr>
            <w:tcW w:w="8080" w:type="dxa"/>
          </w:tcPr>
          <w:p w14:paraId="58A97D63" w14:textId="08FBE0D1" w:rsidR="00330B76" w:rsidRPr="00F321FC" w:rsidRDefault="00330B76" w:rsidP="00330B76">
            <w:pPr>
              <w:rPr>
                <w:rFonts w:cs="Arial"/>
              </w:rPr>
            </w:pPr>
            <w:r>
              <w:rPr>
                <w:rFonts w:eastAsia="Times New Roman" w:cstheme="minorHAnsi"/>
                <w:bCs/>
                <w:iCs/>
                <w:color w:val="000000"/>
                <w:lang w:eastAsia="en-GB"/>
              </w:rPr>
              <w:t>Oral tablets, or subcutaneous injections</w:t>
            </w:r>
          </w:p>
        </w:tc>
      </w:tr>
      <w:tr w:rsidR="00330B76" w:rsidRPr="00F321FC" w14:paraId="0E5DDFDD" w14:textId="77777777" w:rsidTr="00330B76">
        <w:tc>
          <w:tcPr>
            <w:tcW w:w="2410" w:type="dxa"/>
          </w:tcPr>
          <w:p w14:paraId="3B641692" w14:textId="6763D472" w:rsidR="00330B76" w:rsidRPr="00F321FC" w:rsidRDefault="00330B76" w:rsidP="00330B76">
            <w:pPr>
              <w:rPr>
                <w:rFonts w:cs="Arial"/>
              </w:rPr>
            </w:pPr>
            <w:r w:rsidRPr="00F321FC">
              <w:rPr>
                <w:rFonts w:cs="Arial"/>
              </w:rPr>
              <w:t>Formulation:</w:t>
            </w:r>
          </w:p>
        </w:tc>
        <w:tc>
          <w:tcPr>
            <w:tcW w:w="8080" w:type="dxa"/>
          </w:tcPr>
          <w:p w14:paraId="41EC670D" w14:textId="77777777" w:rsidR="00330B76" w:rsidRDefault="00330B76" w:rsidP="00330B76">
            <w:pPr>
              <w:autoSpaceDE w:val="0"/>
              <w:autoSpaceDN w:val="0"/>
              <w:adjustRightInd w:val="0"/>
              <w:rPr>
                <w:rFonts w:eastAsia="Times New Roman" w:cstheme="minorHAnsi"/>
                <w:b/>
                <w:bCs/>
                <w:iCs/>
                <w:color w:val="000000"/>
                <w:u w:val="single"/>
                <w:lang w:eastAsia="en-GB"/>
              </w:rPr>
            </w:pPr>
            <w:r>
              <w:rPr>
                <w:rFonts w:eastAsia="Times New Roman" w:cstheme="minorHAnsi"/>
                <w:b/>
                <w:bCs/>
                <w:iCs/>
                <w:color w:val="000000"/>
                <w:u w:val="single"/>
                <w:lang w:eastAsia="en-GB"/>
              </w:rPr>
              <w:t>Methotrexate tablets</w:t>
            </w:r>
          </w:p>
          <w:p w14:paraId="253A2F3F"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Methotrexate 2.5 mg tablets </w:t>
            </w:r>
          </w:p>
          <w:p w14:paraId="44334F57"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Other strengths are available but, to reduce dosing errors, </w:t>
            </w:r>
            <w:r>
              <w:rPr>
                <w:rFonts w:eastAsia="Times New Roman" w:cstheme="minorHAnsi"/>
                <w:b/>
                <w:bCs/>
                <w:iCs/>
                <w:color w:val="000000"/>
                <w:u w:val="single"/>
                <w:lang w:eastAsia="en-GB"/>
              </w:rPr>
              <w:t>only the 2.5 mg tablets should be prescribed</w:t>
            </w:r>
            <w:r>
              <w:rPr>
                <w:rFonts w:eastAsia="Times New Roman" w:cstheme="minorHAnsi"/>
                <w:bCs/>
                <w:iCs/>
                <w:color w:val="000000"/>
                <w:lang w:eastAsia="en-GB"/>
              </w:rPr>
              <w:t xml:space="preserve">. The dose should be taken </w:t>
            </w:r>
            <w:r>
              <w:rPr>
                <w:rFonts w:eastAsia="Times New Roman" w:cstheme="minorHAnsi"/>
                <w:b/>
                <w:bCs/>
                <w:iCs/>
                <w:color w:val="000000"/>
                <w:u w:val="single"/>
                <w:lang w:eastAsia="en-GB"/>
              </w:rPr>
              <w:t>once weekly</w:t>
            </w:r>
            <w:r>
              <w:rPr>
                <w:rFonts w:eastAsia="Times New Roman" w:cstheme="minorHAnsi"/>
                <w:bCs/>
                <w:iCs/>
                <w:color w:val="000000"/>
                <w:lang w:eastAsia="en-GB"/>
              </w:rPr>
              <w:t xml:space="preserve"> on the same day each week, and that day should be clearly communicated to the patient. </w:t>
            </w:r>
          </w:p>
          <w:p w14:paraId="29520AE8" w14:textId="77777777" w:rsidR="00330B76" w:rsidRDefault="00330B76" w:rsidP="00330B76">
            <w:pPr>
              <w:autoSpaceDE w:val="0"/>
              <w:autoSpaceDN w:val="0"/>
              <w:adjustRightInd w:val="0"/>
              <w:rPr>
                <w:rFonts w:eastAsia="Times New Roman" w:cstheme="minorHAnsi"/>
                <w:bCs/>
                <w:iCs/>
                <w:color w:val="000000"/>
                <w:lang w:eastAsia="en-GB"/>
              </w:rPr>
            </w:pPr>
          </w:p>
          <w:p w14:paraId="4B793960" w14:textId="77777777" w:rsidR="00330B76" w:rsidRDefault="00330B76" w:rsidP="00330B76">
            <w:pPr>
              <w:autoSpaceDE w:val="0"/>
              <w:autoSpaceDN w:val="0"/>
              <w:adjustRightInd w:val="0"/>
              <w:rPr>
                <w:rFonts w:eastAsia="Times New Roman" w:cstheme="minorHAnsi"/>
                <w:b/>
                <w:bCs/>
                <w:iCs/>
                <w:color w:val="000000"/>
                <w:u w:val="single"/>
                <w:lang w:eastAsia="en-GB"/>
              </w:rPr>
            </w:pPr>
            <w:r>
              <w:rPr>
                <w:rFonts w:eastAsia="Times New Roman" w:cstheme="minorHAnsi"/>
                <w:b/>
                <w:bCs/>
                <w:iCs/>
                <w:color w:val="000000"/>
                <w:u w:val="single"/>
                <w:lang w:eastAsia="en-GB"/>
              </w:rPr>
              <w:t>Methotrexate subcutaneous injection</w:t>
            </w:r>
          </w:p>
          <w:p w14:paraId="049B0294" w14:textId="77A9B21D"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Solution for injection available in 2.5 mg increments ranging from 7.5 mg – 30 mg </w:t>
            </w:r>
            <w:r w:rsidR="005123D5">
              <w:rPr>
                <w:rFonts w:eastAsia="Times New Roman" w:cstheme="minorHAnsi"/>
                <w:bCs/>
                <w:iCs/>
                <w:color w:val="000000"/>
                <w:lang w:eastAsia="en-GB"/>
              </w:rPr>
              <w:t xml:space="preserve">(note maximum dose is 25mg) </w:t>
            </w:r>
            <w:r>
              <w:rPr>
                <w:rFonts w:eastAsia="Times New Roman" w:cstheme="minorHAnsi"/>
                <w:bCs/>
                <w:iCs/>
                <w:color w:val="000000"/>
                <w:lang w:eastAsia="en-GB"/>
              </w:rPr>
              <w:t xml:space="preserve">and varying with brand: </w:t>
            </w:r>
          </w:p>
          <w:p w14:paraId="49BE8E0E" w14:textId="1DA357BE" w:rsidR="00330B76" w:rsidRDefault="00330B76" w:rsidP="00330B76">
            <w:pPr>
              <w:pStyle w:val="ListParagraph"/>
              <w:numPr>
                <w:ilvl w:val="0"/>
                <w:numId w:val="10"/>
              </w:numPr>
              <w:autoSpaceDE w:val="0"/>
              <w:autoSpaceDN w:val="0"/>
              <w:adjustRightInd w:val="0"/>
              <w:spacing w:before="0"/>
              <w:contextualSpacing/>
              <w:rPr>
                <w:rFonts w:eastAsia="Times New Roman" w:cstheme="minorHAnsi"/>
                <w:bCs/>
                <w:iCs/>
                <w:color w:val="000000"/>
                <w:lang w:eastAsia="en-GB"/>
              </w:rPr>
            </w:pPr>
            <w:r>
              <w:rPr>
                <w:rFonts w:eastAsia="Times New Roman" w:cstheme="minorHAnsi"/>
                <w:bCs/>
                <w:iCs/>
                <w:color w:val="000000"/>
                <w:lang w:eastAsia="en-GB"/>
              </w:rPr>
              <w:t>50 mg/mL in pre-filled injector or syringe (</w:t>
            </w:r>
            <w:proofErr w:type="spellStart"/>
            <w:r>
              <w:rPr>
                <w:rFonts w:eastAsia="Times New Roman" w:cstheme="minorHAnsi"/>
                <w:bCs/>
                <w:iCs/>
                <w:color w:val="000000"/>
                <w:lang w:eastAsia="en-GB"/>
              </w:rPr>
              <w:t>Methofill</w:t>
            </w:r>
            <w:proofErr w:type="spellEnd"/>
            <w:r>
              <w:rPr>
                <w:rFonts w:eastAsia="Times New Roman" w:cstheme="minorHAnsi"/>
                <w:bCs/>
                <w:iCs/>
                <w:color w:val="000000"/>
                <w:lang w:eastAsia="en-GB"/>
              </w:rPr>
              <w:t>®): 7.5 mg to 30 mg</w:t>
            </w:r>
          </w:p>
          <w:p w14:paraId="2E5C81F5" w14:textId="21AF4A10" w:rsidR="00330B76" w:rsidRDefault="00330B76" w:rsidP="00330B76">
            <w:pPr>
              <w:pStyle w:val="ListParagraph"/>
              <w:numPr>
                <w:ilvl w:val="0"/>
                <w:numId w:val="10"/>
              </w:numPr>
              <w:autoSpaceDE w:val="0"/>
              <w:autoSpaceDN w:val="0"/>
              <w:adjustRightInd w:val="0"/>
              <w:spacing w:before="0" w:after="0"/>
              <w:contextualSpacing/>
              <w:rPr>
                <w:rFonts w:eastAsia="Times New Roman" w:cstheme="minorHAnsi"/>
                <w:bCs/>
                <w:iCs/>
                <w:color w:val="000000"/>
                <w:lang w:eastAsia="en-GB"/>
              </w:rPr>
            </w:pPr>
            <w:r>
              <w:rPr>
                <w:rFonts w:eastAsia="Times New Roman" w:cstheme="minorHAnsi"/>
                <w:bCs/>
                <w:iCs/>
                <w:color w:val="000000"/>
                <w:lang w:eastAsia="en-GB"/>
              </w:rPr>
              <w:t>50 mg/mL in pre-filled pen (</w:t>
            </w:r>
            <w:proofErr w:type="spellStart"/>
            <w:r>
              <w:rPr>
                <w:rFonts w:eastAsia="Times New Roman" w:cstheme="minorHAnsi"/>
                <w:bCs/>
                <w:iCs/>
                <w:color w:val="000000"/>
                <w:lang w:eastAsia="en-GB"/>
              </w:rPr>
              <w:t>Metoject</w:t>
            </w:r>
            <w:proofErr w:type="spellEnd"/>
            <w:r>
              <w:rPr>
                <w:rFonts w:eastAsia="Times New Roman" w:cstheme="minorHAnsi"/>
                <w:bCs/>
                <w:iCs/>
                <w:color w:val="000000"/>
                <w:lang w:eastAsia="en-GB"/>
              </w:rPr>
              <w:t xml:space="preserve">®): 7.5 mg to 30 mg </w:t>
            </w:r>
          </w:p>
          <w:p w14:paraId="2DF269CC" w14:textId="77777777" w:rsidR="00330B76" w:rsidRDefault="00330B76" w:rsidP="00330B76">
            <w:pPr>
              <w:pStyle w:val="ListParagraph"/>
              <w:numPr>
                <w:ilvl w:val="0"/>
                <w:numId w:val="10"/>
              </w:numPr>
              <w:autoSpaceDE w:val="0"/>
              <w:autoSpaceDN w:val="0"/>
              <w:adjustRightInd w:val="0"/>
              <w:spacing w:before="0" w:after="0"/>
              <w:contextualSpacing/>
              <w:rPr>
                <w:rFonts w:eastAsia="Times New Roman" w:cstheme="minorHAnsi"/>
                <w:bCs/>
                <w:iCs/>
                <w:color w:val="000000"/>
                <w:lang w:eastAsia="en-GB"/>
              </w:rPr>
            </w:pPr>
            <w:r>
              <w:rPr>
                <w:rFonts w:eastAsia="Times New Roman" w:cstheme="minorHAnsi"/>
                <w:bCs/>
                <w:iCs/>
                <w:color w:val="000000"/>
                <w:lang w:eastAsia="en-GB"/>
              </w:rPr>
              <w:t>25 mg/mL in pre-filled pen (</w:t>
            </w:r>
            <w:proofErr w:type="spellStart"/>
            <w:r>
              <w:rPr>
                <w:rFonts w:eastAsia="Times New Roman" w:cstheme="minorHAnsi"/>
                <w:bCs/>
                <w:iCs/>
                <w:color w:val="000000"/>
                <w:lang w:eastAsia="en-GB"/>
              </w:rPr>
              <w:t>Nordimet</w:t>
            </w:r>
            <w:proofErr w:type="spellEnd"/>
            <w:r>
              <w:rPr>
                <w:rFonts w:eastAsia="Times New Roman" w:cstheme="minorHAnsi"/>
                <w:bCs/>
                <w:iCs/>
                <w:color w:val="000000"/>
                <w:lang w:eastAsia="en-GB"/>
              </w:rPr>
              <w:t xml:space="preserve">®): 7.5 mg to 25 mg </w:t>
            </w:r>
          </w:p>
          <w:p w14:paraId="47D19020" w14:textId="77777777" w:rsidR="00330B76" w:rsidRDefault="00330B76" w:rsidP="00330B76">
            <w:pPr>
              <w:pStyle w:val="ListParagraph"/>
              <w:numPr>
                <w:ilvl w:val="0"/>
                <w:numId w:val="10"/>
              </w:numPr>
              <w:autoSpaceDE w:val="0"/>
              <w:autoSpaceDN w:val="0"/>
              <w:adjustRightInd w:val="0"/>
              <w:spacing w:after="0"/>
              <w:contextualSpacing/>
              <w:rPr>
                <w:rFonts w:eastAsia="Times New Roman" w:cstheme="minorHAnsi"/>
                <w:bCs/>
                <w:iCs/>
                <w:color w:val="000000"/>
                <w:lang w:eastAsia="en-GB"/>
              </w:rPr>
            </w:pPr>
            <w:r>
              <w:rPr>
                <w:rFonts w:eastAsia="Times New Roman" w:cstheme="minorHAnsi"/>
                <w:bCs/>
                <w:iCs/>
                <w:color w:val="000000"/>
                <w:lang w:eastAsia="en-GB"/>
              </w:rPr>
              <w:t>25 mg/mL in pre-filled syringe (</w:t>
            </w:r>
            <w:proofErr w:type="spellStart"/>
            <w:r>
              <w:rPr>
                <w:rFonts w:eastAsia="Times New Roman" w:cstheme="minorHAnsi"/>
                <w:bCs/>
                <w:iCs/>
                <w:color w:val="000000"/>
                <w:lang w:eastAsia="en-GB"/>
              </w:rPr>
              <w:t>Zlatal</w:t>
            </w:r>
            <w:proofErr w:type="spellEnd"/>
            <w:r>
              <w:rPr>
                <w:rFonts w:eastAsia="Times New Roman" w:cstheme="minorHAnsi"/>
                <w:bCs/>
                <w:iCs/>
                <w:color w:val="000000"/>
                <w:lang w:eastAsia="en-GB"/>
              </w:rPr>
              <w:t xml:space="preserve">®): 7.5 mg to 25 mg </w:t>
            </w:r>
          </w:p>
          <w:p w14:paraId="4D92ED5F"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szCs w:val="24"/>
                <w:lang w:eastAsia="en-GB"/>
              </w:rPr>
              <w:t xml:space="preserve">If subcutaneous methotrexate is prescribed, secondary care must specify the </w:t>
            </w:r>
            <w:proofErr w:type="gramStart"/>
            <w:r>
              <w:rPr>
                <w:rFonts w:eastAsia="Times New Roman" w:cstheme="minorHAnsi"/>
                <w:szCs w:val="24"/>
                <w:lang w:eastAsia="en-GB"/>
              </w:rPr>
              <w:t>brand</w:t>
            </w:r>
            <w:proofErr w:type="gramEnd"/>
            <w:r>
              <w:rPr>
                <w:rFonts w:eastAsia="Times New Roman" w:cstheme="minorHAnsi"/>
                <w:szCs w:val="24"/>
                <w:lang w:eastAsia="en-GB"/>
              </w:rPr>
              <w:t xml:space="preserve"> and the patient should be maintained on that brand due to device familiarity. Brand should be specified on clinical systems. </w:t>
            </w:r>
          </w:p>
          <w:p w14:paraId="18A935DF" w14:textId="77777777" w:rsidR="00330B76" w:rsidRDefault="00330B76" w:rsidP="00330B76">
            <w:pPr>
              <w:autoSpaceDE w:val="0"/>
              <w:autoSpaceDN w:val="0"/>
              <w:adjustRightInd w:val="0"/>
              <w:rPr>
                <w:rFonts w:eastAsia="Times New Roman" w:cstheme="minorHAnsi"/>
                <w:szCs w:val="24"/>
                <w:lang w:eastAsia="en-GB"/>
              </w:rPr>
            </w:pPr>
            <w:r>
              <w:rPr>
                <w:rFonts w:eastAsia="Times New Roman" w:cstheme="minorHAnsi"/>
                <w:bCs/>
                <w:iCs/>
                <w:color w:val="000000"/>
                <w:lang w:eastAsia="en-GB"/>
              </w:rPr>
              <w:t xml:space="preserve">See </w:t>
            </w:r>
            <w:hyperlink r:id="rId19" w:history="1">
              <w:r>
                <w:rPr>
                  <w:rStyle w:val="Hyperlink"/>
                  <w:rFonts w:eastAsia="Times New Roman" w:cstheme="minorHAnsi"/>
                  <w:bCs/>
                  <w:iCs/>
                  <w:lang w:eastAsia="en-GB"/>
                </w:rPr>
                <w:t>SPCs</w:t>
              </w:r>
            </w:hyperlink>
            <w:r>
              <w:rPr>
                <w:rFonts w:eastAsia="Times New Roman" w:cstheme="minorHAnsi"/>
                <w:bCs/>
                <w:iCs/>
                <w:color w:val="000000"/>
                <w:lang w:eastAsia="en-GB"/>
              </w:rPr>
              <w:t xml:space="preserve"> for full details of available products. Local, pre-existing arrangements for the </w:t>
            </w:r>
            <w:r>
              <w:rPr>
                <w:rFonts w:eastAsia="Times New Roman" w:cstheme="minorHAnsi"/>
                <w:szCs w:val="24"/>
                <w:lang w:eastAsia="en-GB"/>
              </w:rPr>
              <w:t xml:space="preserve">supply of methotrexate injection and ancillary products, and for the disposal of cytotoxic waste, should be observed. </w:t>
            </w:r>
          </w:p>
          <w:p w14:paraId="2E84761E"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When deciding which formulation to prescribe, the specialist should consider the patient’s circumstances and overall polypharmacy burden, especially for patients with a high pill burden. See </w:t>
            </w:r>
            <w:hyperlink r:id="rId20" w:history="1">
              <w:r>
                <w:rPr>
                  <w:rStyle w:val="Hyperlink"/>
                  <w:rFonts w:eastAsia="Times New Roman" w:cstheme="minorHAnsi"/>
                  <w:bCs/>
                  <w:iCs/>
                  <w:lang w:eastAsia="en-GB"/>
                </w:rPr>
                <w:t>MHRA advice on preventing inadvertent daily dosing</w:t>
              </w:r>
            </w:hyperlink>
            <w:r>
              <w:rPr>
                <w:rFonts w:eastAsia="Times New Roman" w:cstheme="minorHAnsi"/>
                <w:bCs/>
                <w:iCs/>
                <w:color w:val="000000"/>
                <w:lang w:eastAsia="en-GB"/>
              </w:rPr>
              <w:t>.</w:t>
            </w:r>
          </w:p>
          <w:p w14:paraId="09C2B9C8" w14:textId="74624756" w:rsidR="00330B76" w:rsidRPr="00F321FC" w:rsidRDefault="00330B76" w:rsidP="00330B76">
            <w:pPr>
              <w:rPr>
                <w:rFonts w:cs="Arial"/>
              </w:rPr>
            </w:pPr>
            <w:r>
              <w:rPr>
                <w:rFonts w:eastAsia="Times New Roman" w:cstheme="minorHAnsi"/>
                <w:bCs/>
                <w:iCs/>
                <w:color w:val="000000"/>
                <w:lang w:eastAsia="en-GB"/>
              </w:rPr>
              <w:t xml:space="preserve">Converting from an oral to a subcutaneous dosage form may be appropriate where patients experience intolerable adverse effects and should only be undertaken by a specialist.  </w:t>
            </w:r>
          </w:p>
        </w:tc>
      </w:tr>
      <w:tr w:rsidR="00330B76" w:rsidRPr="00F321FC" w14:paraId="4D08654E" w14:textId="77777777" w:rsidTr="002B6915">
        <w:trPr>
          <w:cantSplit/>
        </w:trPr>
        <w:tc>
          <w:tcPr>
            <w:tcW w:w="2410" w:type="dxa"/>
          </w:tcPr>
          <w:p w14:paraId="5807ABCD" w14:textId="7BDA162B" w:rsidR="00330B76" w:rsidRPr="00F321FC" w:rsidRDefault="00330B76" w:rsidP="00330B76">
            <w:pPr>
              <w:rPr>
                <w:rFonts w:cs="Arial"/>
              </w:rPr>
            </w:pPr>
            <w:r w:rsidRPr="00F321FC">
              <w:rPr>
                <w:rFonts w:cs="Arial"/>
              </w:rPr>
              <w:t>Administration details:</w:t>
            </w:r>
          </w:p>
        </w:tc>
        <w:tc>
          <w:tcPr>
            <w:tcW w:w="8080" w:type="dxa"/>
          </w:tcPr>
          <w:p w14:paraId="1D6A5E48" w14:textId="77777777" w:rsidR="00330B76" w:rsidRDefault="00330B76" w:rsidP="00330B76">
            <w:pPr>
              <w:autoSpaceDE w:val="0"/>
              <w:autoSpaceDN w:val="0"/>
              <w:adjustRightInd w:val="0"/>
              <w:rPr>
                <w:rFonts w:eastAsia="Times New Roman" w:cs="Arial"/>
                <w:lang w:eastAsia="en-GB"/>
              </w:rPr>
            </w:pPr>
            <w:r>
              <w:rPr>
                <w:rFonts w:eastAsia="Times New Roman" w:cs="Arial"/>
                <w:lang w:eastAsia="en-GB"/>
              </w:rPr>
              <w:t>Tablets should not be split or crushed for administration. Review formulation if patient is unable to swallow tablets. Carers should wear single-use gloves to handle methotrexate tablets. Anyone handling the tablets should wash their hands immediately afterwards.</w:t>
            </w:r>
          </w:p>
          <w:p w14:paraId="14AFA030" w14:textId="77777777" w:rsidR="00330B76" w:rsidRDefault="00330B76" w:rsidP="00330B76">
            <w:pPr>
              <w:autoSpaceDE w:val="0"/>
              <w:autoSpaceDN w:val="0"/>
              <w:adjustRightInd w:val="0"/>
              <w:rPr>
                <w:rFonts w:eastAsia="Times New Roman" w:cs="Arial"/>
                <w:lang w:eastAsia="en-GB"/>
              </w:rPr>
            </w:pPr>
            <w:r>
              <w:rPr>
                <w:rFonts w:eastAsia="Times New Roman" w:cs="Arial"/>
                <w:lang w:eastAsia="en-GB"/>
              </w:rPr>
              <w:t>Pregnant people, including patients and carers, should avoid handling methotrexate.</w:t>
            </w:r>
          </w:p>
          <w:p w14:paraId="30A11579" w14:textId="77777777" w:rsidR="00330B76" w:rsidRDefault="00330B76" w:rsidP="00330B76">
            <w:pPr>
              <w:autoSpaceDE w:val="0"/>
              <w:autoSpaceDN w:val="0"/>
              <w:adjustRightInd w:val="0"/>
              <w:rPr>
                <w:rFonts w:eastAsia="Times New Roman" w:cs="Arial"/>
                <w:bCs/>
                <w:iCs/>
                <w:color w:val="000000"/>
                <w:lang w:eastAsia="en-GB"/>
              </w:rPr>
            </w:pPr>
            <w:r>
              <w:rPr>
                <w:rFonts w:eastAsia="Times New Roman" w:cs="Arial"/>
                <w:bCs/>
                <w:iCs/>
                <w:color w:val="000000"/>
                <w:lang w:eastAsia="en-GB"/>
              </w:rPr>
              <w:t xml:space="preserve">Avoid skin or mucosa contact with methotrexate solution for injection. Spillage kits should be available for patients on subcutaneous methotrexate. </w:t>
            </w:r>
          </w:p>
          <w:p w14:paraId="3956ABC5" w14:textId="2EC19A1A" w:rsidR="00330B76" w:rsidRPr="00F321FC" w:rsidRDefault="00330B76" w:rsidP="00330B76">
            <w:pPr>
              <w:rPr>
                <w:rFonts w:cs="Arial"/>
              </w:rPr>
            </w:pPr>
            <w:r>
              <w:rPr>
                <w:rFonts w:eastAsia="Times New Roman" w:cs="Arial"/>
                <w:bCs/>
                <w:iCs/>
                <w:color w:val="000000"/>
                <w:lang w:eastAsia="en-GB"/>
              </w:rPr>
              <w:t xml:space="preserve">If a dose of methotrexate is missed it should be taken as soon as remembered, within one or two days, and not on the same day as folic acid. Doses which are three or more days late should be skipped entirely. </w:t>
            </w:r>
            <w:r>
              <w:rPr>
                <w:rFonts w:eastAsia="Times New Roman" w:cs="Arial"/>
                <w:lang w:eastAsia="en-GB"/>
              </w:rPr>
              <w:t xml:space="preserve">Take the next dose as scheduled, on the usual day. </w:t>
            </w:r>
            <w:r>
              <w:rPr>
                <w:rFonts w:eastAsia="Times New Roman" w:cs="Arial"/>
                <w:u w:val="single"/>
                <w:lang w:eastAsia="en-GB"/>
              </w:rPr>
              <w:t>A double dose should not be taken to make up for a missed dose</w:t>
            </w:r>
            <w:r>
              <w:rPr>
                <w:rFonts w:eastAsia="Times New Roman" w:cs="Arial"/>
                <w:lang w:eastAsia="en-GB"/>
              </w:rPr>
              <w:t>.</w:t>
            </w:r>
          </w:p>
        </w:tc>
      </w:tr>
      <w:tr w:rsidR="00330B76" w:rsidRPr="00F321FC" w14:paraId="1BF5C41D" w14:textId="77777777" w:rsidTr="002B6915">
        <w:trPr>
          <w:cantSplit/>
        </w:trPr>
        <w:tc>
          <w:tcPr>
            <w:tcW w:w="2410" w:type="dxa"/>
          </w:tcPr>
          <w:p w14:paraId="00D209C3" w14:textId="4AA020DB" w:rsidR="00330B76" w:rsidRPr="00F321FC" w:rsidRDefault="00330B76" w:rsidP="00330B76">
            <w:pPr>
              <w:rPr>
                <w:rFonts w:cs="Arial"/>
              </w:rPr>
            </w:pPr>
            <w:r>
              <w:rPr>
                <w:rFonts w:cs="Arial"/>
              </w:rPr>
              <w:t xml:space="preserve">Other important information: </w:t>
            </w:r>
          </w:p>
        </w:tc>
        <w:tc>
          <w:tcPr>
            <w:tcW w:w="8080" w:type="dxa"/>
          </w:tcPr>
          <w:p w14:paraId="72E860FB"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Methotrexate is taken </w:t>
            </w:r>
            <w:r>
              <w:rPr>
                <w:rFonts w:eastAsia="Times New Roman" w:cstheme="minorHAnsi"/>
                <w:bCs/>
                <w:iCs/>
                <w:color w:val="000000"/>
                <w:u w:val="single"/>
                <w:lang w:eastAsia="en-GB"/>
              </w:rPr>
              <w:t>once weekly</w:t>
            </w:r>
            <w:r>
              <w:rPr>
                <w:rFonts w:eastAsia="Times New Roman" w:cstheme="minorHAnsi"/>
                <w:bCs/>
                <w:iCs/>
                <w:color w:val="000000"/>
                <w:lang w:eastAsia="en-GB"/>
              </w:rPr>
              <w:t xml:space="preserve">, and there is a significant risk of toxicity if it is taken more frequently. Prescribers should follow the </w:t>
            </w:r>
            <w:hyperlink r:id="rId21" w:history="1">
              <w:r>
                <w:rPr>
                  <w:rStyle w:val="Hyperlink"/>
                  <w:rFonts w:eastAsia="Times New Roman" w:cstheme="minorHAnsi"/>
                  <w:bCs/>
                  <w:iCs/>
                  <w:lang w:eastAsia="en-GB"/>
                </w:rPr>
                <w:t>MHRA advice on preventing inadvertent daily dosing</w:t>
              </w:r>
            </w:hyperlink>
            <w:r w:rsidRPr="00504F30">
              <w:rPr>
                <w:rStyle w:val="Hyperlink"/>
                <w:rFonts w:eastAsia="Times New Roman" w:cstheme="minorHAnsi"/>
                <w:bCs/>
                <w:iCs/>
                <w:color w:val="000000"/>
                <w:u w:val="none"/>
                <w:lang w:eastAsia="en-GB"/>
              </w:rPr>
              <w:t>, including</w:t>
            </w:r>
            <w:r w:rsidRPr="00616DFC">
              <w:rPr>
                <w:rStyle w:val="Hyperlink"/>
                <w:rFonts w:eastAsia="Times New Roman" w:cstheme="minorHAnsi"/>
                <w:bCs/>
                <w:iCs/>
                <w:color w:val="000000"/>
                <w:u w:val="none"/>
                <w:lang w:eastAsia="en-GB"/>
              </w:rPr>
              <w:t xml:space="preserve"> </w:t>
            </w:r>
            <w:r>
              <w:rPr>
                <w:rFonts w:eastAsia="Times New Roman" w:cstheme="minorHAnsi"/>
                <w:bCs/>
                <w:iCs/>
                <w:color w:val="000000"/>
                <w:lang w:eastAsia="en-GB"/>
              </w:rPr>
              <w:t>ensuring that the patient and/or carer understands the dosing schedule and is able to follow it.</w:t>
            </w:r>
          </w:p>
          <w:p w14:paraId="57DD6449" w14:textId="77777777" w:rsidR="00330B76" w:rsidRDefault="00330B76" w:rsidP="00330B76">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All patients should be prescribed folic acid at a dose of at least 5 mg once weekly, to be taken on a different day than their methotrexate dose. The specialist should include clear details of the folic acid regimen in their initial communication with primary care. </w:t>
            </w:r>
          </w:p>
          <w:p w14:paraId="14CD1D9D" w14:textId="635D1BF6" w:rsidR="00330B76" w:rsidRPr="001A51F3" w:rsidRDefault="00330B76" w:rsidP="00330B76">
            <w:pPr>
              <w:autoSpaceDE w:val="0"/>
              <w:autoSpaceDN w:val="0"/>
              <w:adjustRightInd w:val="0"/>
              <w:rPr>
                <w:rFonts w:eastAsia="Times New Roman" w:cstheme="minorHAnsi"/>
                <w:szCs w:val="24"/>
                <w:lang w:eastAsia="en-GB"/>
              </w:rPr>
            </w:pPr>
            <w:r>
              <w:rPr>
                <w:rFonts w:eastAsia="Times New Roman" w:cstheme="minorHAnsi"/>
                <w:bCs/>
                <w:iCs/>
                <w:color w:val="000000"/>
                <w:lang w:eastAsia="en-GB"/>
              </w:rPr>
              <w:t>In areas where methotrexate monitoring booklets are in use, the patient should receive a monitoring booklet from the specialist upon initiation of treatment. They should bring this booklet to all specialist and GP appointments where it will be updated by the health professional conducting the appointment. The patient should also produce the booklet to any health professional involved in other aspects of their care e.g. pharmacists and dentists.</w:t>
            </w:r>
          </w:p>
        </w:tc>
      </w:tr>
    </w:tbl>
    <w:p w14:paraId="55B80F32" w14:textId="77777777" w:rsidR="0051526F" w:rsidRDefault="0051526F"/>
    <w:p w14:paraId="6DB2B26C" w14:textId="77777777" w:rsidR="0051526F" w:rsidRDefault="0051526F"/>
    <w:p w14:paraId="2699777B" w14:textId="5394937C"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330B76" w:rsidRPr="00F321FC" w14:paraId="4A999C67" w14:textId="77777777" w:rsidTr="00330B76">
        <w:tc>
          <w:tcPr>
            <w:tcW w:w="2407" w:type="dxa"/>
          </w:tcPr>
          <w:p w14:paraId="6BB97933" w14:textId="5394937C" w:rsidR="00330B76" w:rsidRPr="00F321FC" w:rsidRDefault="00330B76" w:rsidP="00330B76">
            <w:pPr>
              <w:pStyle w:val="Heading2"/>
              <w:rPr>
                <w:rFonts w:cs="Arial"/>
              </w:rPr>
            </w:pPr>
            <w:bookmarkStart w:id="13" w:name="eight_cautions_cx"/>
            <w:bookmarkStart w:id="14" w:name="_Toc149231792"/>
            <w:r w:rsidRPr="00F321FC">
              <w:rPr>
                <w:rFonts w:cs="Arial"/>
              </w:rPr>
              <w:t>C</w:t>
            </w:r>
            <w:r>
              <w:rPr>
                <w:rFonts w:cs="Arial"/>
              </w:rPr>
              <w:t>autions and c</w:t>
            </w:r>
            <w:r w:rsidRPr="00F321FC">
              <w:rPr>
                <w:rFonts w:cs="Arial"/>
              </w:rPr>
              <w:t>ontraindications</w:t>
            </w:r>
            <w:bookmarkEnd w:id="13"/>
            <w:bookmarkEnd w:id="14"/>
          </w:p>
        </w:tc>
        <w:tc>
          <w:tcPr>
            <w:tcW w:w="8054" w:type="dxa"/>
          </w:tcPr>
          <w:p w14:paraId="3EC92F0B" w14:textId="77777777" w:rsidR="00330B76" w:rsidRDefault="00330B76" w:rsidP="00330B76">
            <w:pPr>
              <w:rPr>
                <w:rFonts w:cs="Arial"/>
              </w:rPr>
            </w:pPr>
            <w:r w:rsidRPr="00FB404F">
              <w:rPr>
                <w:rFonts w:cs="Arial"/>
              </w:rPr>
              <w:t>This information does not replace the Summary of Product Characteristics (SPC</w:t>
            </w:r>
            <w:proofErr w:type="gramStart"/>
            <w:r w:rsidRPr="00FB404F">
              <w:rPr>
                <w:rFonts w:cs="Arial"/>
              </w:rPr>
              <w:t>), and</w:t>
            </w:r>
            <w:proofErr w:type="gramEnd"/>
            <w:r w:rsidRPr="00FB404F">
              <w:rPr>
                <w:rFonts w:cs="Arial"/>
              </w:rPr>
              <w:t xml:space="preserve"> should be read in conjunction with it. Please see </w:t>
            </w:r>
            <w:hyperlink r:id="rId22" w:history="1">
              <w:r w:rsidRPr="00504F30">
                <w:rPr>
                  <w:rStyle w:val="Hyperlink"/>
                  <w:rFonts w:cs="Arial"/>
                </w:rPr>
                <w:t>BNF</w:t>
              </w:r>
            </w:hyperlink>
            <w:r w:rsidRPr="00FB404F">
              <w:rPr>
                <w:rFonts w:cs="Arial"/>
              </w:rPr>
              <w:t xml:space="preserve"> &amp; </w:t>
            </w:r>
            <w:hyperlink r:id="rId23" w:history="1">
              <w:r w:rsidRPr="00504F30">
                <w:rPr>
                  <w:rStyle w:val="Hyperlink"/>
                  <w:rFonts w:cs="Arial"/>
                </w:rPr>
                <w:t>SPC</w:t>
              </w:r>
            </w:hyperlink>
            <w:r w:rsidRPr="00FB404F">
              <w:rPr>
                <w:rFonts w:cs="Arial"/>
              </w:rPr>
              <w:t xml:space="preserve"> for comprehensive information.</w:t>
            </w:r>
          </w:p>
          <w:p w14:paraId="471E92D6" w14:textId="77777777" w:rsidR="00330B76" w:rsidRDefault="00330B76" w:rsidP="00330B76">
            <w:pPr>
              <w:rPr>
                <w:rFonts w:cs="Arial"/>
              </w:rPr>
            </w:pPr>
          </w:p>
          <w:p w14:paraId="7AF3ED69" w14:textId="77777777" w:rsidR="00330B76" w:rsidRPr="008A05AC" w:rsidRDefault="00330B76" w:rsidP="00330B76">
            <w:pPr>
              <w:pStyle w:val="Heading4"/>
            </w:pPr>
            <w:r w:rsidRPr="008A05AC">
              <w:t>Contraindications:</w:t>
            </w:r>
          </w:p>
          <w:p w14:paraId="7AE7D4E5" w14:textId="77777777" w:rsidR="00330B76" w:rsidRPr="008A05AC" w:rsidRDefault="00330B76" w:rsidP="00330B76">
            <w:pPr>
              <w:pStyle w:val="ListParagraph"/>
              <w:numPr>
                <w:ilvl w:val="0"/>
                <w:numId w:val="12"/>
              </w:numPr>
            </w:pPr>
            <w:r w:rsidRPr="008A05AC">
              <w:t>Hypersensitivity to methotrexate or any excipients.</w:t>
            </w:r>
          </w:p>
          <w:p w14:paraId="2ADF49DB" w14:textId="77777777" w:rsidR="00330B76" w:rsidRPr="008A05AC" w:rsidRDefault="00330B76" w:rsidP="00330B76">
            <w:pPr>
              <w:pStyle w:val="ListParagraph"/>
              <w:numPr>
                <w:ilvl w:val="0"/>
                <w:numId w:val="12"/>
              </w:numPr>
            </w:pPr>
            <w:r w:rsidRPr="008A05AC">
              <w:t>Significant hepatic impairment.</w:t>
            </w:r>
          </w:p>
          <w:p w14:paraId="5321295A" w14:textId="77777777" w:rsidR="00330B76" w:rsidRPr="008A05AC" w:rsidRDefault="00330B76" w:rsidP="00330B76">
            <w:pPr>
              <w:pStyle w:val="ListParagraph"/>
              <w:numPr>
                <w:ilvl w:val="0"/>
                <w:numId w:val="12"/>
              </w:numPr>
            </w:pPr>
            <w:r w:rsidRPr="008A05AC">
              <w:t>Ascites or pleural effusion: drain prior to treatment to reduce the risk of methotrexate accumulation.</w:t>
            </w:r>
          </w:p>
          <w:p w14:paraId="3A3C56E2" w14:textId="31EC2B35" w:rsidR="00330B76" w:rsidRPr="008A05AC" w:rsidRDefault="00330B76" w:rsidP="00330B76">
            <w:pPr>
              <w:pStyle w:val="ListParagraph"/>
              <w:numPr>
                <w:ilvl w:val="0"/>
                <w:numId w:val="12"/>
              </w:numPr>
            </w:pPr>
            <w:r w:rsidRPr="008A05AC">
              <w:t xml:space="preserve">Significant renal impairment – </w:t>
            </w:r>
            <w:r w:rsidR="00EF526B">
              <w:t xml:space="preserve">SPC advises </w:t>
            </w:r>
            <w:r w:rsidRPr="008A05AC">
              <w:t>creatinine clearance (</w:t>
            </w:r>
            <w:proofErr w:type="spellStart"/>
            <w:r w:rsidRPr="008A05AC">
              <w:t>CrCl</w:t>
            </w:r>
            <w:proofErr w:type="spellEnd"/>
            <w:r w:rsidRPr="008A05AC">
              <w:t>) less than 30 mL/min.</w:t>
            </w:r>
            <w:r w:rsidR="00EF526B">
              <w:t xml:space="preserve">, however </w:t>
            </w:r>
            <w:r w:rsidR="00480A9B">
              <w:t>rheumatologists would take an individualised approach</w:t>
            </w:r>
            <w:r w:rsidR="00E36D65">
              <w:t xml:space="preserve"> considering age and frailty </w:t>
            </w:r>
            <w:proofErr w:type="gramStart"/>
            <w:r w:rsidR="00E36D65">
              <w:t>and also</w:t>
            </w:r>
            <w:proofErr w:type="gramEnd"/>
            <w:r w:rsidR="00E36D65">
              <w:t xml:space="preserve"> whether decline in renal function acute or chronic.</w:t>
            </w:r>
          </w:p>
          <w:p w14:paraId="37DDF93D" w14:textId="77777777" w:rsidR="00330B76" w:rsidRPr="008A05AC" w:rsidRDefault="00330B76" w:rsidP="00330B76">
            <w:pPr>
              <w:pStyle w:val="ListParagraph"/>
              <w:numPr>
                <w:ilvl w:val="0"/>
                <w:numId w:val="12"/>
              </w:numPr>
            </w:pPr>
            <w:r w:rsidRPr="008A05AC">
              <w:t>Severe infections (acute or chronic) or immunodeficiency syndromes.</w:t>
            </w:r>
          </w:p>
          <w:p w14:paraId="59AF6A88" w14:textId="4AFBF33E" w:rsidR="00330B76" w:rsidRPr="008A05AC" w:rsidRDefault="00330B76" w:rsidP="00330B76">
            <w:pPr>
              <w:pStyle w:val="ListParagraph"/>
              <w:numPr>
                <w:ilvl w:val="0"/>
                <w:numId w:val="12"/>
              </w:numPr>
            </w:pPr>
            <w:r w:rsidRPr="008A05AC">
              <w:t xml:space="preserve">Known active </w:t>
            </w:r>
            <w:r>
              <w:t>gastrointestinal</w:t>
            </w:r>
            <w:r w:rsidRPr="008A05AC">
              <w:t xml:space="preserve"> ulceration</w:t>
            </w:r>
            <w:r>
              <w:t>, stomatitis, or ulcers of the oral cavity</w:t>
            </w:r>
            <w:r w:rsidRPr="008A05AC">
              <w:t>.</w:t>
            </w:r>
          </w:p>
          <w:p w14:paraId="3996C749" w14:textId="77777777" w:rsidR="00330B76" w:rsidRPr="008A05AC" w:rsidRDefault="00330B76" w:rsidP="00330B76">
            <w:pPr>
              <w:pStyle w:val="ListParagraph"/>
              <w:numPr>
                <w:ilvl w:val="0"/>
                <w:numId w:val="12"/>
              </w:numPr>
            </w:pPr>
            <w:r w:rsidRPr="008A05AC">
              <w:t>Pregnancy and breast-feeding.</w:t>
            </w:r>
          </w:p>
          <w:p w14:paraId="68681A3A" w14:textId="77777777" w:rsidR="00330B76" w:rsidRPr="008A05AC" w:rsidRDefault="00330B76" w:rsidP="00330B76">
            <w:pPr>
              <w:pStyle w:val="ListParagraph"/>
              <w:numPr>
                <w:ilvl w:val="0"/>
                <w:numId w:val="12"/>
              </w:numPr>
            </w:pPr>
            <w:r w:rsidRPr="008A05AC">
              <w:t xml:space="preserve">Vaccination with live vaccines during treatment with methotrexate at </w:t>
            </w:r>
            <w:r>
              <w:t>i</w:t>
            </w:r>
            <w:r w:rsidRPr="008A05AC">
              <w:t xml:space="preserve">mmunosuppressive doses. See </w:t>
            </w:r>
            <w:hyperlink w:anchor="nine_interactions" w:history="1">
              <w:r w:rsidRPr="008A05AC">
                <w:rPr>
                  <w:rStyle w:val="Hyperlink"/>
                </w:rPr>
                <w:t>section 9</w:t>
              </w:r>
            </w:hyperlink>
            <w:r w:rsidRPr="008A05AC">
              <w:t xml:space="preserve"> for further detail.</w:t>
            </w:r>
          </w:p>
          <w:p w14:paraId="7CC313AF" w14:textId="77777777" w:rsidR="00330B76" w:rsidRPr="008A05AC" w:rsidRDefault="00330B76" w:rsidP="00330B76">
            <w:pPr>
              <w:pStyle w:val="ListParagraph"/>
              <w:numPr>
                <w:ilvl w:val="0"/>
                <w:numId w:val="12"/>
              </w:numPr>
            </w:pPr>
            <w:r w:rsidRPr="008A05AC">
              <w:t xml:space="preserve">Concomitant use of medicines with anti-folate properties, e.g. trimethoprim, co-trimoxazole (see </w:t>
            </w:r>
            <w:hyperlink w:anchor="nine_interactions" w:history="1">
              <w:r w:rsidRPr="008A05AC">
                <w:rPr>
                  <w:rStyle w:val="Hyperlink"/>
                </w:rPr>
                <w:t>section 9</w:t>
              </w:r>
            </w:hyperlink>
            <w:r w:rsidRPr="008A05AC">
              <w:t>).</w:t>
            </w:r>
          </w:p>
          <w:p w14:paraId="62D72100" w14:textId="77777777" w:rsidR="00330B76" w:rsidRDefault="00330B76" w:rsidP="00330B76">
            <w:pPr>
              <w:spacing w:line="259" w:lineRule="auto"/>
            </w:pPr>
          </w:p>
          <w:p w14:paraId="7219E3B9" w14:textId="77777777" w:rsidR="00330B76" w:rsidRPr="008A05AC" w:rsidRDefault="00330B76" w:rsidP="00330B76">
            <w:pPr>
              <w:pStyle w:val="Heading4"/>
            </w:pPr>
            <w:r w:rsidRPr="008A05AC">
              <w:t>Cautions:</w:t>
            </w:r>
          </w:p>
          <w:p w14:paraId="66423188" w14:textId="77777777" w:rsidR="00330B76" w:rsidRPr="008A05AC" w:rsidRDefault="00330B76" w:rsidP="00330B76">
            <w:pPr>
              <w:pStyle w:val="ListParagraph"/>
              <w:numPr>
                <w:ilvl w:val="0"/>
                <w:numId w:val="11"/>
              </w:numPr>
            </w:pPr>
            <w:r w:rsidRPr="008A05AC">
              <w:t>Renal impairment: dose reduction required (</w:t>
            </w:r>
            <w:hyperlink w:anchor="four_dosing" w:history="1">
              <w:r w:rsidRPr="008A05AC">
                <w:rPr>
                  <w:rStyle w:val="Hyperlink"/>
                </w:rPr>
                <w:t>section 4</w:t>
              </w:r>
            </w:hyperlink>
            <w:r w:rsidRPr="008A05AC">
              <w:t>).</w:t>
            </w:r>
          </w:p>
          <w:p w14:paraId="14731C08" w14:textId="77777777" w:rsidR="00330B76" w:rsidRPr="008A05AC" w:rsidRDefault="00330B76" w:rsidP="00330B76">
            <w:pPr>
              <w:pStyle w:val="ListParagraph"/>
              <w:numPr>
                <w:ilvl w:val="0"/>
                <w:numId w:val="11"/>
              </w:numPr>
            </w:pPr>
            <w:r w:rsidRPr="008A05AC">
              <w:t>Alcohol dependence.</w:t>
            </w:r>
          </w:p>
          <w:p w14:paraId="1F07086B" w14:textId="77777777" w:rsidR="00330B76" w:rsidRPr="008A05AC" w:rsidRDefault="00330B76" w:rsidP="00330B76">
            <w:pPr>
              <w:pStyle w:val="ListParagraph"/>
              <w:numPr>
                <w:ilvl w:val="0"/>
                <w:numId w:val="11"/>
              </w:numPr>
            </w:pPr>
            <w:r w:rsidRPr="008A05AC">
              <w:t xml:space="preserve">Hepatic impairment, particularly if due to alcohol use. </w:t>
            </w:r>
          </w:p>
          <w:p w14:paraId="6BDABC79" w14:textId="77777777" w:rsidR="00330B76" w:rsidRPr="008A05AC" w:rsidRDefault="00330B76" w:rsidP="00330B76">
            <w:pPr>
              <w:pStyle w:val="ListParagraph"/>
              <w:numPr>
                <w:ilvl w:val="0"/>
                <w:numId w:val="11"/>
              </w:numPr>
            </w:pPr>
            <w:r w:rsidRPr="008A05AC">
              <w:t xml:space="preserve">Pre-existing blood dyscrasias or disorders, including bone marrow hypoplasia, </w:t>
            </w:r>
            <w:proofErr w:type="spellStart"/>
            <w:r w:rsidRPr="008A05AC">
              <w:t>leucopenia</w:t>
            </w:r>
            <w:proofErr w:type="spellEnd"/>
            <w:r w:rsidRPr="008A05AC">
              <w:t xml:space="preserve">, thrombocytopenia, or significant anaemia. Confirm to primary care that any underlying dyscrasias have been considered, and whether any change to standard monitoring in </w:t>
            </w:r>
            <w:hyperlink w:anchor="six_monitoring" w:history="1">
              <w:r w:rsidRPr="008A05AC">
                <w:rPr>
                  <w:rStyle w:val="Hyperlink"/>
                </w:rPr>
                <w:t>section 6</w:t>
              </w:r>
            </w:hyperlink>
            <w:r w:rsidRPr="008A05AC">
              <w:t xml:space="preserve"> is required. </w:t>
            </w:r>
          </w:p>
          <w:p w14:paraId="417D525C" w14:textId="77777777" w:rsidR="00330B76" w:rsidRPr="008A05AC" w:rsidRDefault="00330B76" w:rsidP="00330B76">
            <w:pPr>
              <w:pStyle w:val="ListParagraph"/>
              <w:numPr>
                <w:ilvl w:val="0"/>
                <w:numId w:val="11"/>
              </w:numPr>
            </w:pPr>
            <w:r w:rsidRPr="008A05AC">
              <w:t>Respiratory disease.</w:t>
            </w:r>
          </w:p>
          <w:p w14:paraId="7FCD7C8B" w14:textId="77777777" w:rsidR="00330B76" w:rsidRPr="008A05AC" w:rsidRDefault="00330B76" w:rsidP="00330B76">
            <w:pPr>
              <w:pStyle w:val="ListParagraph"/>
              <w:numPr>
                <w:ilvl w:val="0"/>
                <w:numId w:val="11"/>
              </w:numPr>
            </w:pPr>
            <w:r w:rsidRPr="008A05AC">
              <w:t xml:space="preserve">Concomitant use with hepatotoxic or </w:t>
            </w:r>
            <w:proofErr w:type="spellStart"/>
            <w:r w:rsidRPr="008A05AC">
              <w:t>haematotoxic</w:t>
            </w:r>
            <w:proofErr w:type="spellEnd"/>
            <w:r w:rsidRPr="008A05AC">
              <w:t xml:space="preserve"> medicines (see </w:t>
            </w:r>
            <w:hyperlink w:anchor="nine_interactions" w:history="1">
              <w:r w:rsidRPr="008A05AC">
                <w:rPr>
                  <w:rStyle w:val="Hyperlink"/>
                </w:rPr>
                <w:t>section 9</w:t>
              </w:r>
            </w:hyperlink>
            <w:r w:rsidRPr="008A05AC">
              <w:t>).</w:t>
            </w:r>
          </w:p>
          <w:p w14:paraId="092FDAA2" w14:textId="77777777" w:rsidR="00330B76" w:rsidRPr="008A05AC" w:rsidRDefault="00330B76" w:rsidP="00330B76">
            <w:pPr>
              <w:pStyle w:val="ListParagraph"/>
              <w:numPr>
                <w:ilvl w:val="0"/>
                <w:numId w:val="11"/>
              </w:numPr>
            </w:pPr>
            <w:r w:rsidRPr="008A05AC">
              <w:t xml:space="preserve">History of ulcers of the oral cavity, ulcerative stomatitis, gastrointestinal ulcers or ulcerative colitis. </w:t>
            </w:r>
          </w:p>
          <w:p w14:paraId="0BE32F54" w14:textId="77777777" w:rsidR="00330B76" w:rsidRPr="008A05AC" w:rsidRDefault="00330B76" w:rsidP="00330B76">
            <w:pPr>
              <w:pStyle w:val="ListParagraph"/>
              <w:numPr>
                <w:ilvl w:val="0"/>
                <w:numId w:val="11"/>
              </w:numPr>
            </w:pPr>
            <w:r w:rsidRPr="008A05AC">
              <w:t>History of chronic or recurrent infection (e.g. frequent infective COPD exacerbations, or recurrent urinary tract infection).</w:t>
            </w:r>
          </w:p>
          <w:p w14:paraId="259B5F04" w14:textId="77777777" w:rsidR="00330B76" w:rsidRPr="008A05AC" w:rsidRDefault="00330B76" w:rsidP="00330B76">
            <w:pPr>
              <w:pStyle w:val="ListParagraph"/>
              <w:numPr>
                <w:ilvl w:val="0"/>
                <w:numId w:val="11"/>
              </w:numPr>
            </w:pPr>
            <w:r w:rsidRPr="008A05AC">
              <w:t>Frail or elderly – consider reduced dose.</w:t>
            </w:r>
          </w:p>
          <w:p w14:paraId="5498EA74" w14:textId="77777777" w:rsidR="00330B76" w:rsidRDefault="00330B76" w:rsidP="00330B76">
            <w:pPr>
              <w:pStyle w:val="ListParagraph"/>
              <w:numPr>
                <w:ilvl w:val="0"/>
                <w:numId w:val="11"/>
              </w:numPr>
            </w:pPr>
            <w:r w:rsidRPr="008A05AC">
              <w:t>Conditions which increase the risk of dehydration (e.g. vomiting) may increase the risk of toxicity. Consider interrupting treatment until symptoms cease.</w:t>
            </w:r>
          </w:p>
          <w:p w14:paraId="0967415B" w14:textId="77777777" w:rsidR="00330B76" w:rsidRPr="00FB404F" w:rsidRDefault="00330B76" w:rsidP="00330B76">
            <w:pPr>
              <w:pStyle w:val="ListParagraph"/>
              <w:numPr>
                <w:ilvl w:val="0"/>
                <w:numId w:val="11"/>
              </w:numPr>
            </w:pPr>
            <w:r>
              <w:t>Psychiatric disorders</w:t>
            </w:r>
          </w:p>
          <w:p w14:paraId="456B90AA" w14:textId="4916CF68" w:rsidR="00330B76" w:rsidRPr="007A56FB" w:rsidRDefault="00330B76" w:rsidP="00330B76">
            <w:pPr>
              <w:rPr>
                <w:rFonts w:cs="Arial"/>
              </w:rPr>
            </w:pPr>
          </w:p>
        </w:tc>
      </w:tr>
      <w:tr w:rsidR="00330B76" w:rsidRPr="00F321FC" w14:paraId="11E3D793" w14:textId="77777777" w:rsidTr="00330B76">
        <w:tc>
          <w:tcPr>
            <w:tcW w:w="2407" w:type="dxa"/>
          </w:tcPr>
          <w:p w14:paraId="1E8C8FBF" w14:textId="3ED10190" w:rsidR="00330B76" w:rsidRPr="00F321FC" w:rsidRDefault="00330B76" w:rsidP="00330B76">
            <w:pPr>
              <w:pStyle w:val="Heading2"/>
              <w:rPr>
                <w:rFonts w:cs="Arial"/>
              </w:rPr>
            </w:pPr>
            <w:bookmarkStart w:id="15" w:name="nine_interactions"/>
            <w:bookmarkStart w:id="16" w:name="_Toc149231793"/>
            <w:r w:rsidRPr="00F321FC">
              <w:rPr>
                <w:rFonts w:cs="Arial"/>
              </w:rPr>
              <w:t>Significant drug interactions</w:t>
            </w:r>
            <w:bookmarkEnd w:id="15"/>
            <w:bookmarkEnd w:id="16"/>
          </w:p>
        </w:tc>
        <w:tc>
          <w:tcPr>
            <w:tcW w:w="8054" w:type="dxa"/>
          </w:tcPr>
          <w:p w14:paraId="1BE8A2A1" w14:textId="77777777" w:rsidR="00330B76" w:rsidRDefault="00330B76" w:rsidP="00330B76">
            <w:pPr>
              <w:rPr>
                <w:rFonts w:cs="Arial"/>
              </w:rPr>
            </w:pPr>
            <w:r w:rsidRPr="00FB404F">
              <w:rPr>
                <w:rFonts w:cs="Arial"/>
              </w:rPr>
              <w:t xml:space="preserve">The following list is not exhaustive. Please see </w:t>
            </w:r>
            <w:hyperlink r:id="rId24" w:history="1">
              <w:r w:rsidRPr="00504F30">
                <w:rPr>
                  <w:rStyle w:val="Hyperlink"/>
                  <w:rFonts w:cs="Arial"/>
                </w:rPr>
                <w:t>BNF</w:t>
              </w:r>
            </w:hyperlink>
            <w:r w:rsidRPr="00FB404F">
              <w:rPr>
                <w:rFonts w:cs="Arial"/>
              </w:rPr>
              <w:t xml:space="preserve"> </w:t>
            </w:r>
            <w:r>
              <w:rPr>
                <w:rFonts w:cs="Arial"/>
              </w:rPr>
              <w:t>&amp;</w:t>
            </w:r>
            <w:r w:rsidRPr="00FB404F">
              <w:rPr>
                <w:rFonts w:cs="Arial"/>
              </w:rPr>
              <w:t xml:space="preserve"> </w:t>
            </w:r>
            <w:hyperlink r:id="rId25" w:history="1">
              <w:r w:rsidRPr="00504F30">
                <w:rPr>
                  <w:rStyle w:val="Hyperlink"/>
                  <w:rFonts w:cs="Arial"/>
                </w:rPr>
                <w:t>SPC</w:t>
              </w:r>
            </w:hyperlink>
            <w:r w:rsidRPr="00FB404F">
              <w:rPr>
                <w:rFonts w:cs="Arial"/>
              </w:rPr>
              <w:t xml:space="preserve"> for comprehensive information and recommended management.</w:t>
            </w:r>
          </w:p>
          <w:p w14:paraId="46B3C14C" w14:textId="77777777" w:rsidR="00330B76" w:rsidRDefault="00330B76" w:rsidP="00330B76">
            <w:pPr>
              <w:rPr>
                <w:rFonts w:cs="Arial"/>
              </w:rPr>
            </w:pPr>
          </w:p>
          <w:p w14:paraId="790B4D08" w14:textId="77777777" w:rsidR="00330B76" w:rsidRPr="008A05AC" w:rsidRDefault="00330B76" w:rsidP="00330B76">
            <w:pPr>
              <w:rPr>
                <w:rFonts w:cs="Arial"/>
                <w:b/>
                <w:bCs/>
              </w:rPr>
            </w:pPr>
            <w:r w:rsidRPr="008A05AC">
              <w:rPr>
                <w:rFonts w:cs="Arial"/>
                <w:b/>
                <w:bCs/>
              </w:rPr>
              <w:t xml:space="preserve">Methotrexate is associated with </w:t>
            </w:r>
            <w:proofErr w:type="gramStart"/>
            <w:r w:rsidRPr="008A05AC">
              <w:rPr>
                <w:rFonts w:cs="Arial"/>
                <w:b/>
                <w:bCs/>
              </w:rPr>
              <w:t>a large number of</w:t>
            </w:r>
            <w:proofErr w:type="gramEnd"/>
            <w:r w:rsidRPr="008A05AC">
              <w:rPr>
                <w:rFonts w:cs="Arial"/>
                <w:b/>
                <w:bCs/>
              </w:rPr>
              <w:t xml:space="preserve"> interactions, some of which are significant enough to contraindicate concurrent use, require dose adjustment and/or additional monitoring (see </w:t>
            </w:r>
            <w:hyperlink w:anchor="eight_cautions_cx" w:history="1">
              <w:r w:rsidRPr="008A05AC">
                <w:rPr>
                  <w:rStyle w:val="Hyperlink"/>
                  <w:rFonts w:cs="Arial"/>
                  <w:b/>
                  <w:bCs/>
                </w:rPr>
                <w:t>section 8</w:t>
              </w:r>
            </w:hyperlink>
            <w:r w:rsidRPr="008A05AC">
              <w:rPr>
                <w:rFonts w:cs="Arial"/>
                <w:b/>
                <w:bCs/>
              </w:rPr>
              <w:t xml:space="preserve">). Additional interactions which become relevant at higher doses (e.g. those used in oncology) are not included. </w:t>
            </w:r>
          </w:p>
          <w:p w14:paraId="41973699" w14:textId="77777777" w:rsidR="00330B76" w:rsidRPr="008A05AC" w:rsidRDefault="00330B76" w:rsidP="00330B76">
            <w:pPr>
              <w:pStyle w:val="ListParagraph"/>
              <w:numPr>
                <w:ilvl w:val="0"/>
                <w:numId w:val="13"/>
              </w:numPr>
              <w:rPr>
                <w:rFonts w:cs="Arial"/>
              </w:rPr>
            </w:pPr>
            <w:r w:rsidRPr="008A05AC">
              <w:rPr>
                <w:rFonts w:cs="Arial"/>
              </w:rPr>
              <w:t xml:space="preserve">Co-administration of medicinal products which cause folate deficiency (e.g. </w:t>
            </w:r>
            <w:r w:rsidRPr="008A05AC">
              <w:rPr>
                <w:rFonts w:cs="Arial"/>
                <w:b/>
                <w:bCs/>
              </w:rPr>
              <w:t>trimethoprim</w:t>
            </w:r>
            <w:r w:rsidRPr="008A05AC">
              <w:rPr>
                <w:rFonts w:cs="Arial"/>
              </w:rPr>
              <w:t xml:space="preserve"> and </w:t>
            </w:r>
            <w:r w:rsidRPr="008A05AC">
              <w:rPr>
                <w:rFonts w:cs="Arial"/>
                <w:b/>
                <w:bCs/>
              </w:rPr>
              <w:t>co-trimoxazole</w:t>
            </w:r>
            <w:r w:rsidRPr="008A05AC">
              <w:rPr>
                <w:rFonts w:cs="Arial"/>
              </w:rPr>
              <w:t xml:space="preserve">) can lead to increased methotrexate toxicity and is contraindicated (see </w:t>
            </w:r>
            <w:hyperlink w:anchor="eight_cautions_cx" w:history="1">
              <w:r w:rsidRPr="008A05AC">
                <w:rPr>
                  <w:rStyle w:val="Hyperlink"/>
                  <w:rFonts w:cs="Arial"/>
                </w:rPr>
                <w:t>section 8</w:t>
              </w:r>
            </w:hyperlink>
            <w:r w:rsidRPr="008A05AC">
              <w:rPr>
                <w:rFonts w:cs="Arial"/>
              </w:rPr>
              <w:t xml:space="preserve">). </w:t>
            </w:r>
            <w:proofErr w:type="gramStart"/>
            <w:r w:rsidRPr="008A05AC">
              <w:rPr>
                <w:rFonts w:cs="Arial"/>
              </w:rPr>
              <w:t>Particular caution</w:t>
            </w:r>
            <w:proofErr w:type="gramEnd"/>
            <w:r w:rsidRPr="008A05AC">
              <w:rPr>
                <w:rFonts w:cs="Arial"/>
              </w:rPr>
              <w:t xml:space="preserve"> should therefore also be exercised in the presence of existing folic acid deficiency. </w:t>
            </w:r>
          </w:p>
          <w:p w14:paraId="61166DD0" w14:textId="77777777" w:rsidR="00330B76" w:rsidRPr="008A05AC" w:rsidRDefault="00330B76" w:rsidP="00330B76">
            <w:pPr>
              <w:pStyle w:val="ListParagraph"/>
              <w:numPr>
                <w:ilvl w:val="0"/>
                <w:numId w:val="13"/>
              </w:numPr>
              <w:rPr>
                <w:rFonts w:cs="Arial"/>
              </w:rPr>
            </w:pPr>
            <w:r w:rsidRPr="008A05AC">
              <w:rPr>
                <w:rFonts w:cs="Arial"/>
                <w:b/>
                <w:bCs/>
              </w:rPr>
              <w:t>Leflunomide</w:t>
            </w:r>
            <w:r w:rsidRPr="008A05AC">
              <w:rPr>
                <w:rFonts w:cs="Arial"/>
              </w:rPr>
              <w:t xml:space="preserve">: increased risk of bone marrow and liver toxicity; increased monitoring and vigilance required. </w:t>
            </w:r>
          </w:p>
          <w:p w14:paraId="347FA36C" w14:textId="77777777" w:rsidR="00330B76" w:rsidRPr="008A05AC" w:rsidRDefault="00330B76" w:rsidP="00330B76">
            <w:pPr>
              <w:pStyle w:val="ListParagraph"/>
              <w:numPr>
                <w:ilvl w:val="0"/>
                <w:numId w:val="13"/>
              </w:numPr>
              <w:rPr>
                <w:rFonts w:cs="Arial"/>
              </w:rPr>
            </w:pPr>
            <w:r w:rsidRPr="008A05AC">
              <w:rPr>
                <w:rFonts w:cs="Arial"/>
                <w:b/>
                <w:bCs/>
              </w:rPr>
              <w:t>Ciclosporin</w:t>
            </w:r>
            <w:r w:rsidRPr="008A05AC">
              <w:rPr>
                <w:rFonts w:cs="Arial"/>
              </w:rPr>
              <w:t>: increased risk of nephrotoxicity and methotrexate toxicity.</w:t>
            </w:r>
          </w:p>
          <w:p w14:paraId="1FAD3E6D" w14:textId="77777777" w:rsidR="00330B76" w:rsidRPr="008A05AC" w:rsidRDefault="00330B76" w:rsidP="00330B76">
            <w:pPr>
              <w:pStyle w:val="ListParagraph"/>
              <w:numPr>
                <w:ilvl w:val="0"/>
                <w:numId w:val="13"/>
              </w:numPr>
              <w:rPr>
                <w:rFonts w:cs="Arial"/>
              </w:rPr>
            </w:pPr>
            <w:r w:rsidRPr="008A05AC">
              <w:rPr>
                <w:rFonts w:cs="Arial"/>
                <w:b/>
                <w:bCs/>
              </w:rPr>
              <w:t>Azathioprine</w:t>
            </w:r>
            <w:r w:rsidRPr="008A05AC">
              <w:rPr>
                <w:rFonts w:cs="Arial"/>
              </w:rPr>
              <w:t xml:space="preserve"> and </w:t>
            </w:r>
            <w:r w:rsidRPr="008A05AC">
              <w:rPr>
                <w:rFonts w:cs="Arial"/>
                <w:b/>
                <w:bCs/>
              </w:rPr>
              <w:t>mercaptopurine</w:t>
            </w:r>
            <w:r w:rsidRPr="008A05AC">
              <w:rPr>
                <w:rFonts w:cs="Arial"/>
              </w:rPr>
              <w:t>: not advised due to increased risk of toxicity.</w:t>
            </w:r>
            <w:r>
              <w:rPr>
                <w:rFonts w:cs="Arial"/>
              </w:rPr>
              <w:t xml:space="preserve"> If this combination is used, dose adjustment of the thiopurine may be required.</w:t>
            </w:r>
          </w:p>
          <w:p w14:paraId="5440AD6B" w14:textId="21E02313" w:rsidR="00330B76" w:rsidRPr="008A05AC" w:rsidRDefault="00330B76" w:rsidP="00330B76">
            <w:pPr>
              <w:pStyle w:val="ListParagraph"/>
              <w:numPr>
                <w:ilvl w:val="0"/>
                <w:numId w:val="13"/>
              </w:numPr>
              <w:rPr>
                <w:rFonts w:cs="Arial"/>
              </w:rPr>
            </w:pPr>
            <w:r w:rsidRPr="008A05AC">
              <w:rPr>
                <w:rFonts w:cs="Arial"/>
                <w:b/>
                <w:bCs/>
              </w:rPr>
              <w:t>Sulfasalazine</w:t>
            </w:r>
            <w:r w:rsidRPr="008A05AC">
              <w:rPr>
                <w:rFonts w:cs="Arial"/>
              </w:rPr>
              <w:t xml:space="preserve">: may increase risk of bone marrow and </w:t>
            </w:r>
            <w:r>
              <w:rPr>
                <w:rFonts w:cs="Arial"/>
              </w:rPr>
              <w:t>renal</w:t>
            </w:r>
            <w:r w:rsidRPr="008A05AC">
              <w:rPr>
                <w:rFonts w:cs="Arial"/>
              </w:rPr>
              <w:t xml:space="preserve"> toxicity. However, this combination is used in clinical practice without incident. Be aware of trends in monitoring parameters. </w:t>
            </w:r>
          </w:p>
          <w:p w14:paraId="5049C932" w14:textId="77777777" w:rsidR="00330B76" w:rsidRPr="008A05AC" w:rsidRDefault="00330B76" w:rsidP="00330B76">
            <w:pPr>
              <w:pStyle w:val="ListParagraph"/>
              <w:numPr>
                <w:ilvl w:val="0"/>
                <w:numId w:val="13"/>
              </w:numPr>
              <w:rPr>
                <w:rFonts w:cs="Arial"/>
              </w:rPr>
            </w:pPr>
            <w:r w:rsidRPr="008A05AC">
              <w:rPr>
                <w:rFonts w:cs="Arial"/>
                <w:b/>
                <w:bCs/>
              </w:rPr>
              <w:t xml:space="preserve">Drugs with hepatotoxic, </w:t>
            </w:r>
            <w:proofErr w:type="spellStart"/>
            <w:r w:rsidRPr="008A05AC">
              <w:rPr>
                <w:rFonts w:cs="Arial"/>
                <w:b/>
                <w:bCs/>
              </w:rPr>
              <w:t>haematotoxic</w:t>
            </w:r>
            <w:proofErr w:type="spellEnd"/>
            <w:r w:rsidRPr="008A05AC">
              <w:rPr>
                <w:rFonts w:cs="Arial"/>
                <w:b/>
                <w:bCs/>
              </w:rPr>
              <w:t xml:space="preserve"> or nephrotoxic effects</w:t>
            </w:r>
            <w:r w:rsidRPr="008A05AC">
              <w:rPr>
                <w:rFonts w:cs="Arial"/>
              </w:rPr>
              <w:t xml:space="preserve">: Increased frequency of monitoring may be recommended. </w:t>
            </w:r>
          </w:p>
          <w:p w14:paraId="39B86F83" w14:textId="4E3E187D" w:rsidR="00330B76" w:rsidRPr="008A05AC" w:rsidRDefault="00330B76" w:rsidP="00330B76">
            <w:pPr>
              <w:pStyle w:val="ListParagraph"/>
              <w:numPr>
                <w:ilvl w:val="0"/>
                <w:numId w:val="13"/>
              </w:numPr>
              <w:rPr>
                <w:rFonts w:cs="Arial"/>
              </w:rPr>
            </w:pPr>
            <w:r w:rsidRPr="008A05AC">
              <w:rPr>
                <w:rFonts w:cs="Arial"/>
                <w:b/>
                <w:bCs/>
              </w:rPr>
              <w:t>Live vaccines</w:t>
            </w:r>
            <w:r w:rsidRPr="008A05AC">
              <w:rPr>
                <w:rFonts w:cs="Arial"/>
              </w:rPr>
              <w:t xml:space="preserve"> (e.g. oral typhoid, MMR, BCG,) are advised in line with the national schedule for all patients, unless the patient is taking a dose of methotrexate or other immunosuppressive drug that exceeds those specified in the </w:t>
            </w:r>
            <w:hyperlink r:id="rId26" w:history="1">
              <w:r w:rsidRPr="008A05AC">
                <w:rPr>
                  <w:rStyle w:val="Hyperlink"/>
                  <w:rFonts w:cs="Arial"/>
                </w:rPr>
                <w:t>Green Book</w:t>
              </w:r>
            </w:hyperlink>
            <w:r w:rsidRPr="008A05AC">
              <w:rPr>
                <w:rFonts w:cs="Arial"/>
              </w:rPr>
              <w:t xml:space="preserve">. Doses below this level are not considered sufficiently immunosuppressive and these patients can receive live vaccines. Clinician discretion is advised. Please refer to the </w:t>
            </w:r>
            <w:hyperlink r:id="rId27" w:history="1">
              <w:r w:rsidRPr="008A05AC">
                <w:rPr>
                  <w:rStyle w:val="Hyperlink"/>
                  <w:rFonts w:cs="Arial"/>
                </w:rPr>
                <w:t>Green Book Chapter 6</w:t>
              </w:r>
            </w:hyperlink>
            <w:r w:rsidRPr="008A05AC">
              <w:rPr>
                <w:rFonts w:cs="Arial"/>
              </w:rPr>
              <w:t xml:space="preserve"> for current advice.</w:t>
            </w:r>
          </w:p>
          <w:p w14:paraId="739AC117" w14:textId="6A74E593" w:rsidR="00330B76" w:rsidRPr="00822781" w:rsidRDefault="00330B76" w:rsidP="00330B76">
            <w:pPr>
              <w:pStyle w:val="ListParagraph"/>
              <w:numPr>
                <w:ilvl w:val="0"/>
                <w:numId w:val="13"/>
              </w:numPr>
              <w:rPr>
                <w:rFonts w:cs="Arial"/>
              </w:rPr>
            </w:pPr>
            <w:r w:rsidRPr="00822781">
              <w:rPr>
                <w:rFonts w:cs="Arial"/>
              </w:rPr>
              <w:t xml:space="preserve">Avoid concomitant use of </w:t>
            </w:r>
            <w:proofErr w:type="spellStart"/>
            <w:r w:rsidRPr="00822781">
              <w:rPr>
                <w:rFonts w:cs="Arial"/>
                <w:b/>
                <w:bCs/>
              </w:rPr>
              <w:t>cytotoxics</w:t>
            </w:r>
            <w:proofErr w:type="spellEnd"/>
            <w:r w:rsidRPr="00616DFC">
              <w:rPr>
                <w:rFonts w:cs="Arial"/>
              </w:rPr>
              <w:t xml:space="preserve"> or</w:t>
            </w:r>
            <w:r w:rsidRPr="00822781">
              <w:rPr>
                <w:rFonts w:cs="Arial"/>
              </w:rPr>
              <w:t xml:space="preserve"> </w:t>
            </w:r>
            <w:proofErr w:type="gramStart"/>
            <w:r w:rsidRPr="00822781">
              <w:rPr>
                <w:rFonts w:cs="Arial"/>
                <w:b/>
                <w:bCs/>
              </w:rPr>
              <w:t>clozapine</w:t>
            </w:r>
            <w:r w:rsidRPr="00822781">
              <w:rPr>
                <w:rFonts w:cs="Arial"/>
              </w:rPr>
              <w:t>,:</w:t>
            </w:r>
            <w:proofErr w:type="gramEnd"/>
            <w:r w:rsidRPr="00822781">
              <w:rPr>
                <w:rFonts w:cs="Arial"/>
              </w:rPr>
              <w:t xml:space="preserve"> increased risk of </w:t>
            </w:r>
            <w:r w:rsidRPr="00616DFC">
              <w:rPr>
                <w:rFonts w:cs="Arial"/>
              </w:rPr>
              <w:t>adverse reactions</w:t>
            </w:r>
            <w:r w:rsidRPr="00822781">
              <w:rPr>
                <w:rFonts w:cs="Arial"/>
              </w:rPr>
              <w:t>.</w:t>
            </w:r>
          </w:p>
          <w:p w14:paraId="12EE7AA8" w14:textId="77777777" w:rsidR="00330B76" w:rsidRPr="008A05AC" w:rsidRDefault="00330B76" w:rsidP="00330B76">
            <w:pPr>
              <w:pStyle w:val="ListParagraph"/>
              <w:numPr>
                <w:ilvl w:val="0"/>
                <w:numId w:val="13"/>
              </w:numPr>
              <w:rPr>
                <w:rFonts w:cs="Arial"/>
              </w:rPr>
            </w:pPr>
            <w:r w:rsidRPr="008A05AC">
              <w:rPr>
                <w:rFonts w:cs="Arial"/>
                <w:b/>
                <w:bCs/>
              </w:rPr>
              <w:t>Retinoids</w:t>
            </w:r>
            <w:r w:rsidRPr="008A05AC">
              <w:rPr>
                <w:rFonts w:cs="Arial"/>
              </w:rPr>
              <w:t xml:space="preserve">: increased risk of </w:t>
            </w:r>
            <w:proofErr w:type="gramStart"/>
            <w:r w:rsidRPr="008A05AC">
              <w:rPr>
                <w:rFonts w:cs="Arial"/>
              </w:rPr>
              <w:t>hepatotoxicity, and</w:t>
            </w:r>
            <w:proofErr w:type="gramEnd"/>
            <w:r w:rsidRPr="008A05AC">
              <w:rPr>
                <w:rFonts w:cs="Arial"/>
              </w:rPr>
              <w:t xml:space="preserve"> may increase plasma levels of methotrexate.</w:t>
            </w:r>
          </w:p>
          <w:p w14:paraId="61E436B4" w14:textId="77777777" w:rsidR="00330B76" w:rsidRPr="008A05AC" w:rsidRDefault="00330B76" w:rsidP="00330B76">
            <w:pPr>
              <w:pStyle w:val="ListParagraph"/>
              <w:numPr>
                <w:ilvl w:val="0"/>
                <w:numId w:val="13"/>
              </w:numPr>
              <w:rPr>
                <w:rFonts w:cs="Arial"/>
              </w:rPr>
            </w:pPr>
            <w:r w:rsidRPr="008A05AC">
              <w:rPr>
                <w:rFonts w:cs="Arial"/>
                <w:b/>
                <w:bCs/>
              </w:rPr>
              <w:t>Levetiracetam</w:t>
            </w:r>
            <w:r w:rsidRPr="008A05AC">
              <w:rPr>
                <w:rFonts w:cs="Arial"/>
              </w:rPr>
              <w:t>: may increase plasma levels of methotrexate</w:t>
            </w:r>
            <w:r>
              <w:rPr>
                <w:rFonts w:cs="Arial"/>
              </w:rPr>
              <w:t>; manufacturers recommend careful monitoring of methotrexate and levetiracetam levels</w:t>
            </w:r>
            <w:r w:rsidRPr="008A05AC">
              <w:rPr>
                <w:rFonts w:cs="Arial"/>
              </w:rPr>
              <w:t>.</w:t>
            </w:r>
          </w:p>
          <w:p w14:paraId="0B136FA9" w14:textId="77B061F8" w:rsidR="00330B76" w:rsidRPr="008A05AC" w:rsidRDefault="00330B76" w:rsidP="00330B76">
            <w:pPr>
              <w:pStyle w:val="ListParagraph"/>
              <w:numPr>
                <w:ilvl w:val="0"/>
                <w:numId w:val="13"/>
              </w:numPr>
              <w:rPr>
                <w:rFonts w:cs="Arial"/>
              </w:rPr>
            </w:pPr>
            <w:r w:rsidRPr="008A05AC">
              <w:rPr>
                <w:rFonts w:cs="Arial"/>
                <w:b/>
                <w:bCs/>
              </w:rPr>
              <w:t>Nitrous oxide</w:t>
            </w:r>
            <w:r w:rsidRPr="008A05AC">
              <w:rPr>
                <w:rFonts w:cs="Arial"/>
              </w:rPr>
              <w:t xml:space="preserve"> and </w:t>
            </w:r>
            <w:r w:rsidRPr="008A05AC">
              <w:rPr>
                <w:rFonts w:cs="Arial"/>
                <w:b/>
                <w:bCs/>
              </w:rPr>
              <w:t>pyrimethamine</w:t>
            </w:r>
            <w:r w:rsidRPr="008A05AC">
              <w:rPr>
                <w:rFonts w:cs="Arial"/>
              </w:rPr>
              <w:t xml:space="preserve">: increased </w:t>
            </w:r>
            <w:r>
              <w:rPr>
                <w:rFonts w:cs="Arial"/>
              </w:rPr>
              <w:t>risk</w:t>
            </w:r>
            <w:r w:rsidRPr="008A05AC">
              <w:rPr>
                <w:rFonts w:cs="Arial"/>
              </w:rPr>
              <w:t xml:space="preserve"> of methotrexate</w:t>
            </w:r>
            <w:r>
              <w:rPr>
                <w:rFonts w:cs="Arial"/>
              </w:rPr>
              <w:t xml:space="preserve"> toxicity</w:t>
            </w:r>
            <w:r w:rsidRPr="008A05AC">
              <w:rPr>
                <w:rFonts w:cs="Arial"/>
              </w:rPr>
              <w:t>.</w:t>
            </w:r>
            <w:r>
              <w:rPr>
                <w:rFonts w:cs="Arial"/>
              </w:rPr>
              <w:t xml:space="preserve"> Manufacturer advises avoiding concomitant nitrous oxide and methotrexate.</w:t>
            </w:r>
            <w:r w:rsidRPr="008A05AC">
              <w:rPr>
                <w:rFonts w:cs="Arial"/>
              </w:rPr>
              <w:t xml:space="preserve"> </w:t>
            </w:r>
          </w:p>
          <w:p w14:paraId="03AF58D3" w14:textId="77777777" w:rsidR="00330B76" w:rsidRPr="008A05AC" w:rsidRDefault="00330B76" w:rsidP="00330B76">
            <w:pPr>
              <w:pStyle w:val="ListParagraph"/>
              <w:numPr>
                <w:ilvl w:val="0"/>
                <w:numId w:val="13"/>
              </w:numPr>
              <w:rPr>
                <w:rFonts w:cs="Arial"/>
              </w:rPr>
            </w:pPr>
            <w:proofErr w:type="spellStart"/>
            <w:r w:rsidRPr="008A05AC">
              <w:rPr>
                <w:rFonts w:cs="Arial"/>
                <w:b/>
                <w:bCs/>
              </w:rPr>
              <w:t>Lomitapide</w:t>
            </w:r>
            <w:proofErr w:type="spellEnd"/>
            <w:r w:rsidRPr="008A05AC">
              <w:rPr>
                <w:rFonts w:cs="Arial"/>
              </w:rPr>
              <w:t>: increased risk of hepatotoxicity.</w:t>
            </w:r>
          </w:p>
          <w:p w14:paraId="78EF537E" w14:textId="77777777" w:rsidR="00330B76" w:rsidRPr="008A05AC" w:rsidRDefault="00330B76" w:rsidP="00330B76">
            <w:pPr>
              <w:pStyle w:val="ListParagraph"/>
              <w:numPr>
                <w:ilvl w:val="0"/>
                <w:numId w:val="13"/>
              </w:numPr>
              <w:rPr>
                <w:rFonts w:cs="Arial"/>
              </w:rPr>
            </w:pPr>
            <w:r w:rsidRPr="008A05AC">
              <w:rPr>
                <w:rFonts w:cs="Arial"/>
                <w:b/>
                <w:bCs/>
              </w:rPr>
              <w:t>Probenecid</w:t>
            </w:r>
            <w:r w:rsidRPr="008A05AC">
              <w:rPr>
                <w:rFonts w:cs="Arial"/>
              </w:rPr>
              <w:t>: excretion of methotrexate reduced.</w:t>
            </w:r>
          </w:p>
          <w:p w14:paraId="1062F57F" w14:textId="77777777" w:rsidR="00330B76" w:rsidRPr="008A05AC" w:rsidRDefault="00330B76" w:rsidP="00330B76">
            <w:pPr>
              <w:pStyle w:val="ListParagraph"/>
              <w:numPr>
                <w:ilvl w:val="0"/>
                <w:numId w:val="13"/>
              </w:numPr>
              <w:rPr>
                <w:rFonts w:cs="Arial"/>
              </w:rPr>
            </w:pPr>
            <w:r w:rsidRPr="008A05AC">
              <w:rPr>
                <w:rFonts w:cs="Arial"/>
                <w:b/>
                <w:bCs/>
              </w:rPr>
              <w:t>Phenytoin</w:t>
            </w:r>
            <w:r w:rsidRPr="008A05AC">
              <w:rPr>
                <w:rFonts w:cs="Arial"/>
              </w:rPr>
              <w:t>: possible increased methotrexate toxicity, and decreased phenytoin effect.</w:t>
            </w:r>
          </w:p>
          <w:p w14:paraId="3F70D231" w14:textId="77777777" w:rsidR="00330B76" w:rsidRPr="008A05AC" w:rsidRDefault="00330B76" w:rsidP="00330B76">
            <w:pPr>
              <w:pStyle w:val="ListParagraph"/>
              <w:numPr>
                <w:ilvl w:val="0"/>
                <w:numId w:val="13"/>
              </w:numPr>
              <w:rPr>
                <w:rFonts w:cs="Arial"/>
              </w:rPr>
            </w:pPr>
            <w:r w:rsidRPr="008A05AC">
              <w:rPr>
                <w:rFonts w:cs="Arial"/>
                <w:b/>
                <w:bCs/>
              </w:rPr>
              <w:t>NSAIDs, COX-2 inhibitors, aspirin</w:t>
            </w:r>
            <w:r w:rsidRPr="008A05AC">
              <w:rPr>
                <w:rFonts w:cs="Arial"/>
              </w:rPr>
              <w:t xml:space="preserve">: may reduce excretion of methotrexate, increasing risk of toxicity. These drugs are frequently used with methotrexate without incident, and aspirin at antiplatelet doses is unlikely to interact to a significant degree. Be aware of trends in monitoring parameters. </w:t>
            </w:r>
          </w:p>
          <w:p w14:paraId="663C7F76" w14:textId="77777777" w:rsidR="00330B76" w:rsidRPr="008A05AC" w:rsidRDefault="00330B76" w:rsidP="00330B76">
            <w:pPr>
              <w:pStyle w:val="ListParagraph"/>
              <w:numPr>
                <w:ilvl w:val="0"/>
                <w:numId w:val="13"/>
              </w:numPr>
              <w:rPr>
                <w:rFonts w:cs="Arial"/>
              </w:rPr>
            </w:pPr>
            <w:r w:rsidRPr="008A05AC">
              <w:rPr>
                <w:rFonts w:cs="Arial"/>
                <w:b/>
                <w:bCs/>
              </w:rPr>
              <w:t>Antibiotics</w:t>
            </w:r>
            <w:r w:rsidRPr="008A05AC">
              <w:rPr>
                <w:rFonts w:cs="Arial"/>
              </w:rPr>
              <w:t xml:space="preserve"> may alter methotrexate levels. Methotrexate should be interrupted during periods of acute infection (see </w:t>
            </w:r>
            <w:hyperlink w:anchor="ten_ADRs" w:history="1">
              <w:r w:rsidRPr="008A05AC">
                <w:rPr>
                  <w:rStyle w:val="Hyperlink"/>
                  <w:rFonts w:cs="Arial"/>
                </w:rPr>
                <w:t>section 10</w:t>
              </w:r>
            </w:hyperlink>
            <w:r w:rsidRPr="008A05AC">
              <w:rPr>
                <w:rFonts w:cs="Arial"/>
              </w:rPr>
              <w:t>).</w:t>
            </w:r>
          </w:p>
          <w:p w14:paraId="39F2ADA8" w14:textId="77777777" w:rsidR="00330B76" w:rsidRPr="008A05AC" w:rsidRDefault="00330B76" w:rsidP="00330B76">
            <w:pPr>
              <w:pStyle w:val="ListParagraph"/>
              <w:numPr>
                <w:ilvl w:val="0"/>
                <w:numId w:val="13"/>
              </w:numPr>
              <w:rPr>
                <w:rFonts w:cs="Arial"/>
              </w:rPr>
            </w:pPr>
            <w:r w:rsidRPr="008A05AC">
              <w:rPr>
                <w:rFonts w:cs="Arial"/>
                <w:b/>
                <w:bCs/>
              </w:rPr>
              <w:t>Theophylline and other methylxanthines</w:t>
            </w:r>
            <w:r w:rsidRPr="008A05AC">
              <w:rPr>
                <w:rFonts w:cs="Arial"/>
              </w:rPr>
              <w:t xml:space="preserve">: may reduce methotrexate efficacy. Methotrexate may reduce theophylline clearance. </w:t>
            </w:r>
            <w:r>
              <w:rPr>
                <w:rFonts w:cs="Arial"/>
              </w:rPr>
              <w:t>Manufacturers advise theophylline monitoring and avoiding excessive caffeine consumption.</w:t>
            </w:r>
          </w:p>
          <w:p w14:paraId="2DFCCD11" w14:textId="77777777" w:rsidR="00330B76" w:rsidRPr="008A05AC" w:rsidRDefault="00330B76" w:rsidP="00330B76">
            <w:pPr>
              <w:pStyle w:val="ListParagraph"/>
              <w:numPr>
                <w:ilvl w:val="0"/>
                <w:numId w:val="13"/>
              </w:numPr>
              <w:rPr>
                <w:rFonts w:cs="Arial"/>
              </w:rPr>
            </w:pPr>
            <w:r w:rsidRPr="008A05AC">
              <w:rPr>
                <w:rFonts w:cs="Arial"/>
                <w:b/>
                <w:bCs/>
              </w:rPr>
              <w:t>Anticonvulsants</w:t>
            </w:r>
            <w:r w:rsidRPr="008A05AC">
              <w:rPr>
                <w:rFonts w:cs="Arial"/>
              </w:rPr>
              <w:t>: may reduce methotrexate levels.</w:t>
            </w:r>
          </w:p>
          <w:p w14:paraId="5653C025" w14:textId="77777777" w:rsidR="00330B76" w:rsidRPr="008A05AC" w:rsidRDefault="00330B76" w:rsidP="00330B76">
            <w:pPr>
              <w:pStyle w:val="ListParagraph"/>
              <w:numPr>
                <w:ilvl w:val="0"/>
                <w:numId w:val="13"/>
              </w:numPr>
              <w:rPr>
                <w:rFonts w:cs="Arial"/>
              </w:rPr>
            </w:pPr>
            <w:proofErr w:type="spellStart"/>
            <w:r w:rsidRPr="008A05AC">
              <w:rPr>
                <w:rFonts w:cs="Arial"/>
                <w:b/>
                <w:bCs/>
              </w:rPr>
              <w:t>Colestyramine</w:t>
            </w:r>
            <w:proofErr w:type="spellEnd"/>
            <w:r w:rsidRPr="008A05AC">
              <w:rPr>
                <w:rFonts w:cs="Arial"/>
              </w:rPr>
              <w:t xml:space="preserve">: may increase elimination of methotrexate.  </w:t>
            </w:r>
          </w:p>
          <w:p w14:paraId="11735DD8" w14:textId="65FF2368" w:rsidR="00330B76" w:rsidRPr="00FE3EEF" w:rsidRDefault="00330B76" w:rsidP="00330B76">
            <w:pPr>
              <w:rPr>
                <w:rFonts w:cs="Arial"/>
              </w:rPr>
            </w:pPr>
            <w:r w:rsidRPr="008A05AC">
              <w:rPr>
                <w:rFonts w:cs="Arial"/>
                <w:b/>
                <w:bCs/>
              </w:rPr>
              <w:t>Alcohol</w:t>
            </w:r>
            <w:r w:rsidRPr="008A05AC">
              <w:rPr>
                <w:rFonts w:cs="Arial"/>
              </w:rPr>
              <w:t>: consumption of alcohol increases the risk of hepatotoxicity. Patients should moderate their alcohol intake to no more than 14 units per week.</w:t>
            </w:r>
          </w:p>
        </w:tc>
      </w:tr>
    </w:tbl>
    <w:p w14:paraId="56D8C659" w14:textId="2B8BD041" w:rsidR="00183898" w:rsidRDefault="00183898"/>
    <w:p w14:paraId="2DC1055D" w14:textId="77777777" w:rsidR="00183898" w:rsidRDefault="00183898">
      <w:pPr>
        <w:spacing w:before="0" w:after="160"/>
      </w:pPr>
      <w:r>
        <w:br w:type="page"/>
      </w:r>
    </w:p>
    <w:p w14:paraId="4EB5B273" w14:textId="77777777" w:rsidR="0051526F" w:rsidRDefault="0051526F"/>
    <w:p w14:paraId="5F2EB721" w14:textId="77777777" w:rsidR="0051526F" w:rsidRDefault="0051526F" w:rsidP="0051526F">
      <w:pPr>
        <w:pStyle w:val="Heading2"/>
        <w:rPr>
          <w:rFonts w:cs="Arial"/>
        </w:rPr>
      </w:pPr>
      <w:bookmarkStart w:id="17" w:name="_Toc149231794"/>
      <w:r w:rsidRPr="00F321FC">
        <w:rPr>
          <w:rFonts w:cs="Arial"/>
        </w:rPr>
        <w:t>Adverse effects and management</w:t>
      </w:r>
      <w:bookmarkEnd w:id="17"/>
    </w:p>
    <w:p w14:paraId="41070243" w14:textId="0BCB159E"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r w:rsidR="005E28D0" w:rsidRPr="005E28D0">
        <w:rPr>
          <w:rStyle w:val="Hyperlink"/>
          <w:rFonts w:eastAsia="Calibri" w:cs="Arial"/>
          <w:bCs/>
          <w:noProof/>
          <w:color w:val="000000"/>
          <w:u w:val="none"/>
          <w:lang w:eastAsia="en-GB"/>
        </w:rPr>
        <w:t xml:space="preserve"> </w:t>
      </w:r>
      <w:r w:rsidR="005E28D0" w:rsidRPr="0041687B">
        <w:rPr>
          <w:rStyle w:val="Hyperlink"/>
          <w:rFonts w:eastAsia="Calibri" w:cs="Arial"/>
          <w:bCs/>
          <w:noProof/>
          <w:color w:val="000000"/>
          <w:u w:val="none"/>
          <w:lang w:eastAsia="en-GB"/>
        </w:rPr>
        <w:t xml:space="preserve">For information on incidence of ADRs see relevant </w:t>
      </w:r>
      <w:r w:rsidR="005E28D0" w:rsidRPr="007A56FB">
        <w:rPr>
          <w:rStyle w:val="Hyperlink"/>
          <w:rFonts w:eastAsia="Calibri" w:cs="Arial"/>
          <w:bCs/>
          <w:noProof/>
          <w:color w:val="000000"/>
          <w:u w:val="none"/>
          <w:lang w:eastAsia="en-GB"/>
        </w:rPr>
        <w:t>S</w:t>
      </w:r>
      <w:r w:rsidR="005E28D0" w:rsidRPr="007A56FB">
        <w:rPr>
          <w:rStyle w:val="Hyperlink"/>
          <w:rFonts w:eastAsia="Calibri"/>
          <w:bCs/>
          <w:noProof/>
          <w:color w:val="000000"/>
          <w:u w:val="none"/>
          <w:lang w:eastAsia="en-GB"/>
        </w:rPr>
        <w:t>PCs</w:t>
      </w:r>
      <w:r w:rsidR="005E28D0" w:rsidRPr="00D13A1C">
        <w:rPr>
          <w:rStyle w:val="Hyperlink"/>
          <w:rFonts w:eastAsia="Calibri"/>
          <w:bCs/>
          <w:noProof/>
          <w:color w:val="000000"/>
          <w:u w:val="none"/>
          <w:lang w:eastAsia="en-GB"/>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28"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5BB67DA1" w:rsidR="0051526F" w:rsidRDefault="005E28D0" w:rsidP="0051526F">
      <w:r w:rsidRPr="005E28D0">
        <w:t xml:space="preserve">Advice based on shared care guidelines published by </w:t>
      </w:r>
      <w:proofErr w:type="gramStart"/>
      <w:r w:rsidRPr="005E28D0">
        <w:t>NHS England, and</w:t>
      </w:r>
      <w:proofErr w:type="gramEnd"/>
      <w:r w:rsidRPr="005E28D0">
        <w:t xml:space="preserve"> checked against current guidance.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7F454127" w14:textId="77777777" w:rsidTr="0051526F">
        <w:trPr>
          <w:cantSplit/>
          <w:tblHeader/>
        </w:trPr>
        <w:tc>
          <w:tcPr>
            <w:tcW w:w="5245"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5245"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330B76" w:rsidRPr="00F321FC" w14:paraId="01268D2D" w14:textId="77777777" w:rsidTr="0051526F">
        <w:trPr>
          <w:cantSplit/>
          <w:trHeight w:val="48"/>
        </w:trPr>
        <w:tc>
          <w:tcPr>
            <w:tcW w:w="5245" w:type="dxa"/>
          </w:tcPr>
          <w:p w14:paraId="5B9824AE" w14:textId="77777777" w:rsidR="00330B76" w:rsidRDefault="00330B76" w:rsidP="00330B76">
            <w:pPr>
              <w:numPr>
                <w:ilvl w:val="0"/>
                <w:numId w:val="14"/>
              </w:numPr>
              <w:spacing w:before="0" w:after="0"/>
              <w:rPr>
                <w:rFonts w:cs="Arial"/>
                <w:lang w:eastAsia="en-GB"/>
              </w:rPr>
            </w:pPr>
            <w:r>
              <w:rPr>
                <w:rFonts w:cs="Arial"/>
                <w:lang w:eastAsia="en-GB"/>
              </w:rPr>
              <w:t xml:space="preserve">Full blood count: </w:t>
            </w:r>
          </w:p>
          <w:p w14:paraId="76C41248" w14:textId="77777777" w:rsidR="00330B76" w:rsidRDefault="00330B76" w:rsidP="00330B76">
            <w:pPr>
              <w:numPr>
                <w:ilvl w:val="0"/>
                <w:numId w:val="15"/>
              </w:numPr>
              <w:spacing w:before="0" w:after="0"/>
              <w:rPr>
                <w:rFonts w:cs="Arial"/>
                <w:lang w:eastAsia="en-GB"/>
              </w:rPr>
            </w:pPr>
            <w:r>
              <w:rPr>
                <w:rFonts w:cs="Arial"/>
                <w:lang w:eastAsia="en-GB"/>
              </w:rPr>
              <w:t>White blood cells less than 3.5x10</w:t>
            </w:r>
            <w:r>
              <w:rPr>
                <w:rFonts w:cs="Arial"/>
                <w:vertAlign w:val="superscript"/>
                <w:lang w:eastAsia="en-GB"/>
              </w:rPr>
              <w:t>9</w:t>
            </w:r>
            <w:r>
              <w:rPr>
                <w:rFonts w:cs="Arial"/>
                <w:lang w:eastAsia="en-GB"/>
              </w:rPr>
              <w:t>/L</w:t>
            </w:r>
          </w:p>
          <w:p w14:paraId="5AFE43A6" w14:textId="77777777" w:rsidR="00330B76" w:rsidRDefault="00330B76" w:rsidP="00330B76">
            <w:pPr>
              <w:numPr>
                <w:ilvl w:val="0"/>
                <w:numId w:val="16"/>
              </w:numPr>
              <w:spacing w:before="0" w:after="0"/>
              <w:rPr>
                <w:rFonts w:cs="Arial"/>
                <w:lang w:eastAsia="en-GB"/>
              </w:rPr>
            </w:pPr>
            <w:r>
              <w:rPr>
                <w:rFonts w:cs="Arial"/>
                <w:lang w:eastAsia="en-GB"/>
              </w:rPr>
              <w:t>Lymphocytes less than 0.5x10</w:t>
            </w:r>
            <w:r>
              <w:rPr>
                <w:rFonts w:cs="Arial"/>
                <w:vertAlign w:val="superscript"/>
                <w:lang w:eastAsia="en-GB"/>
              </w:rPr>
              <w:t>9</w:t>
            </w:r>
            <w:r>
              <w:rPr>
                <w:rFonts w:cs="Arial"/>
                <w:lang w:eastAsia="en-GB"/>
              </w:rPr>
              <w:t>/L</w:t>
            </w:r>
          </w:p>
          <w:p w14:paraId="67761BEE" w14:textId="77777777" w:rsidR="00330B76" w:rsidRDefault="00330B76" w:rsidP="00330B76">
            <w:pPr>
              <w:numPr>
                <w:ilvl w:val="0"/>
                <w:numId w:val="16"/>
              </w:numPr>
              <w:spacing w:before="0" w:after="0"/>
              <w:rPr>
                <w:rFonts w:cs="Arial"/>
                <w:lang w:eastAsia="en-GB"/>
              </w:rPr>
            </w:pPr>
            <w:r>
              <w:rPr>
                <w:rFonts w:cs="Arial"/>
                <w:lang w:eastAsia="en-GB"/>
              </w:rPr>
              <w:t>Neutrophils less than 1.6x10</w:t>
            </w:r>
            <w:r>
              <w:rPr>
                <w:rFonts w:cs="Arial"/>
                <w:vertAlign w:val="superscript"/>
                <w:lang w:eastAsia="en-GB"/>
              </w:rPr>
              <w:t>9</w:t>
            </w:r>
            <w:r>
              <w:rPr>
                <w:rFonts w:cs="Arial"/>
                <w:lang w:eastAsia="en-GB"/>
              </w:rPr>
              <w:t>/L</w:t>
            </w:r>
          </w:p>
          <w:p w14:paraId="1F97DA3C" w14:textId="77777777" w:rsidR="00330B76" w:rsidRDefault="00330B76" w:rsidP="00330B76">
            <w:pPr>
              <w:numPr>
                <w:ilvl w:val="0"/>
                <w:numId w:val="16"/>
              </w:numPr>
              <w:spacing w:before="0" w:after="0"/>
              <w:rPr>
                <w:rFonts w:cs="Arial"/>
              </w:rPr>
            </w:pPr>
            <w:r>
              <w:rPr>
                <w:rFonts w:cs="Arial"/>
                <w:lang w:eastAsia="en-GB"/>
              </w:rPr>
              <w:t>Platelets less than 140x10</w:t>
            </w:r>
            <w:r>
              <w:rPr>
                <w:rFonts w:cs="Arial"/>
                <w:vertAlign w:val="superscript"/>
                <w:lang w:eastAsia="en-GB"/>
              </w:rPr>
              <w:t>9</w:t>
            </w:r>
            <w:r>
              <w:rPr>
                <w:rFonts w:cs="Arial"/>
                <w:lang w:eastAsia="en-GB"/>
              </w:rPr>
              <w:t>/L</w:t>
            </w:r>
          </w:p>
          <w:p w14:paraId="6A99262A" w14:textId="27308AFF" w:rsidR="00330B76" w:rsidRPr="00F321FC" w:rsidRDefault="00F75155" w:rsidP="00330B76">
            <w:pPr>
              <w:numPr>
                <w:ilvl w:val="0"/>
                <w:numId w:val="16"/>
              </w:numPr>
              <w:spacing w:before="0" w:after="0"/>
              <w:rPr>
                <w:rFonts w:cs="Arial"/>
              </w:rPr>
            </w:pPr>
            <w:r>
              <w:rPr>
                <w:rFonts w:cs="Arial"/>
                <w:lang w:eastAsia="en-GB"/>
              </w:rPr>
              <w:t xml:space="preserve">Unexplained </w:t>
            </w:r>
            <w:r w:rsidR="00330B76">
              <w:rPr>
                <w:rFonts w:cs="Arial"/>
                <w:lang w:eastAsia="en-GB"/>
              </w:rPr>
              <w:t>Eosinophilia greater than 0.5x10</w:t>
            </w:r>
            <w:r w:rsidR="00330B76">
              <w:rPr>
                <w:rFonts w:cs="Arial"/>
                <w:vertAlign w:val="superscript"/>
                <w:lang w:eastAsia="en-GB"/>
              </w:rPr>
              <w:t>9</w:t>
            </w:r>
            <w:r w:rsidR="00330B76">
              <w:rPr>
                <w:rFonts w:cs="Arial"/>
                <w:lang w:eastAsia="en-GB"/>
              </w:rPr>
              <w:t>/L</w:t>
            </w:r>
          </w:p>
        </w:tc>
        <w:tc>
          <w:tcPr>
            <w:tcW w:w="5245" w:type="dxa"/>
          </w:tcPr>
          <w:p w14:paraId="514C9685" w14:textId="77777777" w:rsidR="00330B76" w:rsidRDefault="00330B76" w:rsidP="00330B76">
            <w:pPr>
              <w:spacing w:after="0"/>
              <w:rPr>
                <w:rFonts w:eastAsia="Times New Roman" w:cs="Arial"/>
                <w:lang w:eastAsia="en-GB"/>
              </w:rPr>
            </w:pPr>
            <w:r>
              <w:rPr>
                <w:rFonts w:eastAsia="Times New Roman" w:cs="Arial"/>
                <w:lang w:eastAsia="en-GB"/>
              </w:rPr>
              <w:t>Withhold and discuss with specialist team.</w:t>
            </w:r>
          </w:p>
          <w:p w14:paraId="45A5B53C" w14:textId="2EB7A685" w:rsidR="00330B76" w:rsidRPr="00F321FC" w:rsidRDefault="00330B76" w:rsidP="00330B76">
            <w:pPr>
              <w:rPr>
                <w:rFonts w:cs="Arial"/>
              </w:rPr>
            </w:pPr>
          </w:p>
        </w:tc>
      </w:tr>
      <w:tr w:rsidR="00330B76" w:rsidRPr="00F321FC" w14:paraId="7CEAAB39" w14:textId="77777777" w:rsidTr="0051526F">
        <w:trPr>
          <w:cantSplit/>
          <w:trHeight w:val="48"/>
        </w:trPr>
        <w:tc>
          <w:tcPr>
            <w:tcW w:w="5245" w:type="dxa"/>
          </w:tcPr>
          <w:p w14:paraId="2386555E" w14:textId="0237560B" w:rsidR="00330B76" w:rsidRPr="0051526F" w:rsidRDefault="00330B76" w:rsidP="00330B76">
            <w:pPr>
              <w:spacing w:line="360" w:lineRule="atLeast"/>
              <w:rPr>
                <w:rFonts w:eastAsia="Times New Roman" w:cstheme="minorHAnsi"/>
                <w:lang w:eastAsia="en-GB"/>
              </w:rPr>
            </w:pPr>
            <w:r>
              <w:rPr>
                <w:rFonts w:cstheme="minorHAnsi"/>
                <w:color w:val="000000"/>
              </w:rPr>
              <w:t xml:space="preserve">Mean cell volume greater than 105 </w:t>
            </w:r>
            <w:proofErr w:type="spellStart"/>
            <w:r>
              <w:rPr>
                <w:rFonts w:cstheme="minorHAnsi"/>
                <w:color w:val="000000"/>
              </w:rPr>
              <w:t>fL</w:t>
            </w:r>
            <w:proofErr w:type="spellEnd"/>
          </w:p>
        </w:tc>
        <w:tc>
          <w:tcPr>
            <w:tcW w:w="5245" w:type="dxa"/>
          </w:tcPr>
          <w:p w14:paraId="645A7295" w14:textId="1AFB7B30" w:rsidR="00330B76" w:rsidRPr="00F321FC" w:rsidRDefault="00330B76" w:rsidP="00B71AC7">
            <w:pPr>
              <w:spacing w:after="0"/>
              <w:rPr>
                <w:rFonts w:cs="Arial"/>
              </w:rPr>
            </w:pPr>
            <w:r>
              <w:rPr>
                <w:rFonts w:eastAsia="Times New Roman" w:cs="Arial"/>
                <w:bCs/>
                <w:lang w:eastAsia="en-GB"/>
              </w:rPr>
              <w:t xml:space="preserve"> Check serum folate, B12, alcohol history and TSH and treat any underlying abnormality. If results of these additional investigations are </w:t>
            </w:r>
            <w:r w:rsidR="004E3B27">
              <w:rPr>
                <w:rFonts w:eastAsia="Times New Roman" w:cs="Arial"/>
                <w:bCs/>
                <w:lang w:eastAsia="en-GB"/>
              </w:rPr>
              <w:t xml:space="preserve">abnormal, treat, if </w:t>
            </w:r>
            <w:r>
              <w:rPr>
                <w:rFonts w:eastAsia="Times New Roman" w:cs="Arial"/>
                <w:bCs/>
                <w:lang w:eastAsia="en-GB"/>
              </w:rPr>
              <w:t>normal discuss with specialist team.</w:t>
            </w:r>
          </w:p>
        </w:tc>
      </w:tr>
      <w:tr w:rsidR="00330B76" w:rsidRPr="00F321FC" w14:paraId="3E83576D" w14:textId="77777777" w:rsidTr="0051526F">
        <w:trPr>
          <w:cantSplit/>
          <w:trHeight w:val="48"/>
        </w:trPr>
        <w:tc>
          <w:tcPr>
            <w:tcW w:w="5245" w:type="dxa"/>
          </w:tcPr>
          <w:p w14:paraId="08C53FEC" w14:textId="7E3B5C5E" w:rsidR="00330B76" w:rsidRPr="00F321FC" w:rsidRDefault="00330B76" w:rsidP="00330B76">
            <w:pPr>
              <w:rPr>
                <w:rFonts w:cs="Arial"/>
              </w:rPr>
            </w:pPr>
            <w:r>
              <w:rPr>
                <w:rFonts w:eastAsia="Times New Roman" w:cs="Arial"/>
                <w:bCs/>
                <w:lang w:eastAsia="en-GB"/>
              </w:rPr>
              <w:t>Signs or symptoms of bone marrow suppression, e.g. unexplained bleeding or bruising with or without sore throat, purpura, mouth ulcers.</w:t>
            </w:r>
          </w:p>
        </w:tc>
        <w:tc>
          <w:tcPr>
            <w:tcW w:w="5245" w:type="dxa"/>
          </w:tcPr>
          <w:p w14:paraId="0AF04492" w14:textId="46537FE1" w:rsidR="00330B76" w:rsidRPr="00F321FC" w:rsidRDefault="00330B76" w:rsidP="00330B76">
            <w:pPr>
              <w:rPr>
                <w:rFonts w:cs="Arial"/>
              </w:rPr>
            </w:pPr>
            <w:r>
              <w:rPr>
                <w:rFonts w:eastAsia="Times New Roman" w:cs="Arial"/>
                <w:lang w:eastAsia="en-GB"/>
              </w:rPr>
              <w:t>Check FBC immediately, withhold treatment while awaiting results, and discuss with the specialist team. See haematological monitoring above.</w:t>
            </w:r>
          </w:p>
        </w:tc>
      </w:tr>
      <w:tr w:rsidR="00330B76" w:rsidRPr="00F321FC" w14:paraId="24831E88" w14:textId="77777777" w:rsidTr="0051526F">
        <w:trPr>
          <w:cantSplit/>
          <w:trHeight w:val="48"/>
        </w:trPr>
        <w:tc>
          <w:tcPr>
            <w:tcW w:w="5245" w:type="dxa"/>
          </w:tcPr>
          <w:p w14:paraId="0C5DACCA" w14:textId="77777777" w:rsidR="00330B76" w:rsidRDefault="00330B76" w:rsidP="00330B76">
            <w:pPr>
              <w:spacing w:after="0"/>
              <w:rPr>
                <w:rFonts w:eastAsia="Times New Roman" w:cs="Arial"/>
                <w:b/>
                <w:bCs/>
                <w:lang w:eastAsia="en-GB"/>
              </w:rPr>
            </w:pPr>
            <w:r>
              <w:rPr>
                <w:rFonts w:eastAsia="Times New Roman" w:cs="Arial"/>
                <w:b/>
                <w:bCs/>
                <w:lang w:eastAsia="en-GB"/>
              </w:rPr>
              <w:t xml:space="preserve">Infections: </w:t>
            </w:r>
          </w:p>
          <w:p w14:paraId="1928A53C" w14:textId="00BA70E4" w:rsidR="00330B76" w:rsidRPr="00F321FC" w:rsidRDefault="00330B76" w:rsidP="00330B76">
            <w:pPr>
              <w:rPr>
                <w:rFonts w:cs="Arial"/>
              </w:rPr>
            </w:pPr>
            <w:r>
              <w:rPr>
                <w:rFonts w:eastAsia="Times New Roman" w:cs="Arial"/>
                <w:lang w:eastAsia="en-GB"/>
              </w:rPr>
              <w:t>Infection requiring antibiotics</w:t>
            </w:r>
          </w:p>
        </w:tc>
        <w:tc>
          <w:tcPr>
            <w:tcW w:w="5245" w:type="dxa"/>
          </w:tcPr>
          <w:p w14:paraId="3EAA40C2" w14:textId="3810CD68" w:rsidR="00330B76" w:rsidRPr="00F321FC" w:rsidRDefault="00330B76" w:rsidP="00330B76">
            <w:pPr>
              <w:rPr>
                <w:rFonts w:cs="Arial"/>
              </w:rPr>
            </w:pPr>
            <w:r>
              <w:rPr>
                <w:rFonts w:eastAsia="Times New Roman" w:cs="Arial"/>
                <w:lang w:eastAsia="en-GB"/>
              </w:rPr>
              <w:t>Temporarily withhold methotrexate until the patient has recovered and the antibiotic course is complete. Consider additional investigations (e.g. FBC), if clinically appropriate.</w:t>
            </w:r>
          </w:p>
        </w:tc>
      </w:tr>
      <w:tr w:rsidR="00330B76" w:rsidRPr="00F321FC" w14:paraId="7B45BBDF" w14:textId="77777777" w:rsidTr="0051526F">
        <w:trPr>
          <w:cantSplit/>
          <w:trHeight w:val="48"/>
        </w:trPr>
        <w:tc>
          <w:tcPr>
            <w:tcW w:w="5245" w:type="dxa"/>
          </w:tcPr>
          <w:p w14:paraId="097EDFF1" w14:textId="77777777" w:rsidR="00330B76" w:rsidRDefault="00330B76" w:rsidP="00330B76">
            <w:pPr>
              <w:spacing w:after="0"/>
              <w:rPr>
                <w:rFonts w:eastAsia="Times New Roman" w:cs="Arial"/>
                <w:b/>
                <w:lang w:eastAsia="en-GB"/>
              </w:rPr>
            </w:pPr>
            <w:r>
              <w:rPr>
                <w:rFonts w:eastAsia="Times New Roman" w:cs="Arial"/>
                <w:b/>
                <w:lang w:eastAsia="en-GB"/>
              </w:rPr>
              <w:t>Liver function tests:</w:t>
            </w:r>
          </w:p>
          <w:p w14:paraId="6361C8EF" w14:textId="77777777" w:rsidR="00330B76" w:rsidRDefault="00330B76" w:rsidP="00330B76">
            <w:pPr>
              <w:spacing w:after="0"/>
              <w:rPr>
                <w:rFonts w:eastAsia="Times New Roman" w:cs="Arial"/>
                <w:bCs/>
                <w:lang w:eastAsia="en-GB"/>
              </w:rPr>
            </w:pPr>
            <w:r>
              <w:rPr>
                <w:rFonts w:eastAsia="Times New Roman" w:cs="Arial"/>
                <w:bCs/>
                <w:lang w:eastAsia="en-GB"/>
              </w:rPr>
              <w:t xml:space="preserve">ALT or AST greater than 100 units/L, or any sudden increases (e.g. double of baseline), OR </w:t>
            </w:r>
          </w:p>
          <w:p w14:paraId="3966755B" w14:textId="77777777" w:rsidR="00330B76" w:rsidRDefault="00330B76" w:rsidP="00330B76">
            <w:pPr>
              <w:spacing w:after="0"/>
              <w:rPr>
                <w:rFonts w:eastAsia="Times New Roman" w:cs="Arial"/>
                <w:bCs/>
                <w:lang w:eastAsia="en-GB"/>
              </w:rPr>
            </w:pPr>
            <w:r>
              <w:rPr>
                <w:rFonts w:eastAsia="Times New Roman" w:cs="Arial"/>
                <w:bCs/>
                <w:lang w:eastAsia="en-GB"/>
              </w:rPr>
              <w:t>Unexplained fall in serum albumin to less than 30g/L</w:t>
            </w:r>
          </w:p>
          <w:p w14:paraId="742A5874" w14:textId="2AB0F98E" w:rsidR="00330B76" w:rsidRPr="00F321FC" w:rsidRDefault="00330B76" w:rsidP="00330B76">
            <w:pPr>
              <w:rPr>
                <w:rFonts w:cs="Arial"/>
              </w:rPr>
            </w:pPr>
            <w:r>
              <w:rPr>
                <w:rFonts w:eastAsia="Times New Roman" w:cs="Arial"/>
                <w:bCs/>
                <w:lang w:eastAsia="en-GB"/>
              </w:rPr>
              <w:t>Jaundice</w:t>
            </w:r>
          </w:p>
        </w:tc>
        <w:tc>
          <w:tcPr>
            <w:tcW w:w="5245" w:type="dxa"/>
          </w:tcPr>
          <w:p w14:paraId="626279BA" w14:textId="77777777" w:rsidR="00330B76" w:rsidRDefault="00330B76" w:rsidP="00330B76">
            <w:pPr>
              <w:spacing w:after="0"/>
              <w:rPr>
                <w:rFonts w:eastAsia="Times New Roman" w:cs="Arial"/>
                <w:bCs/>
                <w:lang w:eastAsia="en-GB"/>
              </w:rPr>
            </w:pPr>
            <w:r>
              <w:rPr>
                <w:rFonts w:eastAsia="Times New Roman" w:cs="Arial"/>
                <w:bCs/>
                <w:lang w:eastAsia="en-GB"/>
              </w:rPr>
              <w:t>Withhold and discuss with specialist team.</w:t>
            </w:r>
          </w:p>
          <w:p w14:paraId="3B5D0997" w14:textId="76E4B6CC" w:rsidR="00330B76" w:rsidRPr="00F321FC" w:rsidRDefault="00330B76" w:rsidP="00330B76">
            <w:pPr>
              <w:rPr>
                <w:rFonts w:cs="Arial"/>
              </w:rPr>
            </w:pPr>
            <w:r>
              <w:rPr>
                <w:rFonts w:eastAsia="Times New Roman" w:cs="Arial"/>
                <w:bCs/>
                <w:lang w:eastAsia="en-GB"/>
              </w:rPr>
              <w:t>Assess for other causes of hepatic dysfunction such as alcohol history and drug interactions, including OTC or complementary medication.</w:t>
            </w:r>
          </w:p>
        </w:tc>
      </w:tr>
      <w:tr w:rsidR="00330B76" w:rsidRPr="00F321FC" w14:paraId="6BD1EF9B" w14:textId="77777777" w:rsidTr="0051526F">
        <w:trPr>
          <w:cantSplit/>
          <w:trHeight w:val="48"/>
        </w:trPr>
        <w:tc>
          <w:tcPr>
            <w:tcW w:w="5245" w:type="dxa"/>
          </w:tcPr>
          <w:p w14:paraId="3F45B555" w14:textId="77777777" w:rsidR="00330B76" w:rsidRDefault="00330B76" w:rsidP="00330B76">
            <w:pPr>
              <w:spacing w:after="0"/>
              <w:rPr>
                <w:rFonts w:cs="Arial"/>
                <w:b/>
                <w:lang w:eastAsia="en-GB"/>
              </w:rPr>
            </w:pPr>
            <w:r>
              <w:rPr>
                <w:rFonts w:cs="Arial"/>
                <w:b/>
                <w:lang w:eastAsia="en-GB"/>
              </w:rPr>
              <w:t xml:space="preserve">PIIINP </w:t>
            </w:r>
            <w:r>
              <w:rPr>
                <w:rFonts w:cs="Arial"/>
                <w:bCs/>
                <w:lang w:eastAsia="en-GB"/>
              </w:rPr>
              <w:t>(psoriasis only)</w:t>
            </w:r>
          </w:p>
          <w:p w14:paraId="704A5637" w14:textId="77777777" w:rsidR="00330B76" w:rsidRDefault="00330B76" w:rsidP="00330B76">
            <w:pPr>
              <w:spacing w:after="0"/>
              <w:rPr>
                <w:rFonts w:cs="Arial"/>
                <w:bCs/>
                <w:lang w:eastAsia="en-GB"/>
              </w:rPr>
            </w:pPr>
            <w:r>
              <w:rPr>
                <w:rFonts w:cs="Arial"/>
                <w:bCs/>
                <w:lang w:eastAsia="en-GB"/>
              </w:rPr>
              <w:t>Levels greater than:</w:t>
            </w:r>
          </w:p>
          <w:p w14:paraId="6EDA8219" w14:textId="399267EA" w:rsidR="00330B76" w:rsidRDefault="00330B76" w:rsidP="00330B76">
            <w:pPr>
              <w:numPr>
                <w:ilvl w:val="0"/>
                <w:numId w:val="17"/>
              </w:numPr>
              <w:spacing w:before="0" w:after="0"/>
              <w:rPr>
                <w:rFonts w:cs="Arial"/>
                <w:bCs/>
                <w:lang w:eastAsia="en-GB"/>
              </w:rPr>
            </w:pPr>
            <w:r>
              <w:rPr>
                <w:rFonts w:cs="Arial"/>
                <w:bCs/>
                <w:lang w:eastAsia="en-GB"/>
              </w:rPr>
              <w:t>10 m</w:t>
            </w:r>
            <w:r w:rsidR="004E2775">
              <w:rPr>
                <w:rFonts w:cs="Arial"/>
                <w:bCs/>
                <w:lang w:eastAsia="en-GB"/>
              </w:rPr>
              <w:t>icrograms</w:t>
            </w:r>
            <w:r>
              <w:rPr>
                <w:rFonts w:cs="Arial"/>
                <w:bCs/>
                <w:lang w:eastAsia="en-GB"/>
              </w:rPr>
              <w:t>/L on one occasion</w:t>
            </w:r>
          </w:p>
          <w:p w14:paraId="114E7D0A" w14:textId="32EAA21D" w:rsidR="00330B76" w:rsidRPr="00330B76" w:rsidRDefault="00330B76" w:rsidP="00330B76">
            <w:pPr>
              <w:numPr>
                <w:ilvl w:val="0"/>
                <w:numId w:val="17"/>
              </w:numPr>
              <w:spacing w:before="0" w:after="0"/>
              <w:rPr>
                <w:rFonts w:cs="Arial"/>
              </w:rPr>
            </w:pPr>
            <w:r>
              <w:rPr>
                <w:rFonts w:cs="Arial"/>
                <w:bCs/>
                <w:lang w:eastAsia="en-GB"/>
              </w:rPr>
              <w:t>8.0 m</w:t>
            </w:r>
            <w:r w:rsidR="009971A7">
              <w:rPr>
                <w:rFonts w:cs="Arial"/>
                <w:bCs/>
                <w:lang w:eastAsia="en-GB"/>
              </w:rPr>
              <w:t>icro</w:t>
            </w:r>
            <w:r>
              <w:rPr>
                <w:rFonts w:cs="Arial"/>
                <w:bCs/>
                <w:lang w:eastAsia="en-GB"/>
              </w:rPr>
              <w:t>g</w:t>
            </w:r>
            <w:r w:rsidR="009971A7">
              <w:rPr>
                <w:rFonts w:cs="Arial"/>
                <w:bCs/>
                <w:lang w:eastAsia="en-GB"/>
              </w:rPr>
              <w:t>rams</w:t>
            </w:r>
            <w:r>
              <w:rPr>
                <w:rFonts w:cs="Arial"/>
                <w:bCs/>
                <w:lang w:eastAsia="en-GB"/>
              </w:rPr>
              <w:t>/L on two occasions</w:t>
            </w:r>
          </w:p>
          <w:p w14:paraId="5E311FBE" w14:textId="43BA4A39" w:rsidR="00330B76" w:rsidRPr="00F321FC" w:rsidRDefault="00330B76" w:rsidP="00330B76">
            <w:pPr>
              <w:numPr>
                <w:ilvl w:val="0"/>
                <w:numId w:val="17"/>
              </w:numPr>
              <w:spacing w:before="0" w:after="0"/>
              <w:rPr>
                <w:rFonts w:cs="Arial"/>
              </w:rPr>
            </w:pPr>
            <w:r>
              <w:rPr>
                <w:rFonts w:cs="Arial"/>
                <w:bCs/>
                <w:lang w:eastAsia="en-GB"/>
              </w:rPr>
              <w:t>4.2 m</w:t>
            </w:r>
            <w:r w:rsidR="009971A7">
              <w:rPr>
                <w:rFonts w:cs="Arial"/>
                <w:bCs/>
                <w:lang w:eastAsia="en-GB"/>
              </w:rPr>
              <w:t>icro</w:t>
            </w:r>
            <w:r>
              <w:rPr>
                <w:rFonts w:cs="Arial"/>
                <w:bCs/>
                <w:lang w:eastAsia="en-GB"/>
              </w:rPr>
              <w:t>g</w:t>
            </w:r>
            <w:r w:rsidR="009971A7">
              <w:rPr>
                <w:rFonts w:cs="Arial"/>
                <w:bCs/>
                <w:lang w:eastAsia="en-GB"/>
              </w:rPr>
              <w:t>rams</w:t>
            </w:r>
            <w:r>
              <w:rPr>
                <w:rFonts w:cs="Arial"/>
                <w:bCs/>
                <w:lang w:eastAsia="en-GB"/>
              </w:rPr>
              <w:t xml:space="preserve">/L on three occasions in a </w:t>
            </w:r>
            <w:proofErr w:type="gramStart"/>
            <w:r>
              <w:rPr>
                <w:rFonts w:cs="Arial"/>
                <w:bCs/>
                <w:lang w:eastAsia="en-GB"/>
              </w:rPr>
              <w:t>12 month</w:t>
            </w:r>
            <w:proofErr w:type="gramEnd"/>
            <w:r>
              <w:rPr>
                <w:rFonts w:cs="Arial"/>
                <w:bCs/>
                <w:lang w:eastAsia="en-GB"/>
              </w:rPr>
              <w:t xml:space="preserve"> period</w:t>
            </w:r>
          </w:p>
        </w:tc>
        <w:tc>
          <w:tcPr>
            <w:tcW w:w="5245" w:type="dxa"/>
          </w:tcPr>
          <w:p w14:paraId="25E56149" w14:textId="214FD431" w:rsidR="00330B76" w:rsidRPr="00F321FC" w:rsidRDefault="00330B76" w:rsidP="00330B76">
            <w:pPr>
              <w:rPr>
                <w:rFonts w:cs="Arial"/>
              </w:rPr>
            </w:pPr>
            <w:r>
              <w:rPr>
                <w:rFonts w:cs="Arial"/>
                <w:lang w:eastAsia="en-GB"/>
              </w:rPr>
              <w:t>Discuss with specialist team, with urgency dictated by clinical condition and liver function test results.</w:t>
            </w:r>
          </w:p>
        </w:tc>
      </w:tr>
      <w:tr w:rsidR="00330B76" w:rsidRPr="00F321FC" w14:paraId="525ED011" w14:textId="77777777" w:rsidTr="0051526F">
        <w:trPr>
          <w:cantSplit/>
          <w:trHeight w:val="48"/>
        </w:trPr>
        <w:tc>
          <w:tcPr>
            <w:tcW w:w="5245" w:type="dxa"/>
          </w:tcPr>
          <w:p w14:paraId="0E8C1A85" w14:textId="77777777" w:rsidR="00330B76" w:rsidRDefault="00330B76" w:rsidP="00330B76">
            <w:pPr>
              <w:spacing w:after="0"/>
              <w:rPr>
                <w:rFonts w:eastAsia="Times New Roman" w:cs="Arial"/>
                <w:lang w:eastAsia="en-GB"/>
              </w:rPr>
            </w:pPr>
            <w:r>
              <w:rPr>
                <w:rFonts w:eastAsia="Times New Roman" w:cs="Arial"/>
                <w:b/>
                <w:lang w:eastAsia="en-GB"/>
              </w:rPr>
              <w:t>Renal function</w:t>
            </w:r>
            <w:r>
              <w:rPr>
                <w:rFonts w:eastAsia="Times New Roman" w:cs="Arial"/>
                <w:lang w:eastAsia="en-GB"/>
              </w:rPr>
              <w:t xml:space="preserve">: </w:t>
            </w:r>
          </w:p>
          <w:p w14:paraId="056AACBC" w14:textId="71EC5086" w:rsidR="00330B76" w:rsidRPr="00F321FC" w:rsidRDefault="00330B76" w:rsidP="00330B76">
            <w:pPr>
              <w:rPr>
                <w:rFonts w:cs="Arial"/>
              </w:rPr>
            </w:pPr>
            <w:r>
              <w:rPr>
                <w:rFonts w:eastAsia="Times New Roman" w:cs="Arial"/>
                <w:lang w:eastAsia="en-GB"/>
              </w:rPr>
              <w:t xml:space="preserve">Creatinine increase of greater than 30% from baseline in the last 12 months, or </w:t>
            </w:r>
            <w:r w:rsidR="002541E4">
              <w:rPr>
                <w:rFonts w:eastAsia="Times New Roman" w:cs="Arial"/>
                <w:lang w:eastAsia="en-GB"/>
              </w:rPr>
              <w:t xml:space="preserve">eGFR </w:t>
            </w:r>
            <w:r>
              <w:rPr>
                <w:rFonts w:eastAsia="Times New Roman" w:cs="Arial"/>
                <w:lang w:eastAsia="en-GB"/>
              </w:rPr>
              <w:t>reduces to less than 60ml/min</w:t>
            </w:r>
          </w:p>
        </w:tc>
        <w:tc>
          <w:tcPr>
            <w:tcW w:w="5245" w:type="dxa"/>
          </w:tcPr>
          <w:p w14:paraId="499E20D8" w14:textId="0F4F0239" w:rsidR="00330B76" w:rsidRPr="00F321FC" w:rsidRDefault="00330B76" w:rsidP="00330B76">
            <w:pPr>
              <w:rPr>
                <w:rFonts w:cs="Arial"/>
              </w:rPr>
            </w:pPr>
            <w:r>
              <w:rPr>
                <w:rFonts w:eastAsia="Times New Roman" w:cs="Arial"/>
                <w:lang w:eastAsia="en-GB"/>
              </w:rPr>
              <w:t>Withhold and discuss with specialist team.</w:t>
            </w:r>
          </w:p>
        </w:tc>
      </w:tr>
      <w:tr w:rsidR="00330B76" w:rsidRPr="00F321FC" w14:paraId="1D57B6D7" w14:textId="77777777" w:rsidTr="0007116B">
        <w:trPr>
          <w:cantSplit/>
          <w:trHeight w:val="48"/>
        </w:trPr>
        <w:tc>
          <w:tcPr>
            <w:tcW w:w="5245" w:type="dxa"/>
          </w:tcPr>
          <w:p w14:paraId="6514FE66" w14:textId="77777777" w:rsidR="00330B76" w:rsidRDefault="00330B76" w:rsidP="00330B76">
            <w:pPr>
              <w:spacing w:after="0"/>
              <w:rPr>
                <w:rFonts w:eastAsia="Times New Roman" w:cs="Arial"/>
                <w:b/>
                <w:lang w:eastAsia="en-GB"/>
              </w:rPr>
            </w:pPr>
            <w:r>
              <w:rPr>
                <w:rFonts w:eastAsia="Times New Roman" w:cs="Arial"/>
                <w:b/>
                <w:lang w:eastAsia="en-GB"/>
              </w:rPr>
              <w:t>Gastrointestinal disorders:</w:t>
            </w:r>
          </w:p>
          <w:p w14:paraId="71708A02" w14:textId="77777777" w:rsidR="00330B76" w:rsidRDefault="00330B76" w:rsidP="00330B76">
            <w:pPr>
              <w:spacing w:after="0"/>
              <w:rPr>
                <w:rFonts w:eastAsia="Times New Roman" w:cs="Arial"/>
                <w:bCs/>
                <w:lang w:eastAsia="en-GB"/>
              </w:rPr>
            </w:pPr>
            <w:r>
              <w:rPr>
                <w:rFonts w:eastAsia="Times New Roman" w:cs="Arial"/>
                <w:bCs/>
                <w:lang w:eastAsia="en-GB"/>
              </w:rPr>
              <w:t xml:space="preserve">Nausea </w:t>
            </w:r>
          </w:p>
          <w:p w14:paraId="0749D0BF" w14:textId="0284AC8A" w:rsidR="00330B76" w:rsidRPr="00F321FC" w:rsidRDefault="00330B76" w:rsidP="00330B76">
            <w:pPr>
              <w:rPr>
                <w:rFonts w:cs="Arial"/>
              </w:rPr>
            </w:pPr>
          </w:p>
        </w:tc>
        <w:tc>
          <w:tcPr>
            <w:tcW w:w="5245" w:type="dxa"/>
          </w:tcPr>
          <w:p w14:paraId="13AE35EE" w14:textId="056B71B5" w:rsidR="00330B76" w:rsidRPr="00F321FC" w:rsidRDefault="00330B76" w:rsidP="00330B76">
            <w:pPr>
              <w:rPr>
                <w:rFonts w:cs="Arial"/>
              </w:rPr>
            </w:pPr>
            <w:r>
              <w:rPr>
                <w:rFonts w:eastAsia="Times New Roman" w:cstheme="minorHAnsi"/>
                <w:lang w:eastAsia="en-GB"/>
              </w:rPr>
              <w:t>Review for reversible causes and treat as appropriate. Enquire which day of the week the patient takes their methotrexate, and which day(s) they take folic acid and confirm against the patient’s records. Discuss with specialist team if persistent or severe. Switch to subcutaneous therapy may be indicated, under specialist advice.</w:t>
            </w:r>
          </w:p>
        </w:tc>
      </w:tr>
      <w:tr w:rsidR="00330B76" w:rsidRPr="00F321FC" w14:paraId="38F6C6F9" w14:textId="77777777" w:rsidTr="0051526F">
        <w:trPr>
          <w:cantSplit/>
          <w:trHeight w:val="48"/>
        </w:trPr>
        <w:tc>
          <w:tcPr>
            <w:tcW w:w="5245" w:type="dxa"/>
          </w:tcPr>
          <w:p w14:paraId="254FB770" w14:textId="05F5CD5A" w:rsidR="00330B76" w:rsidRPr="00F321FC" w:rsidRDefault="00330B76" w:rsidP="00330B76">
            <w:pPr>
              <w:rPr>
                <w:rFonts w:cs="Arial"/>
              </w:rPr>
            </w:pPr>
            <w:r>
              <w:rPr>
                <w:rFonts w:eastAsia="Times New Roman" w:cs="Arial"/>
                <w:bCs/>
                <w:lang w:eastAsia="en-GB"/>
              </w:rPr>
              <w:t>Diarrhoea, ulcerative stomatitis, haematemesis, black or bloody stools, or suspected pancreatitis</w:t>
            </w:r>
          </w:p>
        </w:tc>
        <w:tc>
          <w:tcPr>
            <w:tcW w:w="5245" w:type="dxa"/>
          </w:tcPr>
          <w:p w14:paraId="3EC57A6F" w14:textId="41D3A9B2" w:rsidR="00330B76" w:rsidRPr="00F321FC" w:rsidRDefault="00330B76" w:rsidP="00330B76">
            <w:pPr>
              <w:rPr>
                <w:rFonts w:cs="Arial"/>
              </w:rPr>
            </w:pPr>
            <w:r>
              <w:rPr>
                <w:rFonts w:eastAsia="Times New Roman" w:cstheme="minorHAnsi"/>
                <w:lang w:eastAsia="en-GB"/>
              </w:rPr>
              <w:t>Withhold and discuss with specialist team.</w:t>
            </w:r>
          </w:p>
        </w:tc>
      </w:tr>
      <w:tr w:rsidR="00330B76" w:rsidRPr="00F321FC" w14:paraId="6C0FFF07" w14:textId="77777777" w:rsidTr="0051526F">
        <w:trPr>
          <w:cantSplit/>
          <w:trHeight w:val="48"/>
        </w:trPr>
        <w:tc>
          <w:tcPr>
            <w:tcW w:w="5245" w:type="dxa"/>
          </w:tcPr>
          <w:p w14:paraId="7021EDC0" w14:textId="77777777" w:rsidR="00330B76" w:rsidRDefault="00330B76" w:rsidP="00330B76">
            <w:pPr>
              <w:spacing w:after="0"/>
              <w:rPr>
                <w:rFonts w:eastAsia="Times New Roman" w:cs="Arial"/>
                <w:b/>
                <w:bCs/>
                <w:lang w:eastAsia="en-GB"/>
              </w:rPr>
            </w:pPr>
            <w:r>
              <w:rPr>
                <w:rFonts w:eastAsia="Times New Roman" w:cs="Arial"/>
                <w:b/>
                <w:bCs/>
                <w:lang w:eastAsia="en-GB"/>
              </w:rPr>
              <w:t xml:space="preserve">Symptoms of interstitial lung disease </w:t>
            </w:r>
          </w:p>
          <w:p w14:paraId="3A14071F" w14:textId="60AAC1A7" w:rsidR="00330B76" w:rsidRPr="00F321FC" w:rsidRDefault="00330B76" w:rsidP="00330B76">
            <w:pPr>
              <w:rPr>
                <w:rFonts w:cs="Arial"/>
              </w:rPr>
            </w:pPr>
            <w:r>
              <w:rPr>
                <w:rFonts w:eastAsia="Times New Roman" w:cs="Arial"/>
                <w:bCs/>
                <w:lang w:eastAsia="en-GB"/>
              </w:rPr>
              <w:t>e.g. persistent cough, dyspnoea, fever</w:t>
            </w:r>
          </w:p>
        </w:tc>
        <w:tc>
          <w:tcPr>
            <w:tcW w:w="5245" w:type="dxa"/>
          </w:tcPr>
          <w:p w14:paraId="0EBFB85A" w14:textId="11D41AE2" w:rsidR="00330B76" w:rsidRPr="00F321FC" w:rsidRDefault="00330B76" w:rsidP="00330B76">
            <w:pPr>
              <w:rPr>
                <w:rFonts w:cs="Arial"/>
              </w:rPr>
            </w:pPr>
            <w:r>
              <w:rPr>
                <w:rFonts w:eastAsia="Times New Roman" w:cstheme="minorHAnsi"/>
                <w:lang w:eastAsia="en-GB"/>
              </w:rPr>
              <w:t>If methotrexate-induced lung disease is suspected, discuss with specialist team urgently and withhold treatment. Treat with corticosteroids as directed by a specialist and do not restart methotrexate.</w:t>
            </w:r>
          </w:p>
        </w:tc>
      </w:tr>
      <w:tr w:rsidR="00330B76" w:rsidRPr="00F321FC" w14:paraId="32C58BB9" w14:textId="77777777" w:rsidTr="0051526F">
        <w:trPr>
          <w:cantSplit/>
          <w:trHeight w:val="48"/>
        </w:trPr>
        <w:tc>
          <w:tcPr>
            <w:tcW w:w="5245" w:type="dxa"/>
          </w:tcPr>
          <w:p w14:paraId="4B6DB15E" w14:textId="11180335" w:rsidR="00330B76" w:rsidRPr="00F321FC" w:rsidRDefault="00330B76" w:rsidP="00330B76">
            <w:pPr>
              <w:rPr>
                <w:rFonts w:cs="Arial"/>
              </w:rPr>
            </w:pPr>
            <w:r>
              <w:rPr>
                <w:rFonts w:eastAsia="Times New Roman" w:cs="Arial"/>
                <w:b/>
                <w:bCs/>
                <w:lang w:eastAsia="en-GB"/>
              </w:rPr>
              <w:t>Photosensitivity</w:t>
            </w:r>
          </w:p>
        </w:tc>
        <w:tc>
          <w:tcPr>
            <w:tcW w:w="5245" w:type="dxa"/>
          </w:tcPr>
          <w:p w14:paraId="6BB8FCC2" w14:textId="613FB715" w:rsidR="00330B76" w:rsidRPr="00F321FC" w:rsidRDefault="00330B76" w:rsidP="00330B76">
            <w:pPr>
              <w:rPr>
                <w:rFonts w:cs="Arial"/>
              </w:rPr>
            </w:pPr>
            <w:r>
              <w:rPr>
                <w:rFonts w:eastAsia="Times New Roman" w:cstheme="minorHAnsi"/>
                <w:lang w:eastAsia="en-GB"/>
              </w:rPr>
              <w:t xml:space="preserve">Continue methotrexate. Reinforce appropriate self-care e.g. sun avoidance and purchasing of a </w:t>
            </w:r>
            <w:proofErr w:type="gramStart"/>
            <w:r>
              <w:rPr>
                <w:rFonts w:eastAsia="Times New Roman" w:cstheme="minorHAnsi"/>
                <w:lang w:eastAsia="en-GB"/>
              </w:rPr>
              <w:t>broad spectrum</w:t>
            </w:r>
            <w:proofErr w:type="gramEnd"/>
            <w:r>
              <w:rPr>
                <w:rFonts w:eastAsia="Times New Roman" w:cstheme="minorHAnsi"/>
                <w:lang w:eastAsia="en-GB"/>
              </w:rPr>
              <w:t xml:space="preserve"> sunscreen (at least SPF30). See </w:t>
            </w:r>
            <w:hyperlink r:id="rId29" w:history="1">
              <w:r w:rsidRPr="00C137A6">
                <w:rPr>
                  <w:rStyle w:val="Hyperlink"/>
                  <w:rFonts w:eastAsia="Times New Roman" w:cstheme="minorHAnsi"/>
                  <w:lang w:eastAsia="en-GB"/>
                </w:rPr>
                <w:t>MHRA advice</w:t>
              </w:r>
            </w:hyperlink>
            <w:r>
              <w:rPr>
                <w:rFonts w:eastAsia="Times New Roman" w:cstheme="minorHAnsi"/>
                <w:lang w:eastAsia="en-GB"/>
              </w:rPr>
              <w:t xml:space="preserve">. </w:t>
            </w:r>
          </w:p>
        </w:tc>
      </w:tr>
      <w:tr w:rsidR="00330B76" w:rsidRPr="00F321FC" w14:paraId="438CD57B" w14:textId="77777777" w:rsidTr="0051526F">
        <w:trPr>
          <w:cantSplit/>
          <w:trHeight w:val="48"/>
        </w:trPr>
        <w:tc>
          <w:tcPr>
            <w:tcW w:w="5245" w:type="dxa"/>
          </w:tcPr>
          <w:p w14:paraId="17B4C112" w14:textId="645F8E9F" w:rsidR="00330B76" w:rsidRPr="00F321FC" w:rsidRDefault="00330B76" w:rsidP="00330B76">
            <w:pPr>
              <w:rPr>
                <w:rFonts w:cs="Arial"/>
              </w:rPr>
            </w:pPr>
            <w:r>
              <w:rPr>
                <w:rFonts w:eastAsia="Times New Roman" w:cs="Arial"/>
                <w:b/>
                <w:bCs/>
                <w:lang w:eastAsia="en-GB"/>
              </w:rPr>
              <w:t>Pregnancy</w:t>
            </w:r>
          </w:p>
        </w:tc>
        <w:tc>
          <w:tcPr>
            <w:tcW w:w="5245" w:type="dxa"/>
          </w:tcPr>
          <w:p w14:paraId="2315988B" w14:textId="48F23880" w:rsidR="00330B76" w:rsidRPr="00330B76" w:rsidRDefault="00330B76" w:rsidP="00330B76">
            <w:pPr>
              <w:numPr>
                <w:ilvl w:val="0"/>
                <w:numId w:val="18"/>
              </w:numPr>
              <w:tabs>
                <w:tab w:val="left" w:pos="1089"/>
              </w:tabs>
              <w:spacing w:before="0" w:after="0"/>
              <w:rPr>
                <w:rFonts w:cs="Arial"/>
              </w:rPr>
            </w:pPr>
            <w:r>
              <w:rPr>
                <w:rFonts w:eastAsia="Times New Roman" w:cstheme="minorHAnsi"/>
                <w:lang w:eastAsia="en-GB"/>
              </w:rPr>
              <w:t>In pregnant patients, stop methotrexate immediately and prescribe folic acid 5 mg/day. Discuss with specialist team urgently</w:t>
            </w:r>
            <w:r w:rsidR="001E7573">
              <w:rPr>
                <w:rFonts w:eastAsia="Times New Roman" w:cstheme="minorHAnsi"/>
                <w:lang w:eastAsia="en-GB"/>
              </w:rPr>
              <w:t xml:space="preserve"> - </w:t>
            </w:r>
            <w:r w:rsidR="001E7573" w:rsidRPr="00C32DA6">
              <w:rPr>
                <w:rFonts w:eastAsia="Times New Roman" w:cstheme="minorHAnsi"/>
                <w:lang w:eastAsia="en-GB"/>
              </w:rPr>
              <w:t xml:space="preserve">The prescribing consultant must be informed the same day (by email) that methotrexate has been stopped and should </w:t>
            </w:r>
            <w:proofErr w:type="gramStart"/>
            <w:r w:rsidR="001E7573" w:rsidRPr="00C32DA6">
              <w:rPr>
                <w:rFonts w:eastAsia="Times New Roman" w:cstheme="minorHAnsi"/>
                <w:lang w:eastAsia="en-GB"/>
              </w:rPr>
              <w:t>make contact with</w:t>
            </w:r>
            <w:proofErr w:type="gramEnd"/>
            <w:r w:rsidR="001E7573" w:rsidRPr="00C32DA6">
              <w:rPr>
                <w:rFonts w:eastAsia="Times New Roman" w:cstheme="minorHAnsi"/>
                <w:lang w:eastAsia="en-GB"/>
              </w:rPr>
              <w:t xml:space="preserve"> the patient to plan alternative treatment (where applicable). The patient should contact the consultant’s secretary if they have not heard from the team within 2-3 working days to request review and should get back in touch with the pharmacy team or their GP if they have not had contact from the specialist team within 7 </w:t>
            </w:r>
            <w:r w:rsidR="00FA6EE6" w:rsidRPr="00FA6EE6">
              <w:rPr>
                <w:rFonts w:eastAsia="Times New Roman" w:cstheme="minorHAnsi"/>
                <w:lang w:eastAsia="en-GB"/>
              </w:rPr>
              <w:t>days.</w:t>
            </w:r>
            <w:r>
              <w:rPr>
                <w:rFonts w:eastAsia="Times New Roman" w:cstheme="minorHAnsi"/>
                <w:lang w:eastAsia="en-GB"/>
              </w:rPr>
              <w:t xml:space="preserve"> See </w:t>
            </w:r>
            <w:hyperlink w:anchor="twelve_pregnancy" w:history="1">
              <w:r>
                <w:rPr>
                  <w:rStyle w:val="Hyperlink"/>
                  <w:rFonts w:eastAsia="Times New Roman" w:cstheme="minorHAnsi"/>
                  <w:lang w:eastAsia="en-GB"/>
                </w:rPr>
                <w:t>section 12</w:t>
              </w:r>
            </w:hyperlink>
            <w:r>
              <w:rPr>
                <w:rFonts w:eastAsia="Times New Roman" w:cstheme="minorHAnsi"/>
                <w:lang w:eastAsia="en-GB"/>
              </w:rPr>
              <w:t xml:space="preserve">. </w:t>
            </w:r>
          </w:p>
          <w:p w14:paraId="6765B2E4" w14:textId="2596D304" w:rsidR="00330B76" w:rsidRPr="00F321FC" w:rsidRDefault="00330B76" w:rsidP="00330B76">
            <w:pPr>
              <w:numPr>
                <w:ilvl w:val="0"/>
                <w:numId w:val="18"/>
              </w:numPr>
              <w:tabs>
                <w:tab w:val="left" w:pos="1089"/>
              </w:tabs>
              <w:spacing w:before="0" w:after="0"/>
              <w:rPr>
                <w:rFonts w:cs="Arial"/>
              </w:rPr>
            </w:pPr>
            <w:r>
              <w:rPr>
                <w:rFonts w:eastAsia="Times New Roman" w:cstheme="minorHAnsi"/>
                <w:lang w:eastAsia="en-GB"/>
              </w:rPr>
              <w:t xml:space="preserve">In pregnancies with paternal exposure, see </w:t>
            </w:r>
            <w:hyperlink w:anchor="twelve_pregnancy" w:history="1">
              <w:r>
                <w:rPr>
                  <w:rStyle w:val="Hyperlink"/>
                  <w:rFonts w:eastAsia="Times New Roman" w:cstheme="minorHAnsi"/>
                  <w:lang w:eastAsia="en-GB"/>
                </w:rPr>
                <w:t>section 12</w:t>
              </w:r>
            </w:hyperlink>
            <w:r>
              <w:rPr>
                <w:rFonts w:eastAsia="Times New Roman" w:cstheme="minorHAnsi"/>
                <w:lang w:eastAsia="en-GB"/>
              </w:rPr>
              <w:t>.</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268"/>
        <w:gridCol w:w="8193"/>
      </w:tblGrid>
      <w:tr w:rsidR="00330B76" w:rsidRPr="00F321FC" w14:paraId="399D38CB" w14:textId="77777777" w:rsidTr="00BF174A">
        <w:tc>
          <w:tcPr>
            <w:tcW w:w="2268" w:type="dxa"/>
          </w:tcPr>
          <w:p w14:paraId="139BFC3E" w14:textId="77777777" w:rsidR="00330B76" w:rsidRDefault="00330B76" w:rsidP="00330B76">
            <w:pPr>
              <w:pStyle w:val="Heading2"/>
              <w:rPr>
                <w:rFonts w:cs="Arial"/>
              </w:rPr>
            </w:pPr>
            <w:bookmarkStart w:id="18" w:name="eleven_patient_advice"/>
            <w:bookmarkStart w:id="19" w:name="_Toc149231795"/>
            <w:r w:rsidRPr="00F321FC">
              <w:rPr>
                <w:rFonts w:cs="Arial"/>
              </w:rPr>
              <w:t>Advice to patients and carers</w:t>
            </w:r>
            <w:bookmarkEnd w:id="18"/>
            <w:bookmarkEnd w:id="19"/>
          </w:p>
          <w:p w14:paraId="4928E953" w14:textId="77777777" w:rsidR="00330B76" w:rsidRDefault="00330B76" w:rsidP="00330B76"/>
          <w:p w14:paraId="7E51F76A" w14:textId="42531282" w:rsidR="00330B76" w:rsidRPr="005D79FA" w:rsidRDefault="00330B76" w:rsidP="00330B76">
            <w:r w:rsidRPr="00F321FC">
              <w:rPr>
                <w:rFonts w:cs="Arial"/>
              </w:rPr>
              <w:t xml:space="preserve">The specialist will counsel the patient </w:t>
            </w:r>
            <w:proofErr w:type="gramStart"/>
            <w:r w:rsidRPr="00F321FC">
              <w:rPr>
                <w:rFonts w:cs="Arial"/>
              </w:rPr>
              <w:t>with regard to</w:t>
            </w:r>
            <w:proofErr w:type="gramEnd"/>
            <w:r w:rsidRPr="00F321FC">
              <w:rPr>
                <w:rFonts w:cs="Arial"/>
              </w:rPr>
              <w:t xml:space="preserve"> the benefits and risks of treatment and will provide the patient with any relevant information and advice, including patient information leaflets on individual drugs.</w:t>
            </w:r>
          </w:p>
        </w:tc>
        <w:tc>
          <w:tcPr>
            <w:tcW w:w="8193" w:type="dxa"/>
          </w:tcPr>
          <w:p w14:paraId="1EA6234A" w14:textId="77777777" w:rsidR="00330B76" w:rsidRPr="008A05AC" w:rsidRDefault="00330B76" w:rsidP="00371B9A">
            <w:pPr>
              <w:rPr>
                <w:rFonts w:eastAsia="Times New Roman" w:cs="Arial"/>
                <w:b/>
                <w:lang w:eastAsia="en-GB"/>
              </w:rPr>
            </w:pPr>
            <w:r w:rsidRPr="008A05AC">
              <w:rPr>
                <w:rFonts w:eastAsia="Times New Roman" w:cs="Arial"/>
                <w:b/>
                <w:lang w:eastAsia="en-GB"/>
              </w:rPr>
              <w:t xml:space="preserve">The patient should be advised to report any of the following signs or symptoms to their primary care prescriber without delay:          </w:t>
            </w:r>
          </w:p>
          <w:p w14:paraId="66A49FA1"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 xml:space="preserve">Symptoms of </w:t>
            </w:r>
            <w:proofErr w:type="gramStart"/>
            <w:r w:rsidRPr="008A05AC">
              <w:rPr>
                <w:rFonts w:eastAsia="Times New Roman" w:cs="Arial"/>
                <w:lang w:eastAsia="en-GB"/>
              </w:rPr>
              <w:t>chickenpox, or</w:t>
            </w:r>
            <w:proofErr w:type="gramEnd"/>
            <w:r w:rsidRPr="008A05AC">
              <w:rPr>
                <w:rFonts w:eastAsia="Times New Roman" w:cs="Arial"/>
                <w:lang w:eastAsia="en-GB"/>
              </w:rPr>
              <w:t xml:space="preserve"> contact with a person with chickenpox or shingles.</w:t>
            </w:r>
          </w:p>
          <w:p w14:paraId="548CC3D8"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Persistent cough, shortness of breath, or any other problems with breathing.</w:t>
            </w:r>
          </w:p>
          <w:p w14:paraId="374225F0"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Sore throat, mouth ulcers, high temperature, skin rash, swollen glands, or any other signs or symptoms of infection</w:t>
            </w:r>
          </w:p>
          <w:p w14:paraId="7FB63450"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Signs or symptoms of liver problems, such as yellow skin or eyes (jaundice), itching all over, nausea or vomiting.</w:t>
            </w:r>
          </w:p>
          <w:p w14:paraId="0C01CFE3" w14:textId="3E377501" w:rsidR="00330B76" w:rsidRPr="008A05AC" w:rsidRDefault="00330B76" w:rsidP="006D1E60">
            <w:pPr>
              <w:pStyle w:val="ListParagraph"/>
              <w:numPr>
                <w:ilvl w:val="0"/>
                <w:numId w:val="19"/>
              </w:numPr>
              <w:rPr>
                <w:rFonts w:eastAsia="Times New Roman" w:cs="Arial"/>
                <w:lang w:eastAsia="en-GB"/>
              </w:rPr>
            </w:pPr>
            <w:r>
              <w:rPr>
                <w:rFonts w:eastAsia="Times New Roman" w:cs="Arial"/>
                <w:lang w:eastAsia="en-GB"/>
              </w:rPr>
              <w:t>Any unusual swelling</w:t>
            </w:r>
          </w:p>
          <w:p w14:paraId="3C90DD74"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Unexplained bleeding or bruising, black stools, or blood in the vomit or stools.</w:t>
            </w:r>
          </w:p>
          <w:p w14:paraId="1C8C8881" w14:textId="77777777" w:rsidR="00330B76" w:rsidRPr="008A05AC" w:rsidRDefault="00330B76" w:rsidP="006D1E60">
            <w:pPr>
              <w:pStyle w:val="ListParagraph"/>
              <w:numPr>
                <w:ilvl w:val="0"/>
                <w:numId w:val="19"/>
              </w:numPr>
              <w:rPr>
                <w:rFonts w:eastAsia="Times New Roman" w:cs="Arial"/>
                <w:lang w:eastAsia="en-GB"/>
              </w:rPr>
            </w:pPr>
            <w:r w:rsidRPr="008A05AC">
              <w:rPr>
                <w:rFonts w:eastAsia="Times New Roman" w:cs="Arial"/>
                <w:lang w:eastAsia="en-GB"/>
              </w:rPr>
              <w:t xml:space="preserve">Suspected or confirmed pregnancy. </w:t>
            </w:r>
          </w:p>
          <w:p w14:paraId="565D7CC7" w14:textId="77777777" w:rsidR="00330B76" w:rsidRPr="008A05AC" w:rsidRDefault="00330B76" w:rsidP="00371B9A">
            <w:pPr>
              <w:rPr>
                <w:rFonts w:eastAsia="Times New Roman" w:cs="Arial"/>
                <w:lang w:eastAsia="en-GB"/>
              </w:rPr>
            </w:pPr>
          </w:p>
          <w:p w14:paraId="5B88B5CF" w14:textId="77777777" w:rsidR="00330B76" w:rsidRPr="008A05AC" w:rsidRDefault="00330B76" w:rsidP="00371B9A">
            <w:pPr>
              <w:rPr>
                <w:rFonts w:eastAsia="Times New Roman" w:cs="Arial"/>
                <w:b/>
                <w:lang w:eastAsia="en-GB"/>
              </w:rPr>
            </w:pPr>
            <w:r w:rsidRPr="008A05AC">
              <w:rPr>
                <w:rFonts w:eastAsia="Times New Roman" w:cs="Arial"/>
                <w:b/>
                <w:lang w:eastAsia="en-GB"/>
              </w:rPr>
              <w:t>The patient and/or carer should be advised:</w:t>
            </w:r>
          </w:p>
          <w:p w14:paraId="26B3A609"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What shared care means for their treatment, what to expect, and their responsibilities under shared care. </w:t>
            </w:r>
          </w:p>
          <w:p w14:paraId="54F566F5"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Methotrexate is taken </w:t>
            </w:r>
            <w:r w:rsidRPr="008A05AC">
              <w:rPr>
                <w:rFonts w:eastAsia="Times New Roman" w:cs="Arial"/>
                <w:b/>
                <w:u w:val="single"/>
                <w:lang w:eastAsia="en-GB"/>
              </w:rPr>
              <w:t xml:space="preserve">once </w:t>
            </w:r>
            <w:proofErr w:type="gramStart"/>
            <w:r w:rsidRPr="008A05AC">
              <w:rPr>
                <w:rFonts w:eastAsia="Times New Roman" w:cs="Arial"/>
                <w:b/>
                <w:u w:val="single"/>
                <w:lang w:eastAsia="en-GB"/>
              </w:rPr>
              <w:t>weekly</w:t>
            </w:r>
            <w:r w:rsidRPr="008A05AC">
              <w:rPr>
                <w:rFonts w:eastAsia="Times New Roman" w:cs="Arial"/>
                <w:lang w:eastAsia="en-GB"/>
              </w:rPr>
              <w:t>, and</w:t>
            </w:r>
            <w:proofErr w:type="gramEnd"/>
            <w:r w:rsidRPr="008A05AC">
              <w:rPr>
                <w:rFonts w:eastAsia="Times New Roman" w:cs="Arial"/>
                <w:lang w:eastAsia="en-GB"/>
              </w:rPr>
              <w:t xml:space="preserve"> taking it more frequently can be dangerous. If a patient thinks they have taken too much methotrexate they should immediately seek advice from their prescriber, or NHS 111. </w:t>
            </w:r>
          </w:p>
          <w:p w14:paraId="657BADFA"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For patients taking tablets, that they will only ever be prescribed methotrexate 2.5 mg tablets. </w:t>
            </w:r>
            <w:r w:rsidRPr="008A05AC">
              <w:rPr>
                <w:rFonts w:eastAsia="Times New Roman" w:cs="Arial"/>
                <w:b/>
                <w:u w:val="single"/>
                <w:lang w:eastAsia="en-GB"/>
              </w:rPr>
              <w:t>Patients who receive 10 mg tablets should always question the discrepancy</w:t>
            </w:r>
            <w:r w:rsidRPr="008A05AC">
              <w:rPr>
                <w:rFonts w:eastAsia="Times New Roman" w:cs="Arial"/>
                <w:lang w:eastAsia="en-GB"/>
              </w:rPr>
              <w:t xml:space="preserve">. </w:t>
            </w:r>
          </w:p>
          <w:p w14:paraId="54CE3C04" w14:textId="77777777" w:rsidR="00330B76"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Which day or days they should take their folic acid, with emphasis that methotrexate and folic acid should not be taken on the same day. </w:t>
            </w:r>
          </w:p>
          <w:p w14:paraId="5D694410" w14:textId="54586912" w:rsidR="00DF3E89" w:rsidRPr="008A05AC" w:rsidRDefault="00DF3E89" w:rsidP="006D1E60">
            <w:pPr>
              <w:pStyle w:val="ListParagraph"/>
              <w:numPr>
                <w:ilvl w:val="0"/>
                <w:numId w:val="19"/>
              </w:numPr>
              <w:ind w:left="357" w:hanging="357"/>
              <w:rPr>
                <w:rFonts w:eastAsia="Times New Roman" w:cs="Arial"/>
                <w:lang w:eastAsia="en-GB"/>
              </w:rPr>
            </w:pPr>
            <w:r>
              <w:rPr>
                <w:rFonts w:eastAsia="Times New Roman" w:cs="Arial"/>
                <w:lang w:eastAsia="en-GB"/>
              </w:rPr>
              <w:t>What action to take in event of sickness</w:t>
            </w:r>
            <w:r w:rsidR="00D9299C">
              <w:rPr>
                <w:rFonts w:eastAsia="Times New Roman" w:cs="Arial"/>
                <w:lang w:eastAsia="en-GB"/>
              </w:rPr>
              <w:t xml:space="preserve"> / missed dose</w:t>
            </w:r>
          </w:p>
          <w:p w14:paraId="06E14A63"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Moderate their alcohol intake to no more than 14 units per week while taking methotrexate.</w:t>
            </w:r>
            <w:r w:rsidRPr="008A05AC">
              <w:rPr>
                <w:rFonts w:cs="Arial"/>
              </w:rPr>
              <w:t xml:space="preserve"> More information can be found at </w:t>
            </w:r>
            <w:hyperlink r:id="rId30" w:history="1">
              <w:r w:rsidRPr="008A05AC">
                <w:rPr>
                  <w:rStyle w:val="Hyperlink"/>
                  <w:rFonts w:cs="Arial"/>
                </w:rPr>
                <w:t>https://www.nhs.uk/live-well/alcohol-support/calculating-alcohol-units/</w:t>
              </w:r>
            </w:hyperlink>
            <w:r w:rsidRPr="008A05AC">
              <w:rPr>
                <w:rFonts w:cs="Arial"/>
              </w:rPr>
              <w:t>.</w:t>
            </w:r>
            <w:r w:rsidRPr="008A05AC">
              <w:rPr>
                <w:rFonts w:eastAsia="Times New Roman" w:cs="Arial"/>
                <w:lang w:eastAsia="en-GB"/>
              </w:rPr>
              <w:t xml:space="preserve"> Taking alcohol and methotrexate together increases the risk of liver injury. </w:t>
            </w:r>
          </w:p>
          <w:p w14:paraId="0BEF5EC8" w14:textId="77777777" w:rsidR="00330B76" w:rsidRPr="008A05AC" w:rsidRDefault="00330B76" w:rsidP="006D1E60">
            <w:pPr>
              <w:pStyle w:val="Default"/>
              <w:numPr>
                <w:ilvl w:val="0"/>
                <w:numId w:val="19"/>
              </w:numPr>
              <w:spacing w:before="60" w:after="60"/>
              <w:ind w:left="357" w:hanging="357"/>
              <w:rPr>
                <w:rFonts w:ascii="Arial" w:hAnsi="Arial" w:cs="Arial"/>
                <w:bCs/>
                <w:color w:val="auto"/>
                <w:sz w:val="22"/>
                <w:szCs w:val="22"/>
              </w:rPr>
            </w:pPr>
            <w:r w:rsidRPr="008A05AC">
              <w:rPr>
                <w:rFonts w:ascii="Arial" w:hAnsi="Arial" w:cs="Arial"/>
                <w:bCs/>
                <w:iCs/>
                <w:color w:val="auto"/>
                <w:sz w:val="22"/>
                <w:szCs w:val="22"/>
              </w:rPr>
              <w:t>Tell anyone who prescribes them a medicine that they are taking methotrexate. Always ask a pharmacist before purchasing any medicines over the counter, including herbal remedies, and ask if they are safe.</w:t>
            </w:r>
          </w:p>
          <w:p w14:paraId="7913D593" w14:textId="16BE8BCC"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Skin may be more sensitive to exposure to UV light while taking methotrexate. </w:t>
            </w:r>
            <w:r>
              <w:rPr>
                <w:rFonts w:eastAsia="Times New Roman" w:cs="Arial"/>
                <w:lang w:eastAsia="en-GB"/>
              </w:rPr>
              <w:t>U</w:t>
            </w:r>
            <w:r w:rsidRPr="008A05AC">
              <w:rPr>
                <w:rFonts w:eastAsia="Times New Roman" w:cs="Arial"/>
                <w:lang w:eastAsia="en-GB"/>
              </w:rPr>
              <w:t xml:space="preserve">se appropriate self-care: e.g. </w:t>
            </w:r>
            <w:r>
              <w:rPr>
                <w:rFonts w:eastAsia="Times New Roman" w:cs="Arial"/>
                <w:lang w:eastAsia="en-GB"/>
              </w:rPr>
              <w:t xml:space="preserve">avoid exposure to intense sunlight (especially between 11am and 3pm) or to UV rays (e.g. sunbeds or tanning equipment), use a sun protection product with a high protection factor </w:t>
            </w:r>
            <w:r w:rsidRPr="008A05AC">
              <w:rPr>
                <w:rFonts w:eastAsia="Times New Roman" w:cs="Arial"/>
                <w:lang w:eastAsia="en-GB"/>
              </w:rPr>
              <w:t>(at least SPF30)</w:t>
            </w:r>
            <w:r>
              <w:rPr>
                <w:rFonts w:eastAsia="Times New Roman" w:cs="Arial"/>
                <w:lang w:eastAsia="en-GB"/>
              </w:rPr>
              <w:t>., wear a hat and clothes that cover your arms and legs when in the sun</w:t>
            </w:r>
            <w:r w:rsidRPr="008A05AC">
              <w:rPr>
                <w:rFonts w:eastAsia="Times New Roman" w:cs="Arial"/>
                <w:lang w:eastAsia="en-GB"/>
              </w:rPr>
              <w:t xml:space="preserve">.  </w:t>
            </w:r>
            <w:r>
              <w:rPr>
                <w:rFonts w:eastAsia="Times New Roman" w:cs="Arial"/>
                <w:lang w:eastAsia="en-GB"/>
              </w:rPr>
              <w:t xml:space="preserve">Talk to a healthcare professional if you are worried about a skin reaction you have had while taking methotrexate. See </w:t>
            </w:r>
            <w:hyperlink r:id="rId31" w:history="1">
              <w:r w:rsidRPr="005B7910">
                <w:rPr>
                  <w:rStyle w:val="Hyperlink"/>
                  <w:rFonts w:eastAsia="Times New Roman" w:cs="Arial"/>
                  <w:lang w:eastAsia="en-GB"/>
                </w:rPr>
                <w:t>MHRA advice</w:t>
              </w:r>
            </w:hyperlink>
            <w:r>
              <w:rPr>
                <w:rFonts w:eastAsia="Times New Roman" w:cs="Arial"/>
                <w:lang w:eastAsia="en-GB"/>
              </w:rPr>
              <w:t xml:space="preserve">. </w:t>
            </w:r>
          </w:p>
          <w:p w14:paraId="28042019" w14:textId="77777777" w:rsidR="001F7814"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To use effective contraception</w:t>
            </w:r>
            <w:r>
              <w:rPr>
                <w:rFonts w:eastAsia="Times New Roman" w:cs="Arial"/>
                <w:lang w:eastAsia="en-GB"/>
              </w:rPr>
              <w:t xml:space="preserve"> while taking methotrexate and for</w:t>
            </w:r>
          </w:p>
          <w:p w14:paraId="1942053B" w14:textId="1A27954B" w:rsidR="001F7814" w:rsidRDefault="0052564B" w:rsidP="001F7814">
            <w:pPr>
              <w:pStyle w:val="ListParagraph"/>
              <w:numPr>
                <w:ilvl w:val="1"/>
                <w:numId w:val="19"/>
              </w:numPr>
              <w:rPr>
                <w:rFonts w:eastAsia="Times New Roman" w:cs="Arial"/>
                <w:lang w:eastAsia="en-GB"/>
              </w:rPr>
            </w:pPr>
            <w:r>
              <w:rPr>
                <w:rFonts w:eastAsia="Times New Roman" w:cs="Arial"/>
                <w:lang w:eastAsia="en-GB"/>
              </w:rPr>
              <w:t>At least one month after stopping in patents of child</w:t>
            </w:r>
            <w:r w:rsidR="000F44FC">
              <w:rPr>
                <w:rFonts w:eastAsia="Times New Roman" w:cs="Arial"/>
                <w:lang w:eastAsia="en-GB"/>
              </w:rPr>
              <w:t>bearing potential</w:t>
            </w:r>
          </w:p>
          <w:p w14:paraId="7A9AB3B2" w14:textId="78AB6262" w:rsidR="000F44FC" w:rsidRDefault="000F44FC" w:rsidP="005F27D5">
            <w:pPr>
              <w:pStyle w:val="ListParagraph"/>
              <w:numPr>
                <w:ilvl w:val="1"/>
                <w:numId w:val="19"/>
              </w:numPr>
              <w:rPr>
                <w:rFonts w:eastAsia="Times New Roman" w:cs="Arial"/>
                <w:lang w:eastAsia="en-GB"/>
              </w:rPr>
            </w:pPr>
            <w:r>
              <w:rPr>
                <w:rFonts w:eastAsia="Times New Roman" w:cs="Arial"/>
                <w:lang w:eastAsia="en-GB"/>
              </w:rPr>
              <w:t>Three months after stopping in paternal exposure</w:t>
            </w:r>
          </w:p>
          <w:p w14:paraId="063A32AC" w14:textId="2B56F2F2" w:rsidR="006F748B" w:rsidRDefault="00330B76" w:rsidP="006D1E60">
            <w:pPr>
              <w:pStyle w:val="ListParagraph"/>
              <w:numPr>
                <w:ilvl w:val="0"/>
                <w:numId w:val="19"/>
              </w:numPr>
              <w:ind w:left="357" w:hanging="357"/>
              <w:rPr>
                <w:rFonts w:eastAsia="Times New Roman" w:cs="Arial"/>
                <w:lang w:eastAsia="en-GB"/>
              </w:rPr>
            </w:pPr>
            <w:r>
              <w:rPr>
                <w:rFonts w:cs="Arial"/>
              </w:rPr>
              <w:t>T</w:t>
            </w:r>
            <w:r w:rsidRPr="008A05AC">
              <w:rPr>
                <w:rFonts w:cs="Arial"/>
              </w:rPr>
              <w:t xml:space="preserve">o </w:t>
            </w:r>
            <w:r w:rsidRPr="008A05AC">
              <w:rPr>
                <w:rFonts w:eastAsia="Times New Roman" w:cs="Arial"/>
                <w:lang w:eastAsia="en-GB"/>
              </w:rPr>
              <w:t>take a pregnancy test if they think they could be pregnant. Patients should inform the specialist or GP immediately if they become pregnant</w:t>
            </w:r>
            <w:r w:rsidR="006F748B">
              <w:rPr>
                <w:rFonts w:eastAsia="Times New Roman" w:cs="Arial"/>
                <w:lang w:eastAsia="en-GB"/>
              </w:rPr>
              <w:t>, so that their treatment can be urgently reviewed</w:t>
            </w:r>
            <w:r w:rsidRPr="008A05AC">
              <w:rPr>
                <w:rFonts w:eastAsia="Times New Roman" w:cs="Arial"/>
                <w:lang w:eastAsia="en-GB"/>
              </w:rPr>
              <w:t xml:space="preserve">. </w:t>
            </w:r>
            <w:r w:rsidR="006F748B">
              <w:rPr>
                <w:rFonts w:eastAsia="Times New Roman" w:cs="Arial"/>
                <w:lang w:eastAsia="en-GB"/>
              </w:rPr>
              <w:t xml:space="preserve">Patients should not stop taking methotrexate without speaking to their specialist or GP first. </w:t>
            </w:r>
          </w:p>
          <w:p w14:paraId="08F56E14" w14:textId="296441BA"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All patients, both men and women, should inform their specialist well in advance if they are planning a pregnancy so that changes can be made to their treatment regime. </w:t>
            </w:r>
          </w:p>
          <w:p w14:paraId="4A8CAA8A"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eastAsia="Times New Roman" w:cs="Arial"/>
                <w:lang w:eastAsia="en-GB"/>
              </w:rPr>
              <w:t xml:space="preserve">Not to drive or operate heavy machinery if methotrexate affects their ability to do so safely, e.g. due to fatigue or dizziness. </w:t>
            </w:r>
          </w:p>
          <w:p w14:paraId="11774F98" w14:textId="77777777" w:rsidR="00330B76" w:rsidRPr="008A05AC" w:rsidRDefault="00330B76" w:rsidP="006D1E60">
            <w:pPr>
              <w:pStyle w:val="ListParagraph"/>
              <w:numPr>
                <w:ilvl w:val="0"/>
                <w:numId w:val="19"/>
              </w:numPr>
              <w:ind w:left="357" w:hanging="357"/>
              <w:rPr>
                <w:rFonts w:eastAsia="Times New Roman" w:cs="Arial"/>
                <w:lang w:eastAsia="en-GB"/>
              </w:rPr>
            </w:pPr>
            <w:r w:rsidRPr="008A05AC">
              <w:rPr>
                <w:rFonts w:cs="Arial"/>
                <w:bCs/>
              </w:rPr>
              <w:t>That vaccination in line with current national advice (e.g. for COVID-19, influenza) is safe and recommended.</w:t>
            </w:r>
          </w:p>
          <w:p w14:paraId="29353D6E" w14:textId="77777777" w:rsidR="00330B76" w:rsidRPr="008A05AC" w:rsidRDefault="00330B76" w:rsidP="006D1E60">
            <w:pPr>
              <w:pStyle w:val="Default"/>
              <w:numPr>
                <w:ilvl w:val="0"/>
                <w:numId w:val="19"/>
              </w:numPr>
              <w:spacing w:before="60" w:after="60"/>
              <w:ind w:left="357" w:hanging="357"/>
              <w:rPr>
                <w:rFonts w:ascii="Arial" w:hAnsi="Arial" w:cs="Arial"/>
                <w:bCs/>
                <w:color w:val="auto"/>
                <w:sz w:val="22"/>
                <w:szCs w:val="22"/>
              </w:rPr>
            </w:pPr>
            <w:r w:rsidRPr="008A05AC">
              <w:rPr>
                <w:rFonts w:ascii="Arial" w:hAnsi="Arial" w:cs="Arial"/>
                <w:bCs/>
                <w:color w:val="auto"/>
                <w:sz w:val="22"/>
                <w:szCs w:val="22"/>
              </w:rPr>
              <w:t>For patients taking 20mg/week or more: 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7A827C2D" w14:textId="77777777" w:rsidR="00330B76" w:rsidRPr="008A05AC" w:rsidRDefault="00330B76" w:rsidP="006D1E60">
            <w:pPr>
              <w:pStyle w:val="Default"/>
              <w:widowControl w:val="0"/>
              <w:numPr>
                <w:ilvl w:val="1"/>
                <w:numId w:val="19"/>
              </w:numPr>
              <w:spacing w:before="60" w:after="60"/>
              <w:rPr>
                <w:rFonts w:ascii="Arial" w:hAnsi="Arial" w:cs="Arial"/>
                <w:bCs/>
                <w:color w:val="auto"/>
                <w:sz w:val="22"/>
                <w:szCs w:val="22"/>
              </w:rPr>
            </w:pPr>
            <w:r w:rsidRPr="008A05AC">
              <w:rPr>
                <w:rFonts w:ascii="Arial" w:hAnsi="Arial" w:cs="Arial"/>
                <w:bCs/>
                <w:color w:val="auto"/>
                <w:sz w:val="22"/>
                <w:szCs w:val="22"/>
              </w:rPr>
              <w:t xml:space="preserve">the </w:t>
            </w:r>
            <w:hyperlink r:id="rId32" w:history="1">
              <w:r w:rsidRPr="008A05AC">
                <w:rPr>
                  <w:rStyle w:val="Hyperlink"/>
                  <w:rFonts w:ascii="Arial" w:hAnsi="Arial" w:cs="Arial"/>
                  <w:bCs/>
                  <w:sz w:val="22"/>
                  <w:szCs w:val="22"/>
                </w:rPr>
                <w:t>Green Book (Chapter 34)</w:t>
              </w:r>
            </w:hyperlink>
            <w:r w:rsidRPr="008A05AC">
              <w:rPr>
                <w:rFonts w:ascii="Arial" w:hAnsi="Arial" w:cs="Arial"/>
                <w:bCs/>
                <w:color w:val="auto"/>
                <w:sz w:val="22"/>
                <w:szCs w:val="22"/>
              </w:rPr>
              <w:t xml:space="preserve"> </w:t>
            </w:r>
          </w:p>
          <w:p w14:paraId="7AE2B4AB" w14:textId="733E0E18" w:rsidR="00330B76" w:rsidRPr="008A05AC" w:rsidRDefault="00330B76" w:rsidP="006D1E60">
            <w:pPr>
              <w:pStyle w:val="Default"/>
              <w:widowControl w:val="0"/>
              <w:numPr>
                <w:ilvl w:val="1"/>
                <w:numId w:val="19"/>
              </w:numPr>
              <w:spacing w:before="60" w:after="60"/>
              <w:rPr>
                <w:rFonts w:ascii="Arial" w:hAnsi="Arial" w:cs="Arial"/>
                <w:color w:val="auto"/>
                <w:sz w:val="22"/>
                <w:szCs w:val="22"/>
              </w:rPr>
            </w:pPr>
            <w:r w:rsidRPr="008A05AC">
              <w:rPr>
                <w:rFonts w:ascii="Arial" w:hAnsi="Arial" w:cs="Arial"/>
                <w:color w:val="auto"/>
                <w:sz w:val="22"/>
                <w:szCs w:val="22"/>
              </w:rPr>
              <w:t xml:space="preserve">UKSHA guidance: </w:t>
            </w:r>
            <w:hyperlink r:id="rId33" w:history="1">
              <w:r w:rsidRPr="008A05AC">
                <w:rPr>
                  <w:rStyle w:val="Hyperlink"/>
                  <w:rFonts w:ascii="Arial" w:hAnsi="Arial" w:cs="Arial"/>
                  <w:sz w:val="22"/>
                  <w:szCs w:val="22"/>
                </w:rPr>
                <w:t xml:space="preserve">Guidelines on post-exposure prophylaxis (PEP) for varicella/shingles </w:t>
              </w:r>
              <w:r>
                <w:rPr>
                  <w:rStyle w:val="Hyperlink"/>
                  <w:rFonts w:ascii="Arial" w:hAnsi="Arial" w:cs="Arial"/>
                  <w:sz w:val="22"/>
                  <w:szCs w:val="22"/>
                </w:rPr>
                <w:t>J</w:t>
              </w:r>
              <w:r>
                <w:rPr>
                  <w:rStyle w:val="Hyperlink"/>
                  <w:rFonts w:ascii="Arial" w:hAnsi="Arial" w:cs="Arial"/>
                </w:rPr>
                <w:t>an</w:t>
              </w:r>
            </w:hyperlink>
            <w:r>
              <w:rPr>
                <w:rStyle w:val="Hyperlink"/>
                <w:rFonts w:ascii="Arial" w:hAnsi="Arial" w:cs="Arial"/>
                <w:sz w:val="22"/>
                <w:szCs w:val="22"/>
              </w:rPr>
              <w:t xml:space="preserve"> </w:t>
            </w:r>
            <w:r>
              <w:rPr>
                <w:rStyle w:val="Hyperlink"/>
                <w:rFonts w:ascii="Arial" w:hAnsi="Arial" w:cs="Arial"/>
              </w:rPr>
              <w:t>2023</w:t>
            </w:r>
            <w:r w:rsidRPr="008A05AC">
              <w:rPr>
                <w:rFonts w:ascii="Arial" w:hAnsi="Arial" w:cs="Arial"/>
                <w:color w:val="auto"/>
                <w:sz w:val="22"/>
                <w:szCs w:val="22"/>
              </w:rPr>
              <w:t xml:space="preserve"> </w:t>
            </w:r>
          </w:p>
          <w:p w14:paraId="6639FABB" w14:textId="77777777" w:rsidR="00330B76" w:rsidRPr="008A05AC" w:rsidRDefault="00330B76" w:rsidP="00371B9A">
            <w:pPr>
              <w:rPr>
                <w:rFonts w:eastAsia="Times New Roman" w:cs="Arial"/>
                <w:lang w:eastAsia="en-GB"/>
              </w:rPr>
            </w:pPr>
          </w:p>
          <w:p w14:paraId="5954C674" w14:textId="77777777" w:rsidR="00330B76" w:rsidRPr="008A05AC" w:rsidRDefault="00330B76" w:rsidP="00371B9A">
            <w:pPr>
              <w:rPr>
                <w:rFonts w:eastAsia="Times New Roman" w:cs="Arial"/>
                <w:lang w:eastAsia="en-GB"/>
              </w:rPr>
            </w:pPr>
            <w:r w:rsidRPr="008A05AC">
              <w:rPr>
                <w:rFonts w:eastAsia="Times New Roman" w:cs="Arial"/>
                <w:u w:val="single"/>
                <w:lang w:eastAsia="en-GB"/>
              </w:rPr>
              <w:t>Patient information</w:t>
            </w:r>
            <w:r w:rsidRPr="008A05AC">
              <w:rPr>
                <w:rFonts w:eastAsia="Times New Roman" w:cs="Arial"/>
                <w:lang w:eastAsia="en-GB"/>
              </w:rPr>
              <w:t>:</w:t>
            </w:r>
          </w:p>
          <w:p w14:paraId="298DA26F" w14:textId="244E26E9" w:rsidR="00330B76" w:rsidRPr="007A56FB" w:rsidRDefault="00330B76" w:rsidP="00371B9A">
            <w:pPr>
              <w:rPr>
                <w:rFonts w:cs="Arial"/>
              </w:rPr>
            </w:pPr>
            <w:r w:rsidRPr="008A05AC">
              <w:rPr>
                <w:rFonts w:eastAsia="Times New Roman" w:cs="Arial"/>
                <w:color w:val="000000"/>
                <w:lang w:eastAsia="en-GB"/>
              </w:rPr>
              <w:t xml:space="preserve">General information: </w:t>
            </w:r>
            <w:hyperlink r:id="rId34" w:history="1">
              <w:r>
                <w:rPr>
                  <w:rStyle w:val="Hyperlink"/>
                  <w:rFonts w:eastAsia="Times New Roman" w:cs="Arial"/>
                  <w:lang w:eastAsia="en-GB"/>
                </w:rPr>
                <w:t>NHS.uk</w:t>
              </w:r>
            </w:hyperlink>
            <w:r w:rsidRPr="008A05AC">
              <w:rPr>
                <w:rFonts w:eastAsia="Times New Roman" w:cs="Arial"/>
                <w:color w:val="000000"/>
                <w:lang w:eastAsia="en-GB"/>
              </w:rPr>
              <w:t xml:space="preserve"> </w:t>
            </w:r>
          </w:p>
        </w:tc>
      </w:tr>
      <w:tr w:rsidR="00330B76" w:rsidRPr="00F321FC" w14:paraId="317161E6" w14:textId="77777777" w:rsidTr="00BF174A">
        <w:tc>
          <w:tcPr>
            <w:tcW w:w="2268" w:type="dxa"/>
          </w:tcPr>
          <w:p w14:paraId="7BADD8F8" w14:textId="77777777" w:rsidR="00330B76" w:rsidRDefault="00330B76" w:rsidP="00330B76">
            <w:pPr>
              <w:pStyle w:val="Heading2"/>
              <w:rPr>
                <w:rFonts w:cs="Arial"/>
              </w:rPr>
            </w:pPr>
            <w:bookmarkStart w:id="20" w:name="twelve_pregnancy"/>
            <w:bookmarkStart w:id="21" w:name="_Toc149231796"/>
            <w:r w:rsidRPr="00F321FC">
              <w:rPr>
                <w:rFonts w:cs="Arial"/>
              </w:rPr>
              <w:t>Pregnancy</w:t>
            </w:r>
            <w:r>
              <w:rPr>
                <w:rFonts w:cs="Arial"/>
              </w:rPr>
              <w:t>, paternal exposure</w:t>
            </w:r>
            <w:r w:rsidRPr="00F321FC">
              <w:rPr>
                <w:rFonts w:cs="Arial"/>
              </w:rPr>
              <w:t xml:space="preserve"> and breastfeeding</w:t>
            </w:r>
            <w:bookmarkEnd w:id="20"/>
            <w:bookmarkEnd w:id="21"/>
          </w:p>
          <w:p w14:paraId="0AE00B39" w14:textId="77777777" w:rsidR="00330B76" w:rsidRDefault="00330B76" w:rsidP="00330B76"/>
          <w:p w14:paraId="4C3ACC97" w14:textId="3495C602" w:rsidR="00330B76" w:rsidRPr="005D79FA" w:rsidRDefault="00330B76" w:rsidP="00330B76"/>
        </w:tc>
        <w:tc>
          <w:tcPr>
            <w:tcW w:w="8193" w:type="dxa"/>
          </w:tcPr>
          <w:p w14:paraId="6C26137C" w14:textId="77777777" w:rsidR="00330B76" w:rsidRDefault="00330B76" w:rsidP="00330B76">
            <w:pPr>
              <w:autoSpaceDE w:val="0"/>
              <w:autoSpaceDN w:val="0"/>
              <w:adjustRightInd w:val="0"/>
              <w:rPr>
                <w:rFonts w:eastAsia="Times New Roman" w:cstheme="minorHAnsi"/>
                <w:b/>
                <w:color w:val="000000"/>
                <w:lang w:eastAsia="en-GB"/>
              </w:rPr>
            </w:pPr>
            <w:r>
              <w:rPr>
                <w:rFonts w:eastAsia="Times New Roman" w:cstheme="minorHAnsi"/>
                <w:b/>
                <w:color w:val="000000"/>
                <w:u w:val="single"/>
                <w:lang w:eastAsia="en-GB"/>
              </w:rPr>
              <w:t>Pregnancy</w:t>
            </w:r>
            <w:r>
              <w:rPr>
                <w:rFonts w:eastAsia="Times New Roman" w:cstheme="minorHAnsi"/>
                <w:b/>
                <w:color w:val="000000"/>
                <w:lang w:eastAsia="en-GB"/>
              </w:rPr>
              <w:t>:</w:t>
            </w:r>
          </w:p>
          <w:p w14:paraId="0BC66F5D" w14:textId="48EF182C"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Methotrexate is</w:t>
            </w:r>
            <w:r w:rsidR="00E15116">
              <w:rPr>
                <w:rFonts w:eastAsia="Times New Roman" w:cstheme="minorHAnsi"/>
                <w:color w:val="000000"/>
                <w:lang w:eastAsia="en-GB"/>
              </w:rPr>
              <w:t xml:space="preserve"> cytotoxic and is</w:t>
            </w:r>
            <w:r>
              <w:rPr>
                <w:rFonts w:eastAsia="Times New Roman" w:cstheme="minorHAnsi"/>
                <w:color w:val="000000"/>
                <w:lang w:eastAsia="en-GB"/>
              </w:rPr>
              <w:t xml:space="preserve"> contraindicated in pregnancy. </w:t>
            </w:r>
            <w:r w:rsidR="00E15116">
              <w:rPr>
                <w:rFonts w:eastAsia="Times New Roman" w:cstheme="minorHAnsi"/>
                <w:color w:val="000000"/>
                <w:lang w:eastAsia="en-GB"/>
              </w:rPr>
              <w:t>High dose methotrexate</w:t>
            </w:r>
            <w:r>
              <w:rPr>
                <w:rFonts w:eastAsia="Times New Roman" w:cstheme="minorHAnsi"/>
                <w:color w:val="000000"/>
                <w:lang w:eastAsia="en-GB"/>
              </w:rPr>
              <w:t xml:space="preserve"> is used to treat ectopic pregnancy. Pregnancy should be excluded prior to starting treatment. </w:t>
            </w:r>
          </w:p>
          <w:p w14:paraId="01ED711E" w14:textId="04ADD2BE" w:rsidR="00CC075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Patients of </w:t>
            </w:r>
            <w:proofErr w:type="gramStart"/>
            <w:r>
              <w:rPr>
                <w:rFonts w:eastAsia="Times New Roman" w:cstheme="minorHAnsi"/>
                <w:color w:val="000000"/>
                <w:lang w:eastAsia="en-GB"/>
              </w:rPr>
              <w:t>child bearing</w:t>
            </w:r>
            <w:proofErr w:type="gramEnd"/>
            <w:r>
              <w:rPr>
                <w:rFonts w:eastAsia="Times New Roman" w:cstheme="minorHAnsi"/>
                <w:color w:val="000000"/>
                <w:lang w:eastAsia="en-GB"/>
              </w:rPr>
              <w:t xml:space="preserve"> potential should use effective contraception during treatment and for </w:t>
            </w:r>
            <w:r w:rsidR="00CC0756">
              <w:rPr>
                <w:rFonts w:eastAsia="Times New Roman" w:cstheme="minorHAnsi"/>
                <w:color w:val="000000"/>
                <w:lang w:eastAsia="en-GB"/>
              </w:rPr>
              <w:t>at least a</w:t>
            </w:r>
            <w:r>
              <w:rPr>
                <w:rFonts w:eastAsia="Times New Roman" w:cstheme="minorHAnsi"/>
                <w:color w:val="000000"/>
                <w:lang w:eastAsia="en-GB"/>
              </w:rPr>
              <w:t xml:space="preserve"> month afterwards. </w:t>
            </w:r>
            <w:r w:rsidR="00CC0756">
              <w:rPr>
                <w:rFonts w:eastAsia="Times New Roman" w:cstheme="minorHAnsi"/>
                <w:color w:val="000000"/>
                <w:lang w:eastAsia="en-GB"/>
              </w:rPr>
              <w:t xml:space="preserve">Patients who become pregnant whilst taking methotrexate should be referred to their local </w:t>
            </w:r>
            <w:proofErr w:type="spellStart"/>
            <w:r w:rsidR="00CC0756">
              <w:rPr>
                <w:rFonts w:eastAsia="Times New Roman" w:cstheme="minorHAnsi"/>
                <w:color w:val="000000"/>
                <w:lang w:eastAsia="en-GB"/>
              </w:rPr>
              <w:t>Fetal</w:t>
            </w:r>
            <w:proofErr w:type="spellEnd"/>
            <w:r w:rsidR="00CC0756">
              <w:rPr>
                <w:rFonts w:eastAsia="Times New Roman" w:cstheme="minorHAnsi"/>
                <w:color w:val="000000"/>
                <w:lang w:eastAsia="en-GB"/>
              </w:rPr>
              <w:t xml:space="preserve"> Medicine Unit for </w:t>
            </w:r>
            <w:proofErr w:type="spellStart"/>
            <w:r w:rsidR="00CC0756">
              <w:rPr>
                <w:rFonts w:eastAsia="Times New Roman" w:cstheme="minorHAnsi"/>
                <w:color w:val="000000"/>
                <w:lang w:eastAsia="en-GB"/>
              </w:rPr>
              <w:t>fetal</w:t>
            </w:r>
            <w:proofErr w:type="spellEnd"/>
            <w:r w:rsidR="00CC0756">
              <w:rPr>
                <w:rFonts w:eastAsia="Times New Roman" w:cstheme="minorHAnsi"/>
                <w:color w:val="000000"/>
                <w:lang w:eastAsia="en-GB"/>
              </w:rPr>
              <w:t xml:space="preserve"> assessment and counselling.</w:t>
            </w:r>
          </w:p>
          <w:p w14:paraId="1E0B4742" w14:textId="77777777" w:rsidR="00CC0756" w:rsidRDefault="00CC0756" w:rsidP="00330B76">
            <w:pPr>
              <w:autoSpaceDE w:val="0"/>
              <w:autoSpaceDN w:val="0"/>
              <w:adjustRightInd w:val="0"/>
              <w:rPr>
                <w:rFonts w:eastAsia="Times New Roman" w:cstheme="minorHAnsi"/>
                <w:color w:val="000000"/>
                <w:lang w:eastAsia="en-GB"/>
              </w:rPr>
            </w:pPr>
          </w:p>
          <w:p w14:paraId="56AB0B3D" w14:textId="1A880237" w:rsidR="00330B76" w:rsidRDefault="00CC075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F</w:t>
            </w:r>
            <w:r w:rsidR="00330B76">
              <w:rPr>
                <w:rFonts w:eastAsia="Times New Roman" w:cstheme="minorHAnsi"/>
                <w:color w:val="000000"/>
                <w:lang w:eastAsia="en-GB"/>
              </w:rPr>
              <w:t xml:space="preserve">olic acid 5 mg daily should be </w:t>
            </w:r>
            <w:r>
              <w:rPr>
                <w:rFonts w:eastAsia="Times New Roman" w:cstheme="minorHAnsi"/>
                <w:color w:val="000000"/>
                <w:lang w:eastAsia="en-GB"/>
              </w:rPr>
              <w:t xml:space="preserve">taken </w:t>
            </w:r>
            <w:r w:rsidR="00330B76">
              <w:rPr>
                <w:rFonts w:eastAsia="Times New Roman" w:cstheme="minorHAnsi"/>
                <w:color w:val="000000"/>
                <w:lang w:eastAsia="en-GB"/>
              </w:rPr>
              <w:t>throughout pregnancy</w:t>
            </w:r>
            <w:r>
              <w:rPr>
                <w:rFonts w:eastAsia="Times New Roman" w:cstheme="minorHAnsi"/>
                <w:color w:val="000000"/>
                <w:lang w:eastAsia="en-GB"/>
              </w:rPr>
              <w:t xml:space="preserve"> for those who either conceive on methotrexate</w:t>
            </w:r>
            <w:r w:rsidR="004B3C2F">
              <w:rPr>
                <w:rFonts w:eastAsia="Times New Roman" w:cstheme="minorHAnsi"/>
                <w:color w:val="000000"/>
                <w:lang w:eastAsia="en-GB"/>
              </w:rPr>
              <w:t>,</w:t>
            </w:r>
            <w:r>
              <w:rPr>
                <w:rFonts w:eastAsia="Times New Roman" w:cstheme="minorHAnsi"/>
                <w:color w:val="000000"/>
                <w:lang w:eastAsia="en-GB"/>
              </w:rPr>
              <w:t xml:space="preserve"> or who conceive within three months of stopping methotrexate</w:t>
            </w:r>
            <w:r w:rsidR="004B3C2F">
              <w:rPr>
                <w:rFonts w:eastAsia="Times New Roman" w:cstheme="minorHAnsi"/>
                <w:color w:val="000000"/>
                <w:lang w:eastAsia="en-GB"/>
              </w:rPr>
              <w:t>,</w:t>
            </w:r>
            <w:r>
              <w:rPr>
                <w:rFonts w:eastAsia="Times New Roman" w:cstheme="minorHAnsi"/>
                <w:color w:val="000000"/>
                <w:lang w:eastAsia="en-GB"/>
              </w:rPr>
              <w:t xml:space="preserve"> to counter any effect on folate deficiency that may have arisen during treatment</w:t>
            </w:r>
            <w:r w:rsidR="00330B76">
              <w:rPr>
                <w:rFonts w:eastAsia="Times New Roman" w:cstheme="minorHAnsi"/>
                <w:color w:val="000000"/>
                <w:lang w:eastAsia="en-GB"/>
              </w:rPr>
              <w:t>. Those who wish to become pregnant should speak to their prescriber to discuss the possibility of switching to alternative medic</w:t>
            </w:r>
            <w:r>
              <w:rPr>
                <w:rFonts w:eastAsia="Times New Roman" w:cstheme="minorHAnsi"/>
                <w:color w:val="000000"/>
                <w:lang w:eastAsia="en-GB"/>
              </w:rPr>
              <w:t>ation</w:t>
            </w:r>
            <w:r w:rsidR="00330B76">
              <w:rPr>
                <w:rFonts w:eastAsia="Times New Roman" w:cstheme="minorHAnsi"/>
                <w:color w:val="000000"/>
                <w:lang w:eastAsia="en-GB"/>
              </w:rPr>
              <w:t xml:space="preserve">. </w:t>
            </w:r>
          </w:p>
          <w:p w14:paraId="7ADB15CC" w14:textId="77777777" w:rsidR="00330B76" w:rsidRDefault="00330B76" w:rsidP="00330B76">
            <w:pPr>
              <w:autoSpaceDE w:val="0"/>
              <w:autoSpaceDN w:val="0"/>
              <w:adjustRightInd w:val="0"/>
              <w:rPr>
                <w:rFonts w:eastAsia="Times New Roman" w:cstheme="minorHAnsi"/>
                <w:color w:val="000000"/>
                <w:lang w:eastAsia="en-GB"/>
              </w:rPr>
            </w:pPr>
          </w:p>
          <w:p w14:paraId="41E02FDD" w14:textId="4518215C" w:rsidR="00330B76" w:rsidRPr="00616DFC"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Information for healthcare professionals: </w:t>
            </w:r>
            <w:hyperlink r:id="rId35" w:history="1">
              <w:r>
                <w:rPr>
                  <w:rStyle w:val="Hyperlink"/>
                  <w:rFonts w:eastAsia="Times New Roman" w:cstheme="minorHAnsi"/>
                  <w:lang w:eastAsia="en-GB"/>
                </w:rPr>
                <w:t>UK Teratology Information Service (UKTIS)</w:t>
              </w:r>
            </w:hyperlink>
            <w:r>
              <w:rPr>
                <w:rFonts w:eastAsia="Times New Roman" w:cstheme="minorHAnsi"/>
                <w:color w:val="000000"/>
                <w:lang w:eastAsia="en-GB"/>
              </w:rPr>
              <w:t xml:space="preserve"> </w:t>
            </w:r>
          </w:p>
          <w:p w14:paraId="50991BC2" w14:textId="77777777" w:rsidR="00330B76" w:rsidRDefault="00330B76" w:rsidP="00330B76">
            <w:pPr>
              <w:autoSpaceDE w:val="0"/>
              <w:autoSpaceDN w:val="0"/>
              <w:adjustRightInd w:val="0"/>
              <w:rPr>
                <w:rFonts w:eastAsia="Times New Roman" w:cstheme="minorHAnsi"/>
                <w:color w:val="FF0000"/>
                <w:lang w:eastAsia="en-GB"/>
              </w:rPr>
            </w:pPr>
            <w:r>
              <w:rPr>
                <w:rFonts w:eastAsia="Times New Roman" w:cstheme="minorHAnsi"/>
                <w:color w:val="000000"/>
                <w:lang w:eastAsia="en-GB"/>
              </w:rPr>
              <w:t xml:space="preserve">Information for patients and carers: </w:t>
            </w:r>
            <w:hyperlink r:id="rId36" w:history="1">
              <w:r>
                <w:rPr>
                  <w:rStyle w:val="Hyperlink"/>
                  <w:rFonts w:eastAsia="Times New Roman" w:cstheme="minorHAnsi"/>
                  <w:lang w:eastAsia="en-GB"/>
                </w:rPr>
                <w:t>Best Use of Medicines in Pregnancy (BUMPs)</w:t>
              </w:r>
            </w:hyperlink>
            <w:r>
              <w:rPr>
                <w:rFonts w:eastAsia="Times New Roman" w:cstheme="minorHAnsi"/>
                <w:color w:val="000000"/>
                <w:lang w:eastAsia="en-GB"/>
              </w:rPr>
              <w:t xml:space="preserve"> </w:t>
            </w:r>
          </w:p>
          <w:p w14:paraId="1CCABF97" w14:textId="77777777" w:rsidR="00330B76" w:rsidRDefault="00330B76" w:rsidP="00330B76">
            <w:pPr>
              <w:autoSpaceDE w:val="0"/>
              <w:autoSpaceDN w:val="0"/>
              <w:adjustRightInd w:val="0"/>
              <w:rPr>
                <w:rFonts w:eastAsia="Times New Roman" w:cstheme="minorHAnsi"/>
                <w:color w:val="000000"/>
                <w:u w:val="single"/>
                <w:lang w:eastAsia="en-GB"/>
              </w:rPr>
            </w:pPr>
          </w:p>
          <w:p w14:paraId="2924BCBA" w14:textId="77777777" w:rsidR="00330B76" w:rsidRDefault="00330B76" w:rsidP="00330B76">
            <w:pPr>
              <w:autoSpaceDE w:val="0"/>
              <w:autoSpaceDN w:val="0"/>
              <w:adjustRightInd w:val="0"/>
              <w:rPr>
                <w:rFonts w:eastAsia="Times New Roman" w:cstheme="minorHAnsi"/>
                <w:b/>
                <w:color w:val="000000"/>
                <w:lang w:eastAsia="en-GB"/>
              </w:rPr>
            </w:pPr>
            <w:r>
              <w:rPr>
                <w:rFonts w:eastAsia="Times New Roman" w:cstheme="minorHAnsi"/>
                <w:b/>
                <w:color w:val="000000"/>
                <w:u w:val="single"/>
                <w:lang w:eastAsia="en-GB"/>
              </w:rPr>
              <w:t>Breastfeeding</w:t>
            </w:r>
            <w:r>
              <w:rPr>
                <w:rFonts w:eastAsia="Times New Roman" w:cstheme="minorHAnsi"/>
                <w:b/>
                <w:color w:val="000000"/>
                <w:lang w:eastAsia="en-GB"/>
              </w:rPr>
              <w:t>:</w:t>
            </w:r>
          </w:p>
          <w:p w14:paraId="0169003E" w14:textId="72DF486A"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The manufacturers contraindicate use of methotrexate while breastfeeding. The UK Drugs in Lactation Advisory Service recommends </w:t>
            </w:r>
            <w:proofErr w:type="gramStart"/>
            <w:r>
              <w:rPr>
                <w:rFonts w:eastAsia="Times New Roman" w:cstheme="minorHAnsi"/>
                <w:color w:val="000000"/>
                <w:lang w:eastAsia="en-GB"/>
              </w:rPr>
              <w:t>caution, and</w:t>
            </w:r>
            <w:proofErr w:type="gramEnd"/>
            <w:r>
              <w:rPr>
                <w:rFonts w:eastAsia="Times New Roman" w:cstheme="minorHAnsi"/>
                <w:color w:val="000000"/>
                <w:lang w:eastAsia="en-GB"/>
              </w:rPr>
              <w:t xml:space="preserve"> advises that breastfeeding should be avoided until at least 24 hours after a weekly dose not exceeding 25 mg. Infant blood counts should be monitored, and the infant should be monitored for signs of immunosuppression and gastrointestinal disturbances. Very limited evidence indicates that negligible amounts are found in breast milk after weekly administration. </w:t>
            </w:r>
          </w:p>
          <w:p w14:paraId="343B07BE" w14:textId="77777777" w:rsidR="00330B76" w:rsidRDefault="00330B76" w:rsidP="00330B76">
            <w:pPr>
              <w:autoSpaceDE w:val="0"/>
              <w:autoSpaceDN w:val="0"/>
              <w:adjustRightInd w:val="0"/>
              <w:rPr>
                <w:rFonts w:eastAsia="Times New Roman" w:cstheme="minorHAnsi"/>
                <w:color w:val="000000"/>
                <w:lang w:eastAsia="en-GB"/>
              </w:rPr>
            </w:pPr>
          </w:p>
          <w:p w14:paraId="57A4C6DC" w14:textId="77777777" w:rsidR="00330B76" w:rsidRPr="00616DFC"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Information for healthcare professionals: </w:t>
            </w:r>
            <w:hyperlink r:id="rId37" w:history="1">
              <w:r>
                <w:rPr>
                  <w:rStyle w:val="Hyperlink"/>
                  <w:rFonts w:eastAsia="Times New Roman" w:cstheme="minorHAnsi"/>
                  <w:lang w:eastAsia="en-GB"/>
                </w:rPr>
                <w:t>UK Drugs in Lactation Advisory Service (UKDiLAS)</w:t>
              </w:r>
            </w:hyperlink>
            <w:r>
              <w:rPr>
                <w:rFonts w:eastAsia="Times New Roman" w:cstheme="minorHAnsi"/>
                <w:color w:val="000000"/>
                <w:lang w:eastAsia="en-GB"/>
              </w:rPr>
              <w:t xml:space="preserve"> </w:t>
            </w:r>
          </w:p>
          <w:p w14:paraId="7A3E2824" w14:textId="77777777" w:rsidR="00330B76" w:rsidRDefault="00330B76" w:rsidP="00330B76">
            <w:pPr>
              <w:autoSpaceDE w:val="0"/>
              <w:autoSpaceDN w:val="0"/>
              <w:adjustRightInd w:val="0"/>
              <w:rPr>
                <w:rFonts w:eastAsia="Times New Roman" w:cstheme="minorHAnsi"/>
                <w:color w:val="000000"/>
                <w:lang w:eastAsia="en-GB"/>
              </w:rPr>
            </w:pPr>
          </w:p>
          <w:p w14:paraId="3D96F8D2" w14:textId="77777777"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b/>
                <w:color w:val="000000"/>
                <w:u w:val="single"/>
                <w:lang w:eastAsia="en-GB"/>
              </w:rPr>
              <w:t>Paternal exposure</w:t>
            </w:r>
            <w:r>
              <w:rPr>
                <w:rFonts w:eastAsia="Times New Roman" w:cstheme="minorHAnsi"/>
                <w:color w:val="000000"/>
                <w:lang w:eastAsia="en-GB"/>
              </w:rPr>
              <w:t>:</w:t>
            </w:r>
          </w:p>
          <w:p w14:paraId="63D460FC" w14:textId="6EC9AFA6"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There are hypothetical risks of genetic abnormalities in sperm which could potentially affect offspring conceived during treatment. </w:t>
            </w:r>
            <w:r w:rsidR="00CC0756">
              <w:rPr>
                <w:rFonts w:eastAsia="Times New Roman" w:cstheme="minorHAnsi"/>
                <w:color w:val="000000"/>
                <w:lang w:eastAsia="en-GB"/>
              </w:rPr>
              <w:t>However, l</w:t>
            </w:r>
            <w:r>
              <w:rPr>
                <w:rFonts w:eastAsia="Times New Roman" w:cstheme="minorHAnsi"/>
                <w:color w:val="000000"/>
                <w:lang w:eastAsia="en-GB"/>
              </w:rPr>
              <w:t xml:space="preserve">imited clinical evidence does not indicate an increased risk of malformations or miscarriage following paternal exposure to low-dose methotrexate (less than 30 mg/week). Where a couple wishes to attempt conception and the male partner’s condition is well-controlled with methotrexate, the UK Teratology Information Service recommends an assessment and discussion of the potential benefits and risks of continuing paternal treatment vs. discontinuation. This should be undertaken by the specialist, using a shared </w:t>
            </w:r>
            <w:proofErr w:type="gramStart"/>
            <w:r>
              <w:rPr>
                <w:rFonts w:eastAsia="Times New Roman" w:cstheme="minorHAnsi"/>
                <w:color w:val="000000"/>
                <w:lang w:eastAsia="en-GB"/>
              </w:rPr>
              <w:t>decision making</w:t>
            </w:r>
            <w:proofErr w:type="gramEnd"/>
            <w:r>
              <w:rPr>
                <w:rFonts w:eastAsia="Times New Roman" w:cstheme="minorHAnsi"/>
                <w:color w:val="000000"/>
                <w:lang w:eastAsia="en-GB"/>
              </w:rPr>
              <w:t xml:space="preserve"> approach. The risks to the </w:t>
            </w:r>
            <w:proofErr w:type="spellStart"/>
            <w:r>
              <w:rPr>
                <w:rFonts w:eastAsia="Times New Roman" w:cstheme="minorHAnsi"/>
                <w:color w:val="000000"/>
                <w:lang w:eastAsia="en-GB"/>
              </w:rPr>
              <w:t>fetus</w:t>
            </w:r>
            <w:proofErr w:type="spellEnd"/>
            <w:r>
              <w:rPr>
                <w:rFonts w:eastAsia="Times New Roman" w:cstheme="minorHAnsi"/>
                <w:color w:val="000000"/>
                <w:lang w:eastAsia="en-GB"/>
              </w:rPr>
              <w:t xml:space="preserve"> are theoretical rather than established. Manufacturers advise that male patients or their female partners use effective contraception for 3 months after stopping methotrexate. Men should not donate semen during treatment or for 3 months following discontinuation.</w:t>
            </w:r>
          </w:p>
          <w:p w14:paraId="65999570" w14:textId="4A6471EF"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color w:val="000000"/>
                <w:lang w:eastAsia="en-GB"/>
              </w:rPr>
              <w:t xml:space="preserve">Paternal methotrexate use at the time of conception is not an indication for additional </w:t>
            </w:r>
            <w:proofErr w:type="spellStart"/>
            <w:r>
              <w:rPr>
                <w:rFonts w:eastAsia="Times New Roman" w:cstheme="minorHAnsi"/>
                <w:color w:val="000000"/>
                <w:lang w:eastAsia="en-GB"/>
              </w:rPr>
              <w:t>fetal</w:t>
            </w:r>
            <w:proofErr w:type="spellEnd"/>
            <w:r>
              <w:rPr>
                <w:rFonts w:eastAsia="Times New Roman" w:cstheme="minorHAnsi"/>
                <w:color w:val="000000"/>
                <w:lang w:eastAsia="en-GB"/>
              </w:rPr>
              <w:t xml:space="preserve"> monitoring</w:t>
            </w:r>
          </w:p>
          <w:p w14:paraId="5006C71F" w14:textId="77777777" w:rsidR="00330B76" w:rsidRDefault="00330B76" w:rsidP="00330B76">
            <w:pPr>
              <w:autoSpaceDE w:val="0"/>
              <w:autoSpaceDN w:val="0"/>
              <w:adjustRightInd w:val="0"/>
              <w:rPr>
                <w:rFonts w:eastAsia="Times New Roman" w:cstheme="minorHAnsi"/>
                <w:color w:val="000000"/>
                <w:lang w:eastAsia="en-GB"/>
              </w:rPr>
            </w:pPr>
          </w:p>
          <w:p w14:paraId="2F11DD82" w14:textId="0BBD7D95" w:rsidR="00330B76" w:rsidRDefault="00330B76" w:rsidP="00330B76">
            <w:pPr>
              <w:autoSpaceDE w:val="0"/>
              <w:autoSpaceDN w:val="0"/>
              <w:adjustRightInd w:val="0"/>
              <w:rPr>
                <w:rStyle w:val="Hyperlink"/>
                <w:rFonts w:eastAsia="Times New Roman" w:cstheme="minorHAnsi"/>
                <w:lang w:eastAsia="en-GB"/>
              </w:rPr>
            </w:pPr>
            <w:r>
              <w:rPr>
                <w:rFonts w:eastAsia="Times New Roman" w:cstheme="minorHAnsi"/>
                <w:color w:val="000000"/>
                <w:lang w:eastAsia="en-GB"/>
              </w:rPr>
              <w:t xml:space="preserve">Information for healthcare professionals: </w:t>
            </w:r>
            <w:hyperlink r:id="rId38" w:history="1">
              <w:r>
                <w:rPr>
                  <w:rStyle w:val="Hyperlink"/>
                  <w:rFonts w:eastAsia="Times New Roman" w:cstheme="minorHAnsi"/>
                  <w:lang w:eastAsia="en-GB"/>
                </w:rPr>
                <w:t>UKTIS - paternal use of methotrexate</w:t>
              </w:r>
            </w:hyperlink>
          </w:p>
          <w:p w14:paraId="5B6B979F" w14:textId="77777777" w:rsidR="00330B76" w:rsidRDefault="00330B76" w:rsidP="00330B76">
            <w:pPr>
              <w:autoSpaceDE w:val="0"/>
              <w:autoSpaceDN w:val="0"/>
              <w:adjustRightInd w:val="0"/>
              <w:rPr>
                <w:rFonts w:eastAsia="Times New Roman" w:cstheme="minorHAnsi"/>
                <w:color w:val="000000"/>
                <w:lang w:eastAsia="en-GB"/>
              </w:rPr>
            </w:pPr>
            <w:r>
              <w:rPr>
                <w:rStyle w:val="Hyperlink"/>
                <w:rFonts w:eastAsia="Times New Roman"/>
                <w:lang w:eastAsia="en-GB"/>
              </w:rPr>
              <w:t xml:space="preserve">Information for patients: </w:t>
            </w:r>
            <w:hyperlink r:id="rId39" w:history="1">
              <w:r w:rsidRPr="00913AAB">
                <w:rPr>
                  <w:rStyle w:val="Hyperlink"/>
                  <w:rFonts w:eastAsia="Times New Roman"/>
                  <w:lang w:eastAsia="en-GB"/>
                </w:rPr>
                <w:t>BUMPS – methotrexate use in men attempting to father a child</w:t>
              </w:r>
            </w:hyperlink>
            <w:r>
              <w:rPr>
                <w:rFonts w:eastAsia="Times New Roman" w:cstheme="minorHAnsi"/>
                <w:color w:val="000000"/>
                <w:lang w:eastAsia="en-GB"/>
              </w:rPr>
              <w:t xml:space="preserve"> </w:t>
            </w:r>
          </w:p>
          <w:p w14:paraId="49A48EF8" w14:textId="77777777" w:rsidR="00330B76" w:rsidRDefault="00330B76" w:rsidP="00330B76">
            <w:pPr>
              <w:autoSpaceDE w:val="0"/>
              <w:autoSpaceDN w:val="0"/>
              <w:adjustRightInd w:val="0"/>
              <w:rPr>
                <w:rFonts w:eastAsia="Times New Roman" w:cstheme="minorHAnsi"/>
                <w:color w:val="000000"/>
                <w:lang w:eastAsia="en-GB"/>
              </w:rPr>
            </w:pPr>
          </w:p>
          <w:p w14:paraId="490DA2A0" w14:textId="77777777" w:rsidR="00330B76" w:rsidRDefault="00330B76" w:rsidP="00330B76">
            <w:pPr>
              <w:autoSpaceDE w:val="0"/>
              <w:autoSpaceDN w:val="0"/>
              <w:adjustRightInd w:val="0"/>
              <w:rPr>
                <w:rFonts w:eastAsia="Times New Roman" w:cstheme="minorHAnsi"/>
                <w:color w:val="000000"/>
                <w:lang w:eastAsia="en-GB"/>
              </w:rPr>
            </w:pPr>
            <w:r>
              <w:rPr>
                <w:rFonts w:eastAsia="Times New Roman" w:cstheme="minorHAnsi"/>
                <w:b/>
                <w:color w:val="000000"/>
                <w:u w:val="single"/>
                <w:lang w:eastAsia="en-GB"/>
              </w:rPr>
              <w:t>Fertility</w:t>
            </w:r>
            <w:r>
              <w:rPr>
                <w:rFonts w:eastAsia="Times New Roman" w:cstheme="minorHAnsi"/>
                <w:color w:val="000000"/>
                <w:lang w:eastAsia="en-GB"/>
              </w:rPr>
              <w:t>:</w:t>
            </w:r>
          </w:p>
          <w:p w14:paraId="06C7937A" w14:textId="2B24A87F" w:rsidR="00330B76" w:rsidRPr="007A56FB" w:rsidRDefault="00330B76" w:rsidP="00330B76">
            <w:pPr>
              <w:rPr>
                <w:rFonts w:cs="Arial"/>
              </w:rPr>
            </w:pPr>
            <w:r>
              <w:rPr>
                <w:rFonts w:eastAsia="Times New Roman" w:cstheme="minorHAnsi"/>
                <w:color w:val="000000"/>
                <w:lang w:eastAsia="en-GB"/>
              </w:rPr>
              <w:t>Methotrexate affects spermatogenesis and oogenesis and may decrease fertility. In humans, methotrexate has been reported to cause oligospermia, menstrual dysfunction and amenorrhoea. These effects appear to be reversible after discontinuation of therapy in most cases.</w:t>
            </w:r>
          </w:p>
        </w:tc>
      </w:tr>
      <w:tr w:rsidR="00330B76" w:rsidRPr="00F321FC" w14:paraId="6398E15E" w14:textId="77777777" w:rsidTr="00BF174A">
        <w:tc>
          <w:tcPr>
            <w:tcW w:w="2268" w:type="dxa"/>
          </w:tcPr>
          <w:p w14:paraId="6BB398C7" w14:textId="6C037366" w:rsidR="00330B76" w:rsidRPr="00F321FC" w:rsidRDefault="00330B76" w:rsidP="00330B76">
            <w:pPr>
              <w:pStyle w:val="Heading2"/>
              <w:rPr>
                <w:rFonts w:cs="Arial"/>
              </w:rPr>
            </w:pPr>
            <w:bookmarkStart w:id="22" w:name="thirteen_specialist_contact"/>
            <w:bookmarkStart w:id="23" w:name="_Toc149231797"/>
            <w:r w:rsidRPr="00F321FC">
              <w:rPr>
                <w:rFonts w:cs="Arial"/>
              </w:rPr>
              <w:t>Specialist contact information</w:t>
            </w:r>
            <w:r>
              <w:rPr>
                <w:rFonts w:cs="Arial"/>
              </w:rPr>
              <w:t xml:space="preserve"> and arrangements for referral</w:t>
            </w:r>
            <w:bookmarkEnd w:id="22"/>
            <w:bookmarkEnd w:id="23"/>
          </w:p>
        </w:tc>
        <w:tc>
          <w:tcPr>
            <w:tcW w:w="8193" w:type="dxa"/>
          </w:tcPr>
          <w:p w14:paraId="6BF7779B" w14:textId="044D860D" w:rsidR="003A7032" w:rsidRPr="003A7032" w:rsidRDefault="003A7032" w:rsidP="00412ABB">
            <w:pPr>
              <w:rPr>
                <w:rFonts w:cs="Arial"/>
              </w:rPr>
            </w:pPr>
            <w:r w:rsidRPr="003A7032">
              <w:rPr>
                <w:rFonts w:cs="Arial"/>
              </w:rPr>
              <w:t>Details</w:t>
            </w:r>
            <w:r w:rsidRPr="003A7032">
              <w:rPr>
                <w:rFonts w:cs="Arial"/>
                <w:i/>
                <w:iCs/>
              </w:rPr>
              <w:t xml:space="preserve"> </w:t>
            </w:r>
            <w:r w:rsidRPr="003A7032">
              <w:rPr>
                <w:rFonts w:cs="Arial"/>
              </w:rPr>
              <w:t>for contacting specialist must be included on clinic letter</w:t>
            </w:r>
            <w:r>
              <w:rPr>
                <w:rFonts w:cs="Arial"/>
              </w:rPr>
              <w:t>.</w:t>
            </w:r>
          </w:p>
          <w:p w14:paraId="63F90746" w14:textId="254EA5E1" w:rsidR="00330B76" w:rsidRPr="00CC5C91" w:rsidRDefault="00330B76" w:rsidP="00330B76">
            <w:pPr>
              <w:rPr>
                <w:rFonts w:cs="Arial"/>
              </w:rPr>
            </w:pPr>
          </w:p>
        </w:tc>
      </w:tr>
      <w:tr w:rsidR="00330B76" w:rsidRPr="00F321FC" w14:paraId="207E7612" w14:textId="77777777" w:rsidTr="00BF174A">
        <w:tc>
          <w:tcPr>
            <w:tcW w:w="2268" w:type="dxa"/>
          </w:tcPr>
          <w:p w14:paraId="1F87C246" w14:textId="316BF7A3" w:rsidR="00330B76" w:rsidRPr="00F321FC" w:rsidRDefault="00330B76" w:rsidP="00330B76">
            <w:pPr>
              <w:pStyle w:val="Heading2"/>
              <w:rPr>
                <w:rFonts w:cs="Arial"/>
              </w:rPr>
            </w:pPr>
            <w:bookmarkStart w:id="24" w:name="fourteen_additional_info"/>
            <w:bookmarkStart w:id="25" w:name="_Toc149231798"/>
            <w:r w:rsidRPr="00F321FC">
              <w:rPr>
                <w:rFonts w:cs="Arial"/>
              </w:rPr>
              <w:t>Additional information</w:t>
            </w:r>
            <w:bookmarkEnd w:id="24"/>
            <w:bookmarkEnd w:id="25"/>
          </w:p>
        </w:tc>
        <w:tc>
          <w:tcPr>
            <w:tcW w:w="8193" w:type="dxa"/>
          </w:tcPr>
          <w:p w14:paraId="3634BE8A" w14:textId="0DCE3260" w:rsidR="00330B76" w:rsidRPr="00F321FC" w:rsidRDefault="00330B76" w:rsidP="00330B76">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330B76" w:rsidRPr="00F321FC" w14:paraId="6B6F9FF7" w14:textId="77777777" w:rsidTr="00BF174A">
        <w:tc>
          <w:tcPr>
            <w:tcW w:w="2268" w:type="dxa"/>
          </w:tcPr>
          <w:p w14:paraId="4580613D" w14:textId="3D2EB4DF" w:rsidR="00330B76" w:rsidRPr="00F321FC" w:rsidRDefault="00330B76" w:rsidP="00330B76">
            <w:pPr>
              <w:pStyle w:val="Heading2"/>
              <w:rPr>
                <w:rFonts w:cs="Arial"/>
              </w:rPr>
            </w:pPr>
            <w:bookmarkStart w:id="26" w:name="fifteen_references"/>
            <w:bookmarkStart w:id="27" w:name="_Toc149231799"/>
            <w:r w:rsidRPr="00F321FC">
              <w:rPr>
                <w:rFonts w:cs="Arial"/>
              </w:rPr>
              <w:t>References</w:t>
            </w:r>
            <w:bookmarkEnd w:id="26"/>
            <w:bookmarkEnd w:id="27"/>
          </w:p>
        </w:tc>
        <w:tc>
          <w:tcPr>
            <w:tcW w:w="8193" w:type="dxa"/>
          </w:tcPr>
          <w:p w14:paraId="3A6F53FC" w14:textId="77777777" w:rsidR="00330B76" w:rsidRDefault="00330B76" w:rsidP="00330B76">
            <w:pPr>
              <w:pStyle w:val="ListParagraph"/>
              <w:numPr>
                <w:ilvl w:val="0"/>
                <w:numId w:val="4"/>
              </w:numPr>
              <w:contextualSpacing/>
              <w:rPr>
                <w:rFonts w:eastAsia="Times New Roman" w:cstheme="minorHAnsi"/>
                <w:lang w:eastAsia="en-GB"/>
              </w:rPr>
            </w:pPr>
            <w:r>
              <w:rPr>
                <w:rFonts w:eastAsia="Times New Roman" w:cstheme="minorHAnsi"/>
                <w:lang w:eastAsia="en-GB"/>
              </w:rPr>
              <w:t xml:space="preserve">British National Formulary. Methotrexate. Accessed via </w:t>
            </w:r>
            <w:hyperlink r:id="rId40" w:history="1">
              <w:r>
                <w:rPr>
                  <w:rStyle w:val="Hyperlink"/>
                  <w:rFonts w:eastAsia="Times New Roman" w:cstheme="minorHAnsi"/>
                  <w:lang w:eastAsia="en-GB"/>
                </w:rPr>
                <w:t>https://bnf.nice.org.uk/drug/methotrexate.html</w:t>
              </w:r>
            </w:hyperlink>
            <w:r>
              <w:t xml:space="preserve"> on 23/11/23</w:t>
            </w:r>
            <w:r>
              <w:rPr>
                <w:rFonts w:eastAsia="Times New Roman" w:cstheme="minorHAnsi"/>
                <w:lang w:eastAsia="en-GB"/>
              </w:rPr>
              <w:t xml:space="preserve">. </w:t>
            </w:r>
          </w:p>
          <w:p w14:paraId="5BF5AC7B" w14:textId="77777777" w:rsidR="00330B76" w:rsidRPr="00330B76" w:rsidRDefault="00330B76" w:rsidP="00330B76">
            <w:pPr>
              <w:numPr>
                <w:ilvl w:val="0"/>
                <w:numId w:val="4"/>
              </w:numPr>
              <w:spacing w:before="0"/>
              <w:contextualSpacing/>
              <w:rPr>
                <w:rStyle w:val="Hyperlink"/>
                <w:color w:val="000000"/>
                <w:u w:val="none"/>
              </w:rPr>
            </w:pPr>
            <w:r>
              <w:rPr>
                <w:rFonts w:eastAsia="Times New Roman" w:cstheme="minorHAnsi"/>
                <w:color w:val="000000"/>
                <w:lang w:eastAsia="en-GB"/>
              </w:rPr>
              <w:t>Methotrexate 2.5 mg tablets (</w:t>
            </w:r>
            <w:proofErr w:type="spellStart"/>
            <w:r>
              <w:rPr>
                <w:rFonts w:eastAsia="Times New Roman" w:cstheme="minorHAnsi"/>
                <w:color w:val="000000"/>
                <w:lang w:eastAsia="en-GB"/>
              </w:rPr>
              <w:t>Maxtrex</w:t>
            </w:r>
            <w:proofErr w:type="spellEnd"/>
            <w:r>
              <w:rPr>
                <w:rFonts w:eastAsia="Times New Roman" w:cstheme="minorHAnsi"/>
                <w:color w:val="000000"/>
                <w:lang w:eastAsia="en-GB"/>
              </w:rPr>
              <w:t>®). Date of revision of the text 12/2020. Accessed via</w:t>
            </w:r>
            <w:r>
              <w:rPr>
                <w:rFonts w:eastAsia="Times New Roman" w:cstheme="minorHAnsi"/>
                <w:color w:val="FF0000"/>
                <w:lang w:eastAsia="en-GB"/>
              </w:rPr>
              <w:t xml:space="preserve"> </w:t>
            </w:r>
            <w:hyperlink r:id="rId41" w:history="1">
              <w:r>
                <w:rPr>
                  <w:rStyle w:val="Hyperlink"/>
                </w:rPr>
                <w:t>https://www.medicines.org.uk/emc/product/1376/</w:t>
              </w:r>
            </w:hyperlink>
            <w:r>
              <w:t xml:space="preserve"> </w:t>
            </w:r>
            <w:r w:rsidRPr="00616DFC">
              <w:rPr>
                <w:rStyle w:val="Hyperlink"/>
                <w:rFonts w:eastAsia="Times New Roman" w:cstheme="minorHAnsi"/>
                <w:color w:val="000000"/>
                <w:u w:val="none"/>
                <w:lang w:eastAsia="en-GB"/>
              </w:rPr>
              <w:t xml:space="preserve">on </w:t>
            </w:r>
            <w:r>
              <w:rPr>
                <w:rStyle w:val="Hyperlink"/>
                <w:rFonts w:eastAsia="Times New Roman" w:cstheme="minorHAnsi"/>
                <w:color w:val="000000"/>
                <w:u w:val="none"/>
                <w:lang w:eastAsia="en-GB"/>
              </w:rPr>
              <w:t>23/11/23</w:t>
            </w:r>
            <w:r w:rsidRPr="00616DFC">
              <w:rPr>
                <w:rStyle w:val="Hyperlink"/>
                <w:rFonts w:eastAsia="Times New Roman" w:cstheme="minorHAnsi"/>
                <w:color w:val="000000"/>
                <w:u w:val="none"/>
                <w:lang w:eastAsia="en-GB"/>
              </w:rPr>
              <w:t>.</w:t>
            </w:r>
          </w:p>
          <w:p w14:paraId="7AE6E4E3" w14:textId="77777777" w:rsidR="00330B76" w:rsidRPr="00330B76" w:rsidRDefault="00330B76" w:rsidP="00330B76">
            <w:pPr>
              <w:numPr>
                <w:ilvl w:val="0"/>
                <w:numId w:val="4"/>
              </w:numPr>
              <w:spacing w:before="0"/>
              <w:contextualSpacing/>
              <w:rPr>
                <w:rStyle w:val="Hyperlink"/>
                <w:color w:val="000000"/>
                <w:u w:val="none"/>
              </w:rPr>
            </w:pPr>
            <w:r w:rsidRPr="00330B76">
              <w:rPr>
                <w:rStyle w:val="Hyperlink"/>
                <w:color w:val="000000"/>
                <w:u w:val="none"/>
              </w:rPr>
              <w:t>Methotrexate 2.5 mg tablets</w:t>
            </w:r>
            <w:r>
              <w:rPr>
                <w:rStyle w:val="Hyperlink"/>
                <w:color w:val="000000"/>
                <w:u w:val="none"/>
              </w:rPr>
              <w:t xml:space="preserve"> Patient Information Leaflet</w:t>
            </w:r>
            <w:r w:rsidRPr="00330B76">
              <w:rPr>
                <w:rStyle w:val="Hyperlink"/>
                <w:color w:val="000000"/>
                <w:u w:val="none"/>
              </w:rPr>
              <w:t xml:space="preserve"> (</w:t>
            </w:r>
            <w:proofErr w:type="spellStart"/>
            <w:r w:rsidRPr="00330B76">
              <w:rPr>
                <w:rStyle w:val="Hyperlink"/>
                <w:color w:val="000000"/>
                <w:u w:val="none"/>
              </w:rPr>
              <w:t>Maxtrex</w:t>
            </w:r>
            <w:proofErr w:type="spellEnd"/>
            <w:r w:rsidRPr="00330B76">
              <w:rPr>
                <w:rStyle w:val="Hyperlink"/>
                <w:color w:val="000000"/>
                <w:u w:val="none"/>
              </w:rPr>
              <w:t>®).</w:t>
            </w:r>
            <w:r>
              <w:rPr>
                <w:rStyle w:val="Hyperlink"/>
                <w:color w:val="000000"/>
                <w:u w:val="none"/>
              </w:rPr>
              <w:t xml:space="preserve"> Last revised </w:t>
            </w:r>
            <w:r w:rsidRPr="00C137A6">
              <w:rPr>
                <w:rStyle w:val="Hyperlink"/>
                <w:color w:val="000000"/>
                <w:u w:val="none"/>
              </w:rPr>
              <w:t>08/2023</w:t>
            </w:r>
            <w:r>
              <w:rPr>
                <w:rStyle w:val="Hyperlink"/>
                <w:color w:val="000000"/>
                <w:u w:val="none"/>
              </w:rPr>
              <w:t xml:space="preserve">. Accessed via </w:t>
            </w:r>
            <w:hyperlink r:id="rId42" w:history="1">
              <w:r w:rsidRPr="00810DB0">
                <w:rPr>
                  <w:rStyle w:val="Hyperlink"/>
                </w:rPr>
                <w:t>https://www.medicines.org.uk/emc/files/pil.1376.pdf</w:t>
              </w:r>
            </w:hyperlink>
            <w:r>
              <w:rPr>
                <w:rStyle w:val="Hyperlink"/>
                <w:color w:val="000000"/>
                <w:u w:val="none"/>
              </w:rPr>
              <w:t xml:space="preserve"> on 28/03/24. </w:t>
            </w:r>
          </w:p>
          <w:p w14:paraId="06E7E27D" w14:textId="77777777" w:rsidR="00330B76" w:rsidRDefault="00330B76" w:rsidP="00330B76">
            <w:pPr>
              <w:numPr>
                <w:ilvl w:val="0"/>
                <w:numId w:val="4"/>
              </w:numPr>
              <w:spacing w:before="0" w:after="0"/>
              <w:contextualSpacing/>
            </w:pPr>
            <w:r>
              <w:rPr>
                <w:rFonts w:eastAsia="Times New Roman" w:cstheme="minorHAnsi"/>
                <w:color w:val="000000"/>
                <w:lang w:eastAsia="en-GB"/>
              </w:rPr>
              <w:t>Methotrexate 10 mg solution for injection in pre-filled injector (</w:t>
            </w:r>
            <w:proofErr w:type="spellStart"/>
            <w:r>
              <w:rPr>
                <w:rFonts w:eastAsia="Times New Roman" w:cstheme="minorHAnsi"/>
                <w:color w:val="000000"/>
                <w:lang w:eastAsia="en-GB"/>
              </w:rPr>
              <w:t>Methofill</w:t>
            </w:r>
            <w:proofErr w:type="spellEnd"/>
            <w:r>
              <w:rPr>
                <w:rFonts w:eastAsia="Times New Roman" w:cstheme="minorHAnsi"/>
                <w:color w:val="000000"/>
                <w:lang w:eastAsia="en-GB"/>
              </w:rPr>
              <w:t xml:space="preserve">®). Date of revision of the text 01/03/21. </w:t>
            </w:r>
            <w:hyperlink r:id="rId43" w:history="1">
              <w:r w:rsidRPr="00810DB0">
                <w:rPr>
                  <w:rStyle w:val="Hyperlink"/>
                  <w:rFonts w:eastAsia="Times New Roman" w:cstheme="minorHAnsi"/>
                  <w:lang w:eastAsia="en-GB"/>
                </w:rPr>
                <w:t>https://products.mhra.gov.uk/</w:t>
              </w:r>
            </w:hyperlink>
            <w:r>
              <w:rPr>
                <w:rFonts w:eastAsia="Times New Roman" w:cstheme="minorHAnsi"/>
                <w:color w:val="000000"/>
                <w:lang w:eastAsia="en-GB"/>
              </w:rPr>
              <w:t xml:space="preserve"> on 2</w:t>
            </w:r>
            <w:r>
              <w:rPr>
                <w:rFonts w:eastAsia="Times New Roman" w:cstheme="minorHAnsi"/>
                <w:lang w:eastAsia="en-GB"/>
              </w:rPr>
              <w:t>3/11/23</w:t>
            </w:r>
            <w:r>
              <w:rPr>
                <w:rFonts w:eastAsia="Times New Roman" w:cstheme="minorHAnsi"/>
                <w:color w:val="000000"/>
                <w:lang w:eastAsia="en-GB"/>
              </w:rPr>
              <w:t xml:space="preserve">. </w:t>
            </w:r>
          </w:p>
          <w:p w14:paraId="08E87901" w14:textId="77777777" w:rsidR="00330B76" w:rsidRDefault="00330B76" w:rsidP="00330B76">
            <w:pPr>
              <w:numPr>
                <w:ilvl w:val="0"/>
                <w:numId w:val="4"/>
              </w:numPr>
              <w:spacing w:before="0" w:after="0"/>
              <w:contextualSpacing/>
              <w:rPr>
                <w:rFonts w:eastAsia="Times New Roman" w:cstheme="minorHAnsi"/>
                <w:color w:val="000000"/>
                <w:lang w:eastAsia="en-GB"/>
              </w:rPr>
            </w:pPr>
            <w:r>
              <w:rPr>
                <w:rFonts w:eastAsia="Times New Roman" w:cstheme="minorHAnsi"/>
                <w:color w:val="000000"/>
                <w:lang w:eastAsia="en-GB"/>
              </w:rPr>
              <w:t>Methotrexate 10 mg solution for injection in pre-filled pen (</w:t>
            </w:r>
            <w:proofErr w:type="spellStart"/>
            <w:r>
              <w:rPr>
                <w:rFonts w:eastAsia="Times New Roman" w:cstheme="minorHAnsi"/>
                <w:color w:val="000000"/>
                <w:lang w:eastAsia="en-GB"/>
              </w:rPr>
              <w:t>Metoject</w:t>
            </w:r>
            <w:proofErr w:type="spellEnd"/>
            <w:r>
              <w:rPr>
                <w:rFonts w:eastAsia="Times New Roman" w:cstheme="minorHAnsi"/>
                <w:color w:val="000000"/>
                <w:lang w:eastAsia="en-GB"/>
              </w:rPr>
              <w:t xml:space="preserve">®). Date of revision of the text 09/2023. Accessed via </w:t>
            </w:r>
            <w:hyperlink r:id="rId44" w:history="1">
              <w:r>
                <w:rPr>
                  <w:rStyle w:val="Hyperlink"/>
                  <w:rFonts w:eastAsia="Times New Roman" w:cstheme="minorHAnsi"/>
                  <w:lang w:eastAsia="en-GB"/>
                </w:rPr>
                <w:t>https://www.medicines.org.uk/emc/product/11351/</w:t>
              </w:r>
            </w:hyperlink>
            <w:r>
              <w:rPr>
                <w:rFonts w:eastAsia="Times New Roman" w:cstheme="minorHAnsi"/>
                <w:color w:val="000000"/>
                <w:lang w:eastAsia="en-GB"/>
              </w:rPr>
              <w:t xml:space="preserve"> on 23/11/23.</w:t>
            </w:r>
          </w:p>
          <w:p w14:paraId="5976D98D" w14:textId="77777777" w:rsidR="00330B76" w:rsidRDefault="00330B76" w:rsidP="00330B76">
            <w:pPr>
              <w:numPr>
                <w:ilvl w:val="0"/>
                <w:numId w:val="4"/>
              </w:numPr>
              <w:spacing w:before="0" w:after="0"/>
              <w:contextualSpacing/>
              <w:rPr>
                <w:rFonts w:eastAsia="Times New Roman" w:cstheme="minorHAnsi"/>
                <w:color w:val="000000"/>
                <w:lang w:eastAsia="en-GB"/>
              </w:rPr>
            </w:pPr>
            <w:r>
              <w:rPr>
                <w:rFonts w:eastAsia="Times New Roman" w:cstheme="minorHAnsi"/>
                <w:color w:val="000000"/>
                <w:lang w:eastAsia="en-GB"/>
              </w:rPr>
              <w:t>Methotrexate 10 mg solution for injection in pre-filled pen (</w:t>
            </w:r>
            <w:proofErr w:type="spellStart"/>
            <w:r>
              <w:rPr>
                <w:rFonts w:eastAsia="Times New Roman" w:cstheme="minorHAnsi"/>
                <w:color w:val="000000"/>
                <w:lang w:eastAsia="en-GB"/>
              </w:rPr>
              <w:t>Nordimet</w:t>
            </w:r>
            <w:proofErr w:type="spellEnd"/>
            <w:r>
              <w:rPr>
                <w:rFonts w:eastAsia="Times New Roman" w:cstheme="minorHAnsi"/>
                <w:color w:val="000000"/>
                <w:lang w:eastAsia="en-GB"/>
              </w:rPr>
              <w:t xml:space="preserve">®). Date of revision of the text 03/11/23. Accessed via </w:t>
            </w:r>
            <w:hyperlink r:id="rId45" w:history="1">
              <w:r>
                <w:rPr>
                  <w:rStyle w:val="Hyperlink"/>
                  <w:rFonts w:eastAsia="Times New Roman" w:cstheme="minorHAnsi"/>
                  <w:lang w:eastAsia="en-GB"/>
                </w:rPr>
                <w:t>https://www.medicines.org.uk/emc/product/7721/</w:t>
              </w:r>
            </w:hyperlink>
            <w:r>
              <w:rPr>
                <w:rFonts w:eastAsia="Times New Roman" w:cstheme="minorHAnsi"/>
                <w:color w:val="000000"/>
                <w:lang w:eastAsia="en-GB"/>
              </w:rPr>
              <w:t xml:space="preserve"> on 23/11/23.</w:t>
            </w:r>
          </w:p>
          <w:p w14:paraId="3F84ED49" w14:textId="77777777" w:rsidR="00330B76" w:rsidRDefault="00330B76" w:rsidP="00330B76">
            <w:pPr>
              <w:numPr>
                <w:ilvl w:val="0"/>
                <w:numId w:val="4"/>
              </w:numPr>
              <w:spacing w:before="0" w:after="0"/>
              <w:contextualSpacing/>
              <w:rPr>
                <w:rFonts w:eastAsia="Times New Roman" w:cstheme="minorHAnsi"/>
                <w:color w:val="000000"/>
                <w:lang w:eastAsia="en-GB"/>
              </w:rPr>
            </w:pPr>
            <w:r>
              <w:rPr>
                <w:rFonts w:eastAsia="Times New Roman" w:cstheme="minorHAnsi"/>
                <w:color w:val="000000"/>
                <w:lang w:eastAsia="en-GB"/>
              </w:rPr>
              <w:t>Methotrexate 10 mg solution for injection in pre-filled pen (</w:t>
            </w:r>
            <w:proofErr w:type="spellStart"/>
            <w:r>
              <w:rPr>
                <w:rFonts w:eastAsia="Times New Roman" w:cstheme="minorHAnsi"/>
                <w:color w:val="000000"/>
                <w:lang w:eastAsia="en-GB"/>
              </w:rPr>
              <w:t>Zlatal</w:t>
            </w:r>
            <w:proofErr w:type="spellEnd"/>
            <w:r>
              <w:rPr>
                <w:rFonts w:eastAsia="Times New Roman" w:cstheme="minorHAnsi"/>
                <w:color w:val="000000"/>
                <w:lang w:eastAsia="en-GB"/>
              </w:rPr>
              <w:t xml:space="preserve">®). Date of revision of the text 20/04/23. Accessed via </w:t>
            </w:r>
            <w:hyperlink r:id="rId46" w:history="1">
              <w:r>
                <w:rPr>
                  <w:rStyle w:val="Hyperlink"/>
                  <w:rFonts w:eastAsia="Times New Roman" w:cstheme="minorHAnsi"/>
                  <w:lang w:eastAsia="en-GB"/>
                </w:rPr>
                <w:t>https://www.medicines.org.uk/emc/product/7270/</w:t>
              </w:r>
            </w:hyperlink>
            <w:r>
              <w:rPr>
                <w:rFonts w:eastAsia="Times New Roman" w:cstheme="minorHAnsi"/>
                <w:color w:val="000000"/>
                <w:lang w:eastAsia="en-GB"/>
              </w:rPr>
              <w:t xml:space="preserve"> on 23/11/23.</w:t>
            </w:r>
          </w:p>
          <w:p w14:paraId="698FD50C" w14:textId="77777777" w:rsidR="00330B76" w:rsidRDefault="00330B76" w:rsidP="00330B76">
            <w:pPr>
              <w:numPr>
                <w:ilvl w:val="0"/>
                <w:numId w:val="4"/>
              </w:numPr>
              <w:spacing w:after="0"/>
              <w:contextualSpacing/>
              <w:rPr>
                <w:rFonts w:eastAsia="Times New Roman" w:cstheme="minorHAnsi"/>
                <w:color w:val="000000"/>
                <w:lang w:eastAsia="en-GB"/>
              </w:rPr>
            </w:pPr>
            <w:r>
              <w:rPr>
                <w:rFonts w:eastAsia="Times New Roman" w:cstheme="minorHAnsi"/>
                <w:color w:val="000000"/>
                <w:lang w:eastAsia="en-GB"/>
              </w:rPr>
              <w:t>Methotrexate 2 mg/mL oral solution (</w:t>
            </w:r>
            <w:proofErr w:type="spellStart"/>
            <w:r>
              <w:rPr>
                <w:rFonts w:eastAsia="Times New Roman" w:cstheme="minorHAnsi"/>
                <w:color w:val="000000"/>
                <w:lang w:eastAsia="en-GB"/>
              </w:rPr>
              <w:t>Jylamvo</w:t>
            </w:r>
            <w:proofErr w:type="spellEnd"/>
            <w:r>
              <w:rPr>
                <w:rFonts w:eastAsia="Times New Roman" w:cstheme="minorHAnsi"/>
                <w:color w:val="000000"/>
                <w:lang w:eastAsia="en-GB"/>
              </w:rPr>
              <w:t xml:space="preserve">®). Date of revision of the text 10/2023. Accessed via </w:t>
            </w:r>
            <w:hyperlink r:id="rId47" w:history="1">
              <w:r>
                <w:rPr>
                  <w:rStyle w:val="Hyperlink"/>
                  <w:rFonts w:eastAsia="Times New Roman" w:cstheme="minorHAnsi"/>
                  <w:lang w:eastAsia="en-GB"/>
                </w:rPr>
                <w:t>https://www.medicines.org.uk/emc/product/8599/</w:t>
              </w:r>
            </w:hyperlink>
            <w:r>
              <w:rPr>
                <w:rFonts w:eastAsia="Times New Roman" w:cstheme="minorHAnsi"/>
                <w:color w:val="000000"/>
                <w:lang w:eastAsia="en-GB"/>
              </w:rPr>
              <w:t xml:space="preserve"> on 23/11/23.</w:t>
            </w:r>
          </w:p>
          <w:p w14:paraId="4DED0ACB" w14:textId="77777777" w:rsidR="00330B76" w:rsidRDefault="00330B76" w:rsidP="00330B76">
            <w:pPr>
              <w:pStyle w:val="ListParagraph"/>
              <w:numPr>
                <w:ilvl w:val="0"/>
                <w:numId w:val="4"/>
              </w:numPr>
              <w:spacing w:before="0"/>
              <w:contextualSpacing/>
              <w:rPr>
                <w:rFonts w:eastAsia="Times New Roman" w:cstheme="minorHAnsi"/>
                <w:lang w:eastAsia="en-GB"/>
              </w:rPr>
            </w:pPr>
            <w:r>
              <w:rPr>
                <w:rFonts w:eastAsia="Times New Roman" w:cstheme="minorHAnsi"/>
                <w:lang w:eastAsia="en-GB"/>
              </w:rPr>
              <w:t xml:space="preserve">British Society of Rheumatology and British Health Professionals in Rheumatology. 2017. Guidelines for the prescription and monitoring of non-biologic disease-modifying anti-rheumatic drugs. Accessed via </w:t>
            </w:r>
            <w:hyperlink r:id="rId48" w:history="1">
              <w:r>
                <w:rPr>
                  <w:rStyle w:val="Hyperlink"/>
                  <w:rFonts w:eastAsia="Times New Roman" w:cstheme="minorHAnsi"/>
                  <w:lang w:eastAsia="en-GB"/>
                </w:rPr>
                <w:t>https://academic.oup.com/rheumatology/article/56/6/865/3053478</w:t>
              </w:r>
            </w:hyperlink>
            <w:r>
              <w:rPr>
                <w:rFonts w:eastAsia="Times New Roman" w:cstheme="minorHAnsi"/>
                <w:lang w:eastAsia="en-GB"/>
              </w:rPr>
              <w:t xml:space="preserve">. </w:t>
            </w:r>
          </w:p>
          <w:p w14:paraId="19C3FAFF" w14:textId="77777777" w:rsidR="00330B76" w:rsidRDefault="00330B76" w:rsidP="00330B76">
            <w:pPr>
              <w:pStyle w:val="ListParagraph"/>
              <w:numPr>
                <w:ilvl w:val="0"/>
                <w:numId w:val="4"/>
              </w:numPr>
              <w:spacing w:before="0" w:after="0"/>
              <w:contextualSpacing/>
              <w:rPr>
                <w:rFonts w:eastAsia="Times New Roman" w:cstheme="minorHAnsi"/>
                <w:lang w:eastAsia="en-GB"/>
              </w:rPr>
            </w:pPr>
            <w:r>
              <w:rPr>
                <w:rFonts w:eastAsia="Times New Roman" w:cstheme="minorHAnsi"/>
                <w:lang w:eastAsia="en-GB"/>
              </w:rPr>
              <w:t xml:space="preserve">British Society of Dermatologists’ guidelines for the safe and effective prescribing of methotrexate for skin disease 2016. Accessed via </w:t>
            </w:r>
            <w:hyperlink r:id="rId49" w:history="1">
              <w:r>
                <w:rPr>
                  <w:rStyle w:val="Hyperlink"/>
                  <w:rFonts w:eastAsia="Times New Roman" w:cstheme="minorHAnsi"/>
                  <w:lang w:eastAsia="en-GB"/>
                </w:rPr>
                <w:t>https://onlinelibrary.wiley.com/doi/full/10.1111/bjd.14816</w:t>
              </w:r>
            </w:hyperlink>
            <w:r>
              <w:rPr>
                <w:rFonts w:eastAsia="Times New Roman" w:cstheme="minorHAnsi"/>
                <w:lang w:eastAsia="en-GB"/>
              </w:rPr>
              <w:t xml:space="preserve">. </w:t>
            </w:r>
          </w:p>
          <w:p w14:paraId="0E80B5AC" w14:textId="77777777" w:rsidR="00330B76" w:rsidRPr="00330B76" w:rsidRDefault="00330B76" w:rsidP="00330B76">
            <w:pPr>
              <w:pStyle w:val="paragraph"/>
              <w:numPr>
                <w:ilvl w:val="0"/>
                <w:numId w:val="4"/>
              </w:numPr>
              <w:spacing w:before="60" w:beforeAutospacing="0" w:after="60" w:afterAutospacing="0"/>
              <w:textAlignment w:val="baseline"/>
              <w:rPr>
                <w:rFonts w:ascii="Arial" w:hAnsi="Arial" w:cs="Arial"/>
                <w:sz w:val="22"/>
                <w:szCs w:val="22"/>
              </w:rPr>
            </w:pPr>
            <w:r w:rsidRPr="00301F73">
              <w:rPr>
                <w:rStyle w:val="normaltextrun"/>
                <w:rFonts w:ascii="Arial" w:hAnsi="Arial" w:cs="Arial"/>
                <w:sz w:val="22"/>
                <w:szCs w:val="22"/>
              </w:rPr>
              <w:t xml:space="preserve">British Society for Rheumatology 2023. Guideline on prescribing drugs in pregnancy and breastfeeding: immunomodulatory anti-rheumatic drugs and corticosteroids. Accessed via </w:t>
            </w:r>
            <w:hyperlink r:id="rId50" w:history="1">
              <w:r w:rsidRPr="00330B76">
                <w:rPr>
                  <w:rStyle w:val="Hyperlink"/>
                  <w:rFonts w:ascii="Arial" w:hAnsi="Arial" w:cstheme="minorHAnsi"/>
                  <w:sz w:val="22"/>
                  <w:szCs w:val="22"/>
                </w:rPr>
                <w:t>https://academic.oup.com/rheumatology/article/62/4/e48/6783012</w:t>
              </w:r>
            </w:hyperlink>
            <w:r w:rsidRPr="00E028F6">
              <w:rPr>
                <w:rFonts w:cstheme="minorHAnsi"/>
              </w:rPr>
              <w:t xml:space="preserve">. </w:t>
            </w:r>
          </w:p>
          <w:p w14:paraId="7AC64153" w14:textId="77777777" w:rsidR="00330B76" w:rsidRPr="00822781" w:rsidRDefault="00330B76" w:rsidP="00330B76">
            <w:pPr>
              <w:pStyle w:val="ListParagraph"/>
              <w:numPr>
                <w:ilvl w:val="0"/>
                <w:numId w:val="4"/>
              </w:numPr>
              <w:rPr>
                <w:rFonts w:eastAsia="Times New Roman" w:cstheme="minorHAnsi"/>
                <w:lang w:eastAsia="en-GB"/>
              </w:rPr>
            </w:pPr>
            <w:r w:rsidRPr="00822781">
              <w:rPr>
                <w:rFonts w:eastAsia="Times New Roman" w:cstheme="minorHAnsi"/>
                <w:lang w:eastAsia="en-GB"/>
              </w:rPr>
              <w:t xml:space="preserve">Renal Drug Database. </w:t>
            </w:r>
            <w:r>
              <w:rPr>
                <w:rFonts w:eastAsia="Times New Roman" w:cstheme="minorHAnsi"/>
                <w:lang w:eastAsia="en-GB"/>
              </w:rPr>
              <w:t>Methotrexate</w:t>
            </w:r>
            <w:r w:rsidRPr="00822781">
              <w:rPr>
                <w:rFonts w:eastAsia="Times New Roman" w:cstheme="minorHAnsi"/>
                <w:lang w:eastAsia="en-GB"/>
              </w:rPr>
              <w:t xml:space="preserve">. Reviewed </w:t>
            </w:r>
            <w:r>
              <w:rPr>
                <w:rFonts w:eastAsia="Times New Roman" w:cstheme="minorHAnsi"/>
                <w:lang w:eastAsia="en-GB"/>
              </w:rPr>
              <w:t>02/22/18</w:t>
            </w:r>
            <w:r w:rsidRPr="00822781">
              <w:rPr>
                <w:rFonts w:eastAsia="Times New Roman" w:cstheme="minorHAnsi"/>
                <w:lang w:eastAsia="en-GB"/>
              </w:rPr>
              <w:t xml:space="preserve">. Accessed via </w:t>
            </w:r>
            <w:hyperlink r:id="rId51" w:history="1">
              <w:r w:rsidRPr="00810DB0">
                <w:rPr>
                  <w:rStyle w:val="Hyperlink"/>
                  <w:rFonts w:eastAsia="Times New Roman" w:cstheme="minorHAnsi"/>
                  <w:lang w:eastAsia="en-GB"/>
                </w:rPr>
                <w:t>https://renaldrugdatabase.com/</w:t>
              </w:r>
            </w:hyperlink>
            <w:r>
              <w:rPr>
                <w:rFonts w:eastAsia="Times New Roman" w:cstheme="minorHAnsi"/>
                <w:lang w:eastAsia="en-GB"/>
              </w:rPr>
              <w:t xml:space="preserve"> </w:t>
            </w:r>
            <w:r w:rsidRPr="00822781">
              <w:rPr>
                <w:rFonts w:eastAsia="Times New Roman" w:cstheme="minorHAnsi"/>
                <w:lang w:eastAsia="en-GB"/>
              </w:rPr>
              <w:t xml:space="preserve">on </w:t>
            </w:r>
            <w:r>
              <w:rPr>
                <w:rFonts w:eastAsia="Times New Roman" w:cstheme="minorHAnsi"/>
                <w:lang w:eastAsia="en-GB"/>
              </w:rPr>
              <w:t>23</w:t>
            </w:r>
            <w:r w:rsidRPr="00822781">
              <w:rPr>
                <w:rFonts w:eastAsia="Times New Roman" w:cstheme="minorHAnsi"/>
                <w:lang w:eastAsia="en-GB"/>
              </w:rPr>
              <w:t xml:space="preserve">/11/23.  </w:t>
            </w:r>
          </w:p>
          <w:p w14:paraId="1BCEA0BE" w14:textId="77777777" w:rsidR="00330B76" w:rsidRPr="00330B76" w:rsidRDefault="00330B76" w:rsidP="00330B76">
            <w:pPr>
              <w:pStyle w:val="ListParagraph"/>
              <w:numPr>
                <w:ilvl w:val="0"/>
                <w:numId w:val="4"/>
              </w:numPr>
              <w:spacing w:before="0" w:after="0"/>
              <w:contextualSpacing/>
              <w:rPr>
                <w:rFonts w:cs="Arial"/>
              </w:rPr>
            </w:pPr>
            <w:r w:rsidRPr="00330B76">
              <w:rPr>
                <w:rFonts w:eastAsia="Times New Roman" w:cstheme="minorHAnsi"/>
                <w:lang w:eastAsia="en-GB"/>
              </w:rPr>
              <w:t xml:space="preserve">MHRA Drug Safety Update. Methotrexate </w:t>
            </w:r>
            <w:proofErr w:type="gramStart"/>
            <w:r w:rsidRPr="00330B76">
              <w:rPr>
                <w:rFonts w:eastAsia="Times New Roman" w:cstheme="minorHAnsi"/>
                <w:lang w:eastAsia="en-GB"/>
              </w:rPr>
              <w:t>once-weekly</w:t>
            </w:r>
            <w:proofErr w:type="gramEnd"/>
            <w:r w:rsidRPr="00330B76">
              <w:rPr>
                <w:rFonts w:eastAsia="Times New Roman" w:cstheme="minorHAnsi"/>
                <w:lang w:eastAsia="en-GB"/>
              </w:rPr>
              <w:t xml:space="preserve"> for autoimmune diseases: new measures to reduce risk of fatal overdose due to inadvertent daily instead of weekly dosing. September 2020. Accessed via </w:t>
            </w:r>
            <w:hyperlink r:id="rId52" w:history="1">
              <w:r w:rsidRPr="004E6C97">
                <w:rPr>
                  <w:rStyle w:val="Hyperlink"/>
                  <w:rFonts w:eastAsia="Times New Roman" w:cstheme="minorHAnsi"/>
                  <w:lang w:eastAsia="en-GB"/>
                </w:rPr>
                <w:t>https://www.gov.uk/drug-safety-update/methotrexate-once-weekly-for-autoimmune-diseases-new-measures-to-reduce-risk-of-fatal-overdose-due-to-inadvertent-daily-instead-of-weekly-dosing</w:t>
              </w:r>
            </w:hyperlink>
            <w:r w:rsidRPr="00330B76">
              <w:rPr>
                <w:rFonts w:eastAsia="Times New Roman" w:cstheme="minorHAnsi"/>
                <w:lang w:eastAsia="en-GB"/>
              </w:rPr>
              <w:t xml:space="preserve">.  </w:t>
            </w:r>
          </w:p>
          <w:p w14:paraId="6905705D" w14:textId="77777777" w:rsidR="00330B76" w:rsidRPr="00C3749A" w:rsidRDefault="00330B76" w:rsidP="00330B76">
            <w:pPr>
              <w:pStyle w:val="ListParagraph"/>
              <w:numPr>
                <w:ilvl w:val="0"/>
                <w:numId w:val="4"/>
              </w:numPr>
              <w:spacing w:before="0" w:after="0"/>
              <w:contextualSpacing/>
              <w:rPr>
                <w:rFonts w:cs="Arial"/>
              </w:rPr>
            </w:pPr>
            <w:r>
              <w:rPr>
                <w:rFonts w:cstheme="minorHAnsi"/>
              </w:rPr>
              <w:t xml:space="preserve">MHRA Drug Safety Update: </w:t>
            </w:r>
            <w:r w:rsidRPr="005B7910">
              <w:rPr>
                <w:rFonts w:cstheme="minorHAnsi"/>
              </w:rPr>
              <w:t>Methotrexate: advise patients to take precautions in the sun to avoid photosensitivity reactions</w:t>
            </w:r>
            <w:r>
              <w:rPr>
                <w:rFonts w:cstheme="minorHAnsi"/>
              </w:rPr>
              <w:t xml:space="preserve">. August 2023. Accessed via </w:t>
            </w:r>
            <w:hyperlink r:id="rId53" w:history="1">
              <w:r w:rsidRPr="00810DB0">
                <w:rPr>
                  <w:rStyle w:val="Hyperlink"/>
                  <w:rFonts w:cstheme="minorHAnsi"/>
                </w:rPr>
                <w:t>https://www.gov.uk/drug-safety-update/methotrexate-advise-patients-to-take-precautions-in-the-sun-to-avoid-photosensitivity-reactions</w:t>
              </w:r>
            </w:hyperlink>
            <w:r>
              <w:rPr>
                <w:rFonts w:cstheme="minorHAnsi"/>
              </w:rPr>
              <w:t xml:space="preserve">. </w:t>
            </w:r>
          </w:p>
          <w:p w14:paraId="691F28DD" w14:textId="7D8AAE4A" w:rsidR="00C3749A" w:rsidRPr="007A56FB" w:rsidRDefault="00C3749A" w:rsidP="00330B76">
            <w:pPr>
              <w:pStyle w:val="ListParagraph"/>
              <w:numPr>
                <w:ilvl w:val="0"/>
                <w:numId w:val="4"/>
              </w:numPr>
              <w:spacing w:before="0" w:after="0"/>
              <w:contextualSpacing/>
              <w:rPr>
                <w:rFonts w:cs="Arial"/>
              </w:rPr>
            </w:pPr>
            <w:r>
              <w:rPr>
                <w:rFonts w:cstheme="minorHAnsi"/>
              </w:rPr>
              <w:t xml:space="preserve">Specialist Pharmacy Service. </w:t>
            </w:r>
            <w:r w:rsidRPr="00C3749A">
              <w:rPr>
                <w:rFonts w:cstheme="minorHAnsi"/>
              </w:rPr>
              <w:t>Using folic acid with methotrexate in rheumatoid arthritis</w:t>
            </w:r>
            <w:r>
              <w:rPr>
                <w:rFonts w:cstheme="minorHAnsi"/>
              </w:rPr>
              <w:t>. 20</w:t>
            </w:r>
            <w:r w:rsidRPr="00826798">
              <w:rPr>
                <w:rFonts w:cstheme="minorHAnsi"/>
                <w:vertAlign w:val="superscript"/>
              </w:rPr>
              <w:t>th</w:t>
            </w:r>
            <w:r>
              <w:rPr>
                <w:rFonts w:cstheme="minorHAnsi"/>
              </w:rPr>
              <w:t xml:space="preserve"> February 2023. Accessed via </w:t>
            </w:r>
            <w:hyperlink r:id="rId54" w:history="1">
              <w:r w:rsidRPr="00E60070">
                <w:rPr>
                  <w:rStyle w:val="Hyperlink"/>
                  <w:rFonts w:cstheme="minorHAnsi"/>
                </w:rPr>
                <w:t>https://www.sps.nhs.uk/articles/using-folic-acid-with-methotrexate-in-rheumatoid-arthritis/</w:t>
              </w:r>
            </w:hyperlink>
            <w:r>
              <w:rPr>
                <w:rFonts w:cstheme="minorHAnsi"/>
              </w:rPr>
              <w:t xml:space="preserve"> on 16/11/23.</w:t>
            </w:r>
          </w:p>
        </w:tc>
      </w:tr>
      <w:tr w:rsidR="00767B99" w:rsidRPr="00F321FC" w14:paraId="5BFC9044" w14:textId="77777777" w:rsidTr="00BF174A">
        <w:tc>
          <w:tcPr>
            <w:tcW w:w="2268" w:type="dxa"/>
          </w:tcPr>
          <w:p w14:paraId="2578110D" w14:textId="586DDC3D" w:rsidR="00767B99" w:rsidRPr="00F321FC" w:rsidRDefault="00767B99" w:rsidP="00767B99">
            <w:pPr>
              <w:pStyle w:val="Heading2"/>
              <w:rPr>
                <w:rFonts w:cs="Arial"/>
              </w:rPr>
            </w:pPr>
            <w:bookmarkStart w:id="28" w:name="sixteen_read_with"/>
            <w:bookmarkStart w:id="29" w:name="_Toc149231800"/>
            <w:r w:rsidRPr="00F321FC">
              <w:rPr>
                <w:rFonts w:cs="Arial"/>
              </w:rPr>
              <w:t>To be read in conjunction with the following documents</w:t>
            </w:r>
            <w:bookmarkEnd w:id="28"/>
            <w:bookmarkEnd w:id="29"/>
          </w:p>
        </w:tc>
        <w:tc>
          <w:tcPr>
            <w:tcW w:w="8193" w:type="dxa"/>
          </w:tcPr>
          <w:p w14:paraId="1D359FBA" w14:textId="03BA0453" w:rsidR="00FB404F" w:rsidRPr="00FB404F" w:rsidRDefault="00FB404F" w:rsidP="00330B76">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55" w:history="1">
              <w:r w:rsidR="007A3C14" w:rsidRPr="0099711D">
                <w:rPr>
                  <w:rStyle w:val="Hyperlink"/>
                </w:rPr>
                <w:t>https://www.medicinesresources.nhs.uk/shared-care-for-medicines-guidance-a-standard-approach-rmoc.html</w:t>
              </w:r>
            </w:hyperlink>
          </w:p>
          <w:p w14:paraId="2D3D56F2" w14:textId="77777777" w:rsidR="00FB404F" w:rsidRPr="00FB404F" w:rsidRDefault="00FB404F" w:rsidP="00330B76">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56"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330B76">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57"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t xml:space="preserve">NICE NG197: Shared decision making. Last updated June 2021. </w:t>
            </w:r>
            <w:hyperlink r:id="rId58"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3B0B1FF8" w14:textId="39911C27" w:rsidR="003552BC" w:rsidRDefault="003552BC" w:rsidP="00616DFC"/>
    <w:sectPr w:rsidR="003552BC" w:rsidSect="00BF1406">
      <w:footerReference w:type="default" r:id="rId59"/>
      <w:headerReference w:type="first" r:id="rId60"/>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FE2E2" w14:textId="77777777" w:rsidR="0076597D" w:rsidRDefault="0076597D" w:rsidP="00E83C66">
      <w:pPr>
        <w:spacing w:after="0" w:line="240" w:lineRule="auto"/>
      </w:pPr>
      <w:r>
        <w:separator/>
      </w:r>
    </w:p>
  </w:endnote>
  <w:endnote w:type="continuationSeparator" w:id="0">
    <w:p w14:paraId="427460EF" w14:textId="77777777" w:rsidR="0076597D" w:rsidRDefault="0076597D" w:rsidP="00E8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DD1D" w14:textId="3A08E94C" w:rsidR="00330B76" w:rsidRPr="00003E35" w:rsidRDefault="00330B76" w:rsidP="00330B76">
    <w:pPr>
      <w:pStyle w:val="Footer"/>
    </w:pPr>
    <w:r w:rsidRPr="00003E35">
      <w:t>Shared care protocol:</w:t>
    </w:r>
    <w:r>
      <w:t xml:space="preserve"> methotrexate </w:t>
    </w:r>
    <w:r w:rsidRPr="00003E35">
      <w:t xml:space="preserve">in adults </w:t>
    </w:r>
    <w:r>
      <w:t>(excluding cancer care)</w:t>
    </w:r>
    <w:r w:rsidRPr="00003E35">
      <w:tab/>
    </w:r>
    <w:r w:rsidRPr="00003E35">
      <w:tab/>
    </w:r>
    <w:r w:rsidR="00373375">
      <w:t xml:space="preserve">HNY </w:t>
    </w:r>
    <w:r w:rsidR="00826798">
      <w:t>v</w:t>
    </w:r>
    <w:r w:rsidR="00016649">
      <w:t>2</w:t>
    </w:r>
    <w:r w:rsidR="00826798">
      <w:t>.</w:t>
    </w:r>
    <w:r w:rsidR="00373375">
      <w:t>0</w:t>
    </w:r>
  </w:p>
  <w:p w14:paraId="69749692" w14:textId="52D9A5DD" w:rsidR="00330B76" w:rsidRDefault="00330B76" w:rsidP="00330B76">
    <w:pPr>
      <w:pStyle w:val="Footer"/>
    </w:pPr>
    <w:r w:rsidRPr="00003E35">
      <w:t xml:space="preserve">Clinical content reviewed by RDTC: </w:t>
    </w:r>
    <w:r>
      <w:t>23</w:t>
    </w:r>
    <w:r w:rsidRPr="00826798">
      <w:rPr>
        <w:vertAlign w:val="superscript"/>
      </w:rPr>
      <w:t>rd</w:t>
    </w:r>
    <w:r w:rsidR="00826798">
      <w:t xml:space="preserve"> </w:t>
    </w:r>
    <w:r>
      <w:t>November 2023</w:t>
    </w:r>
    <w:r w:rsidRPr="00003E35">
      <w:tab/>
    </w:r>
    <w:r w:rsidR="00320D2C">
      <w:t xml:space="preserve">                              </w:t>
    </w:r>
    <w:r w:rsidRPr="00003E35">
      <w:t xml:space="preserve">Approved by </w:t>
    </w:r>
    <w:r w:rsidR="00373375">
      <w:t>HNY</w:t>
    </w:r>
    <w:r w:rsidR="00373375" w:rsidRPr="00003E35">
      <w:t xml:space="preserve"> </w:t>
    </w:r>
    <w:r w:rsidRPr="00003E35">
      <w:t xml:space="preserve">ICB: </w:t>
    </w:r>
    <w:r w:rsidR="00FA6EE6">
      <w:t>02/07/2025</w:t>
    </w:r>
  </w:p>
  <w:p w14:paraId="6053BF00" w14:textId="07521ADF" w:rsidR="0092446D" w:rsidRPr="00330B76" w:rsidRDefault="00330B76" w:rsidP="00330B76">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616DFC">
      <w:rPr>
        <w:b/>
        <w:bCs/>
        <w:noProof/>
      </w:rPr>
      <w:t>14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16DFC">
      <w:rPr>
        <w:b/>
        <w:bCs/>
        <w:noProof/>
      </w:rPr>
      <w:t>14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FCCCA" w14:textId="77777777" w:rsidR="0076597D" w:rsidRDefault="0076597D" w:rsidP="00E83C66">
      <w:pPr>
        <w:spacing w:after="0" w:line="240" w:lineRule="auto"/>
      </w:pPr>
      <w:r>
        <w:separator/>
      </w:r>
    </w:p>
  </w:footnote>
  <w:footnote w:type="continuationSeparator" w:id="0">
    <w:p w14:paraId="784DBDFB" w14:textId="77777777" w:rsidR="0076597D" w:rsidRDefault="0076597D" w:rsidP="00E8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6531" w14:textId="638960CD" w:rsidR="00A26F7C" w:rsidRDefault="00373375" w:rsidP="003C21D1">
    <w:pPr>
      <w:pStyle w:val="Header"/>
      <w:spacing w:after="0"/>
      <w:rPr>
        <w:b/>
        <w:bCs/>
      </w:rPr>
    </w:pPr>
    <w:r w:rsidRPr="00EC13F4">
      <w:rPr>
        <w:noProof/>
        <w:lang w:eastAsia="en-GB"/>
      </w:rPr>
      <w:drawing>
        <wp:anchor distT="0" distB="0" distL="114300" distR="114300" simplePos="0" relativeHeight="251657728" behindDoc="1" locked="0" layoutInCell="1" allowOverlap="1" wp14:anchorId="20E86AA4" wp14:editId="65E353F2">
          <wp:simplePos x="0" y="0"/>
          <wp:positionH relativeFrom="margin">
            <wp:posOffset>5191125</wp:posOffset>
          </wp:positionH>
          <wp:positionV relativeFrom="paragraph">
            <wp:posOffset>-381635</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A26F7C" w:rsidRPr="00EC13F4">
      <w:rPr>
        <w:noProof/>
        <w:lang w:eastAsia="en-GB"/>
      </w:rPr>
      <w:drawing>
        <wp:anchor distT="0" distB="0" distL="114300" distR="114300" simplePos="0" relativeHeight="251656704" behindDoc="1" locked="0" layoutInCell="1" allowOverlap="1" wp14:anchorId="6F982FFF" wp14:editId="024517B6">
          <wp:simplePos x="0" y="0"/>
          <wp:positionH relativeFrom="margin">
            <wp:align>left</wp:align>
          </wp:positionH>
          <wp:positionV relativeFrom="paragraph">
            <wp:posOffset>-324485</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1D1">
      <w:rPr>
        <w:b/>
        <w:bCs/>
      </w:rPr>
      <w:tab/>
    </w:r>
  </w:p>
  <w:p w14:paraId="7C02A37E" w14:textId="77777777" w:rsidR="00A26F7C" w:rsidRDefault="00A26F7C" w:rsidP="003C21D1">
    <w:pPr>
      <w:pStyle w:val="Header"/>
      <w:spacing w:after="0"/>
      <w:rPr>
        <w:b/>
        <w:bCs/>
      </w:rPr>
    </w:pPr>
  </w:p>
  <w:p w14:paraId="034ABC3F" w14:textId="0069F5AD" w:rsidR="00CB6622" w:rsidRPr="003C21D1" w:rsidRDefault="003C21D1" w:rsidP="00B6436C">
    <w:pPr>
      <w:pStyle w:val="Header"/>
      <w:spacing w:after="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D7B"/>
    <w:multiLevelType w:val="hybridMultilevel"/>
    <w:tmpl w:val="6AA6E2EC"/>
    <w:lvl w:ilvl="0" w:tplc="091CD4E0">
      <w:start w:val="1"/>
      <w:numFmt w:val="bullet"/>
      <w:lvlText w:val=""/>
      <w:lvlJc w:val="left"/>
      <w:pPr>
        <w:ind w:left="720" w:hanging="360"/>
      </w:pPr>
      <w:rPr>
        <w:rFonts w:ascii="Symbol" w:hAnsi="Symbol"/>
      </w:rPr>
    </w:lvl>
    <w:lvl w:ilvl="1" w:tplc="1B96B864">
      <w:start w:val="1"/>
      <w:numFmt w:val="bullet"/>
      <w:lvlText w:val=""/>
      <w:lvlJc w:val="left"/>
      <w:pPr>
        <w:ind w:left="720" w:hanging="360"/>
      </w:pPr>
      <w:rPr>
        <w:rFonts w:ascii="Symbol" w:hAnsi="Symbol"/>
      </w:rPr>
    </w:lvl>
    <w:lvl w:ilvl="2" w:tplc="857E978E">
      <w:start w:val="1"/>
      <w:numFmt w:val="bullet"/>
      <w:lvlText w:val=""/>
      <w:lvlJc w:val="left"/>
      <w:pPr>
        <w:ind w:left="720" w:hanging="360"/>
      </w:pPr>
      <w:rPr>
        <w:rFonts w:ascii="Symbol" w:hAnsi="Symbol"/>
      </w:rPr>
    </w:lvl>
    <w:lvl w:ilvl="3" w:tplc="A9F6E8A8">
      <w:start w:val="1"/>
      <w:numFmt w:val="bullet"/>
      <w:lvlText w:val=""/>
      <w:lvlJc w:val="left"/>
      <w:pPr>
        <w:ind w:left="720" w:hanging="360"/>
      </w:pPr>
      <w:rPr>
        <w:rFonts w:ascii="Symbol" w:hAnsi="Symbol"/>
      </w:rPr>
    </w:lvl>
    <w:lvl w:ilvl="4" w:tplc="2C621488">
      <w:start w:val="1"/>
      <w:numFmt w:val="bullet"/>
      <w:lvlText w:val=""/>
      <w:lvlJc w:val="left"/>
      <w:pPr>
        <w:ind w:left="720" w:hanging="360"/>
      </w:pPr>
      <w:rPr>
        <w:rFonts w:ascii="Symbol" w:hAnsi="Symbol"/>
      </w:rPr>
    </w:lvl>
    <w:lvl w:ilvl="5" w:tplc="002CF190">
      <w:start w:val="1"/>
      <w:numFmt w:val="bullet"/>
      <w:lvlText w:val=""/>
      <w:lvlJc w:val="left"/>
      <w:pPr>
        <w:ind w:left="720" w:hanging="360"/>
      </w:pPr>
      <w:rPr>
        <w:rFonts w:ascii="Symbol" w:hAnsi="Symbol"/>
      </w:rPr>
    </w:lvl>
    <w:lvl w:ilvl="6" w:tplc="BE7E818C">
      <w:start w:val="1"/>
      <w:numFmt w:val="bullet"/>
      <w:lvlText w:val=""/>
      <w:lvlJc w:val="left"/>
      <w:pPr>
        <w:ind w:left="720" w:hanging="360"/>
      </w:pPr>
      <w:rPr>
        <w:rFonts w:ascii="Symbol" w:hAnsi="Symbol"/>
      </w:rPr>
    </w:lvl>
    <w:lvl w:ilvl="7" w:tplc="5C00F72C">
      <w:start w:val="1"/>
      <w:numFmt w:val="bullet"/>
      <w:lvlText w:val=""/>
      <w:lvlJc w:val="left"/>
      <w:pPr>
        <w:ind w:left="720" w:hanging="360"/>
      </w:pPr>
      <w:rPr>
        <w:rFonts w:ascii="Symbol" w:hAnsi="Symbol"/>
      </w:rPr>
    </w:lvl>
    <w:lvl w:ilvl="8" w:tplc="178A55E2">
      <w:start w:val="1"/>
      <w:numFmt w:val="bullet"/>
      <w:lvlText w:val=""/>
      <w:lvlJc w:val="left"/>
      <w:pPr>
        <w:ind w:left="720" w:hanging="360"/>
      </w:pPr>
      <w:rPr>
        <w:rFonts w:ascii="Symbol" w:hAnsi="Symbol"/>
      </w:rPr>
    </w:lvl>
  </w:abstractNum>
  <w:abstractNum w:abstractNumId="1" w15:restartNumberingAfterBreak="0">
    <w:nsid w:val="037B42C1"/>
    <w:multiLevelType w:val="hybridMultilevel"/>
    <w:tmpl w:val="3732C0EE"/>
    <w:lvl w:ilvl="0" w:tplc="15F2544E">
      <w:start w:val="1"/>
      <w:numFmt w:val="bullet"/>
      <w:lvlText w:val=""/>
      <w:lvlJc w:val="left"/>
      <w:pPr>
        <w:ind w:left="720" w:hanging="360"/>
      </w:pPr>
      <w:rPr>
        <w:rFonts w:ascii="Symbol" w:hAnsi="Symbol"/>
      </w:rPr>
    </w:lvl>
    <w:lvl w:ilvl="1" w:tplc="C0503C9C">
      <w:start w:val="1"/>
      <w:numFmt w:val="bullet"/>
      <w:lvlText w:val=""/>
      <w:lvlJc w:val="left"/>
      <w:pPr>
        <w:ind w:left="720" w:hanging="360"/>
      </w:pPr>
      <w:rPr>
        <w:rFonts w:ascii="Symbol" w:hAnsi="Symbol"/>
      </w:rPr>
    </w:lvl>
    <w:lvl w:ilvl="2" w:tplc="84EAAF2A">
      <w:start w:val="1"/>
      <w:numFmt w:val="bullet"/>
      <w:lvlText w:val=""/>
      <w:lvlJc w:val="left"/>
      <w:pPr>
        <w:ind w:left="720" w:hanging="360"/>
      </w:pPr>
      <w:rPr>
        <w:rFonts w:ascii="Symbol" w:hAnsi="Symbol"/>
      </w:rPr>
    </w:lvl>
    <w:lvl w:ilvl="3" w:tplc="5002E804">
      <w:start w:val="1"/>
      <w:numFmt w:val="bullet"/>
      <w:lvlText w:val=""/>
      <w:lvlJc w:val="left"/>
      <w:pPr>
        <w:ind w:left="720" w:hanging="360"/>
      </w:pPr>
      <w:rPr>
        <w:rFonts w:ascii="Symbol" w:hAnsi="Symbol"/>
      </w:rPr>
    </w:lvl>
    <w:lvl w:ilvl="4" w:tplc="A542782E">
      <w:start w:val="1"/>
      <w:numFmt w:val="bullet"/>
      <w:lvlText w:val=""/>
      <w:lvlJc w:val="left"/>
      <w:pPr>
        <w:ind w:left="720" w:hanging="360"/>
      </w:pPr>
      <w:rPr>
        <w:rFonts w:ascii="Symbol" w:hAnsi="Symbol"/>
      </w:rPr>
    </w:lvl>
    <w:lvl w:ilvl="5" w:tplc="FA30AB46">
      <w:start w:val="1"/>
      <w:numFmt w:val="bullet"/>
      <w:lvlText w:val=""/>
      <w:lvlJc w:val="left"/>
      <w:pPr>
        <w:ind w:left="720" w:hanging="360"/>
      </w:pPr>
      <w:rPr>
        <w:rFonts w:ascii="Symbol" w:hAnsi="Symbol"/>
      </w:rPr>
    </w:lvl>
    <w:lvl w:ilvl="6" w:tplc="1E2E307E">
      <w:start w:val="1"/>
      <w:numFmt w:val="bullet"/>
      <w:lvlText w:val=""/>
      <w:lvlJc w:val="left"/>
      <w:pPr>
        <w:ind w:left="720" w:hanging="360"/>
      </w:pPr>
      <w:rPr>
        <w:rFonts w:ascii="Symbol" w:hAnsi="Symbol"/>
      </w:rPr>
    </w:lvl>
    <w:lvl w:ilvl="7" w:tplc="D2DE1568">
      <w:start w:val="1"/>
      <w:numFmt w:val="bullet"/>
      <w:lvlText w:val=""/>
      <w:lvlJc w:val="left"/>
      <w:pPr>
        <w:ind w:left="720" w:hanging="360"/>
      </w:pPr>
      <w:rPr>
        <w:rFonts w:ascii="Symbol" w:hAnsi="Symbol"/>
      </w:rPr>
    </w:lvl>
    <w:lvl w:ilvl="8" w:tplc="B73E6636">
      <w:start w:val="1"/>
      <w:numFmt w:val="bullet"/>
      <w:lvlText w:val=""/>
      <w:lvlJc w:val="left"/>
      <w:pPr>
        <w:ind w:left="720" w:hanging="360"/>
      </w:pPr>
      <w:rPr>
        <w:rFonts w:ascii="Symbol" w:hAnsi="Symbol"/>
      </w:rPr>
    </w:lvl>
  </w:abstractNum>
  <w:abstractNum w:abstractNumId="2" w15:restartNumberingAfterBreak="0">
    <w:nsid w:val="0A53566B"/>
    <w:multiLevelType w:val="hybridMultilevel"/>
    <w:tmpl w:val="FEFA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5E05AC"/>
    <w:multiLevelType w:val="hybridMultilevel"/>
    <w:tmpl w:val="8632B42A"/>
    <w:lvl w:ilvl="0" w:tplc="22C2C8C2">
      <w:start w:val="1"/>
      <w:numFmt w:val="bullet"/>
      <w:lvlText w:val=""/>
      <w:lvlJc w:val="left"/>
      <w:pPr>
        <w:ind w:left="720" w:hanging="360"/>
      </w:pPr>
      <w:rPr>
        <w:rFonts w:ascii="Symbol" w:hAnsi="Symbol"/>
      </w:rPr>
    </w:lvl>
    <w:lvl w:ilvl="1" w:tplc="49521C18">
      <w:start w:val="1"/>
      <w:numFmt w:val="bullet"/>
      <w:lvlText w:val=""/>
      <w:lvlJc w:val="left"/>
      <w:pPr>
        <w:ind w:left="720" w:hanging="360"/>
      </w:pPr>
      <w:rPr>
        <w:rFonts w:ascii="Symbol" w:hAnsi="Symbol"/>
      </w:rPr>
    </w:lvl>
    <w:lvl w:ilvl="2" w:tplc="0EC61192">
      <w:start w:val="1"/>
      <w:numFmt w:val="bullet"/>
      <w:lvlText w:val=""/>
      <w:lvlJc w:val="left"/>
      <w:pPr>
        <w:ind w:left="720" w:hanging="360"/>
      </w:pPr>
      <w:rPr>
        <w:rFonts w:ascii="Symbol" w:hAnsi="Symbol"/>
      </w:rPr>
    </w:lvl>
    <w:lvl w:ilvl="3" w:tplc="5EB49796">
      <w:start w:val="1"/>
      <w:numFmt w:val="bullet"/>
      <w:lvlText w:val=""/>
      <w:lvlJc w:val="left"/>
      <w:pPr>
        <w:ind w:left="720" w:hanging="360"/>
      </w:pPr>
      <w:rPr>
        <w:rFonts w:ascii="Symbol" w:hAnsi="Symbol"/>
      </w:rPr>
    </w:lvl>
    <w:lvl w:ilvl="4" w:tplc="D7B0F2AC">
      <w:start w:val="1"/>
      <w:numFmt w:val="bullet"/>
      <w:lvlText w:val=""/>
      <w:lvlJc w:val="left"/>
      <w:pPr>
        <w:ind w:left="720" w:hanging="360"/>
      </w:pPr>
      <w:rPr>
        <w:rFonts w:ascii="Symbol" w:hAnsi="Symbol"/>
      </w:rPr>
    </w:lvl>
    <w:lvl w:ilvl="5" w:tplc="7B90B6D2">
      <w:start w:val="1"/>
      <w:numFmt w:val="bullet"/>
      <w:lvlText w:val=""/>
      <w:lvlJc w:val="left"/>
      <w:pPr>
        <w:ind w:left="720" w:hanging="360"/>
      </w:pPr>
      <w:rPr>
        <w:rFonts w:ascii="Symbol" w:hAnsi="Symbol"/>
      </w:rPr>
    </w:lvl>
    <w:lvl w:ilvl="6" w:tplc="042C44C2">
      <w:start w:val="1"/>
      <w:numFmt w:val="bullet"/>
      <w:lvlText w:val=""/>
      <w:lvlJc w:val="left"/>
      <w:pPr>
        <w:ind w:left="720" w:hanging="360"/>
      </w:pPr>
      <w:rPr>
        <w:rFonts w:ascii="Symbol" w:hAnsi="Symbol"/>
      </w:rPr>
    </w:lvl>
    <w:lvl w:ilvl="7" w:tplc="28640DCE">
      <w:start w:val="1"/>
      <w:numFmt w:val="bullet"/>
      <w:lvlText w:val=""/>
      <w:lvlJc w:val="left"/>
      <w:pPr>
        <w:ind w:left="720" w:hanging="360"/>
      </w:pPr>
      <w:rPr>
        <w:rFonts w:ascii="Symbol" w:hAnsi="Symbol"/>
      </w:rPr>
    </w:lvl>
    <w:lvl w:ilvl="8" w:tplc="0CE049D6">
      <w:start w:val="1"/>
      <w:numFmt w:val="bullet"/>
      <w:lvlText w:val=""/>
      <w:lvlJc w:val="left"/>
      <w:pPr>
        <w:ind w:left="720" w:hanging="360"/>
      </w:pPr>
      <w:rPr>
        <w:rFonts w:ascii="Symbol" w:hAnsi="Symbol"/>
      </w:rPr>
    </w:lvl>
  </w:abstractNum>
  <w:abstractNum w:abstractNumId="4" w15:restartNumberingAfterBreak="0">
    <w:nsid w:val="0D9368DA"/>
    <w:multiLevelType w:val="hybridMultilevel"/>
    <w:tmpl w:val="7F265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8E6DFC"/>
    <w:multiLevelType w:val="hybridMultilevel"/>
    <w:tmpl w:val="6D64ED6C"/>
    <w:lvl w:ilvl="0" w:tplc="02586054">
      <w:start w:val="1"/>
      <w:numFmt w:val="bullet"/>
      <w:lvlText w:val=""/>
      <w:lvlJc w:val="left"/>
      <w:pPr>
        <w:ind w:left="720" w:hanging="360"/>
      </w:pPr>
      <w:rPr>
        <w:rFonts w:ascii="Symbol" w:hAnsi="Symbol"/>
      </w:rPr>
    </w:lvl>
    <w:lvl w:ilvl="1" w:tplc="DE7AA546">
      <w:start w:val="1"/>
      <w:numFmt w:val="bullet"/>
      <w:lvlText w:val=""/>
      <w:lvlJc w:val="left"/>
      <w:pPr>
        <w:ind w:left="720" w:hanging="360"/>
      </w:pPr>
      <w:rPr>
        <w:rFonts w:ascii="Symbol" w:hAnsi="Symbol"/>
      </w:rPr>
    </w:lvl>
    <w:lvl w:ilvl="2" w:tplc="1DE6650E">
      <w:start w:val="1"/>
      <w:numFmt w:val="bullet"/>
      <w:lvlText w:val=""/>
      <w:lvlJc w:val="left"/>
      <w:pPr>
        <w:ind w:left="720" w:hanging="360"/>
      </w:pPr>
      <w:rPr>
        <w:rFonts w:ascii="Symbol" w:hAnsi="Symbol"/>
      </w:rPr>
    </w:lvl>
    <w:lvl w:ilvl="3" w:tplc="2526A354">
      <w:start w:val="1"/>
      <w:numFmt w:val="bullet"/>
      <w:lvlText w:val=""/>
      <w:lvlJc w:val="left"/>
      <w:pPr>
        <w:ind w:left="720" w:hanging="360"/>
      </w:pPr>
      <w:rPr>
        <w:rFonts w:ascii="Symbol" w:hAnsi="Symbol"/>
      </w:rPr>
    </w:lvl>
    <w:lvl w:ilvl="4" w:tplc="63E01DB0">
      <w:start w:val="1"/>
      <w:numFmt w:val="bullet"/>
      <w:lvlText w:val=""/>
      <w:lvlJc w:val="left"/>
      <w:pPr>
        <w:ind w:left="720" w:hanging="360"/>
      </w:pPr>
      <w:rPr>
        <w:rFonts w:ascii="Symbol" w:hAnsi="Symbol"/>
      </w:rPr>
    </w:lvl>
    <w:lvl w:ilvl="5" w:tplc="30E4148A">
      <w:start w:val="1"/>
      <w:numFmt w:val="bullet"/>
      <w:lvlText w:val=""/>
      <w:lvlJc w:val="left"/>
      <w:pPr>
        <w:ind w:left="720" w:hanging="360"/>
      </w:pPr>
      <w:rPr>
        <w:rFonts w:ascii="Symbol" w:hAnsi="Symbol"/>
      </w:rPr>
    </w:lvl>
    <w:lvl w:ilvl="6" w:tplc="5D5E5104">
      <w:start w:val="1"/>
      <w:numFmt w:val="bullet"/>
      <w:lvlText w:val=""/>
      <w:lvlJc w:val="left"/>
      <w:pPr>
        <w:ind w:left="720" w:hanging="360"/>
      </w:pPr>
      <w:rPr>
        <w:rFonts w:ascii="Symbol" w:hAnsi="Symbol"/>
      </w:rPr>
    </w:lvl>
    <w:lvl w:ilvl="7" w:tplc="8B20C268">
      <w:start w:val="1"/>
      <w:numFmt w:val="bullet"/>
      <w:lvlText w:val=""/>
      <w:lvlJc w:val="left"/>
      <w:pPr>
        <w:ind w:left="720" w:hanging="360"/>
      </w:pPr>
      <w:rPr>
        <w:rFonts w:ascii="Symbol" w:hAnsi="Symbol"/>
      </w:rPr>
    </w:lvl>
    <w:lvl w:ilvl="8" w:tplc="834803BC">
      <w:start w:val="1"/>
      <w:numFmt w:val="bullet"/>
      <w:lvlText w:val=""/>
      <w:lvlJc w:val="left"/>
      <w:pPr>
        <w:ind w:left="720" w:hanging="360"/>
      </w:pPr>
      <w:rPr>
        <w:rFonts w:ascii="Symbol" w:hAnsi="Symbol"/>
      </w:rPr>
    </w:lvl>
  </w:abstractNum>
  <w:abstractNum w:abstractNumId="6" w15:restartNumberingAfterBreak="0">
    <w:nsid w:val="24230078"/>
    <w:multiLevelType w:val="hybridMultilevel"/>
    <w:tmpl w:val="71786616"/>
    <w:lvl w:ilvl="0" w:tplc="E3C0EA50">
      <w:start w:val="1"/>
      <w:numFmt w:val="bullet"/>
      <w:lvlText w:val=""/>
      <w:lvlJc w:val="left"/>
      <w:pPr>
        <w:ind w:left="720" w:hanging="360"/>
      </w:pPr>
      <w:rPr>
        <w:rFonts w:ascii="Symbol" w:hAnsi="Symbol"/>
      </w:rPr>
    </w:lvl>
    <w:lvl w:ilvl="1" w:tplc="B8EEF82E">
      <w:start w:val="1"/>
      <w:numFmt w:val="bullet"/>
      <w:lvlText w:val=""/>
      <w:lvlJc w:val="left"/>
      <w:pPr>
        <w:ind w:left="720" w:hanging="360"/>
      </w:pPr>
      <w:rPr>
        <w:rFonts w:ascii="Symbol" w:hAnsi="Symbol"/>
      </w:rPr>
    </w:lvl>
    <w:lvl w:ilvl="2" w:tplc="82FA35E8">
      <w:start w:val="1"/>
      <w:numFmt w:val="bullet"/>
      <w:lvlText w:val=""/>
      <w:lvlJc w:val="left"/>
      <w:pPr>
        <w:ind w:left="720" w:hanging="360"/>
      </w:pPr>
      <w:rPr>
        <w:rFonts w:ascii="Symbol" w:hAnsi="Symbol"/>
      </w:rPr>
    </w:lvl>
    <w:lvl w:ilvl="3" w:tplc="89E8350A">
      <w:start w:val="1"/>
      <w:numFmt w:val="bullet"/>
      <w:lvlText w:val=""/>
      <w:lvlJc w:val="left"/>
      <w:pPr>
        <w:ind w:left="720" w:hanging="360"/>
      </w:pPr>
      <w:rPr>
        <w:rFonts w:ascii="Symbol" w:hAnsi="Symbol"/>
      </w:rPr>
    </w:lvl>
    <w:lvl w:ilvl="4" w:tplc="4C0E0E06">
      <w:start w:val="1"/>
      <w:numFmt w:val="bullet"/>
      <w:lvlText w:val=""/>
      <w:lvlJc w:val="left"/>
      <w:pPr>
        <w:ind w:left="720" w:hanging="360"/>
      </w:pPr>
      <w:rPr>
        <w:rFonts w:ascii="Symbol" w:hAnsi="Symbol"/>
      </w:rPr>
    </w:lvl>
    <w:lvl w:ilvl="5" w:tplc="3AAA1EC6">
      <w:start w:val="1"/>
      <w:numFmt w:val="bullet"/>
      <w:lvlText w:val=""/>
      <w:lvlJc w:val="left"/>
      <w:pPr>
        <w:ind w:left="720" w:hanging="360"/>
      </w:pPr>
      <w:rPr>
        <w:rFonts w:ascii="Symbol" w:hAnsi="Symbol"/>
      </w:rPr>
    </w:lvl>
    <w:lvl w:ilvl="6" w:tplc="D3E6949A">
      <w:start w:val="1"/>
      <w:numFmt w:val="bullet"/>
      <w:lvlText w:val=""/>
      <w:lvlJc w:val="left"/>
      <w:pPr>
        <w:ind w:left="720" w:hanging="360"/>
      </w:pPr>
      <w:rPr>
        <w:rFonts w:ascii="Symbol" w:hAnsi="Symbol"/>
      </w:rPr>
    </w:lvl>
    <w:lvl w:ilvl="7" w:tplc="488A348A">
      <w:start w:val="1"/>
      <w:numFmt w:val="bullet"/>
      <w:lvlText w:val=""/>
      <w:lvlJc w:val="left"/>
      <w:pPr>
        <w:ind w:left="720" w:hanging="360"/>
      </w:pPr>
      <w:rPr>
        <w:rFonts w:ascii="Symbol" w:hAnsi="Symbol"/>
      </w:rPr>
    </w:lvl>
    <w:lvl w:ilvl="8" w:tplc="DF926154">
      <w:start w:val="1"/>
      <w:numFmt w:val="bullet"/>
      <w:lvlText w:val=""/>
      <w:lvlJc w:val="left"/>
      <w:pPr>
        <w:ind w:left="720" w:hanging="360"/>
      </w:pPr>
      <w:rPr>
        <w:rFonts w:ascii="Symbol" w:hAnsi="Symbol"/>
      </w:rPr>
    </w:lvl>
  </w:abstractNum>
  <w:abstractNum w:abstractNumId="7" w15:restartNumberingAfterBreak="0">
    <w:nsid w:val="248F3628"/>
    <w:multiLevelType w:val="hybridMultilevel"/>
    <w:tmpl w:val="BF907206"/>
    <w:lvl w:ilvl="0" w:tplc="D1321352">
      <w:start w:val="1"/>
      <w:numFmt w:val="bullet"/>
      <w:lvlText w:val=""/>
      <w:lvlJc w:val="left"/>
      <w:pPr>
        <w:ind w:left="720" w:hanging="360"/>
      </w:pPr>
      <w:rPr>
        <w:rFonts w:ascii="Symbol" w:hAnsi="Symbol"/>
      </w:rPr>
    </w:lvl>
    <w:lvl w:ilvl="1" w:tplc="81F8991A">
      <w:start w:val="1"/>
      <w:numFmt w:val="bullet"/>
      <w:lvlText w:val=""/>
      <w:lvlJc w:val="left"/>
      <w:pPr>
        <w:ind w:left="720" w:hanging="360"/>
      </w:pPr>
      <w:rPr>
        <w:rFonts w:ascii="Symbol" w:hAnsi="Symbol"/>
      </w:rPr>
    </w:lvl>
    <w:lvl w:ilvl="2" w:tplc="F35473A2">
      <w:start w:val="1"/>
      <w:numFmt w:val="bullet"/>
      <w:lvlText w:val=""/>
      <w:lvlJc w:val="left"/>
      <w:pPr>
        <w:ind w:left="720" w:hanging="360"/>
      </w:pPr>
      <w:rPr>
        <w:rFonts w:ascii="Symbol" w:hAnsi="Symbol"/>
      </w:rPr>
    </w:lvl>
    <w:lvl w:ilvl="3" w:tplc="9232010E">
      <w:start w:val="1"/>
      <w:numFmt w:val="bullet"/>
      <w:lvlText w:val=""/>
      <w:lvlJc w:val="left"/>
      <w:pPr>
        <w:ind w:left="720" w:hanging="360"/>
      </w:pPr>
      <w:rPr>
        <w:rFonts w:ascii="Symbol" w:hAnsi="Symbol"/>
      </w:rPr>
    </w:lvl>
    <w:lvl w:ilvl="4" w:tplc="C0B0B55E">
      <w:start w:val="1"/>
      <w:numFmt w:val="bullet"/>
      <w:lvlText w:val=""/>
      <w:lvlJc w:val="left"/>
      <w:pPr>
        <w:ind w:left="720" w:hanging="360"/>
      </w:pPr>
      <w:rPr>
        <w:rFonts w:ascii="Symbol" w:hAnsi="Symbol"/>
      </w:rPr>
    </w:lvl>
    <w:lvl w:ilvl="5" w:tplc="69D0EEA6">
      <w:start w:val="1"/>
      <w:numFmt w:val="bullet"/>
      <w:lvlText w:val=""/>
      <w:lvlJc w:val="left"/>
      <w:pPr>
        <w:ind w:left="720" w:hanging="360"/>
      </w:pPr>
      <w:rPr>
        <w:rFonts w:ascii="Symbol" w:hAnsi="Symbol"/>
      </w:rPr>
    </w:lvl>
    <w:lvl w:ilvl="6" w:tplc="DD6C1180">
      <w:start w:val="1"/>
      <w:numFmt w:val="bullet"/>
      <w:lvlText w:val=""/>
      <w:lvlJc w:val="left"/>
      <w:pPr>
        <w:ind w:left="720" w:hanging="360"/>
      </w:pPr>
      <w:rPr>
        <w:rFonts w:ascii="Symbol" w:hAnsi="Symbol"/>
      </w:rPr>
    </w:lvl>
    <w:lvl w:ilvl="7" w:tplc="D96C825C">
      <w:start w:val="1"/>
      <w:numFmt w:val="bullet"/>
      <w:lvlText w:val=""/>
      <w:lvlJc w:val="left"/>
      <w:pPr>
        <w:ind w:left="720" w:hanging="360"/>
      </w:pPr>
      <w:rPr>
        <w:rFonts w:ascii="Symbol" w:hAnsi="Symbol"/>
      </w:rPr>
    </w:lvl>
    <w:lvl w:ilvl="8" w:tplc="A646686C">
      <w:start w:val="1"/>
      <w:numFmt w:val="bullet"/>
      <w:lvlText w:val=""/>
      <w:lvlJc w:val="left"/>
      <w:pPr>
        <w:ind w:left="720" w:hanging="360"/>
      </w:pPr>
      <w:rPr>
        <w:rFonts w:ascii="Symbol" w:hAnsi="Symbol"/>
      </w:rPr>
    </w:lvl>
  </w:abstractNum>
  <w:abstractNum w:abstractNumId="8" w15:restartNumberingAfterBreak="0">
    <w:nsid w:val="255434F7"/>
    <w:multiLevelType w:val="hybridMultilevel"/>
    <w:tmpl w:val="400EE444"/>
    <w:lvl w:ilvl="0" w:tplc="8B20B7BA">
      <w:start w:val="1"/>
      <w:numFmt w:val="bullet"/>
      <w:lvlText w:val=""/>
      <w:lvlJc w:val="left"/>
      <w:pPr>
        <w:ind w:left="720" w:hanging="360"/>
      </w:pPr>
      <w:rPr>
        <w:rFonts w:ascii="Symbol" w:hAnsi="Symbol"/>
      </w:rPr>
    </w:lvl>
    <w:lvl w:ilvl="1" w:tplc="E0B4F3A2">
      <w:start w:val="1"/>
      <w:numFmt w:val="bullet"/>
      <w:lvlText w:val=""/>
      <w:lvlJc w:val="left"/>
      <w:pPr>
        <w:ind w:left="720" w:hanging="360"/>
      </w:pPr>
      <w:rPr>
        <w:rFonts w:ascii="Symbol" w:hAnsi="Symbol"/>
      </w:rPr>
    </w:lvl>
    <w:lvl w:ilvl="2" w:tplc="2E84E686">
      <w:start w:val="1"/>
      <w:numFmt w:val="bullet"/>
      <w:lvlText w:val=""/>
      <w:lvlJc w:val="left"/>
      <w:pPr>
        <w:ind w:left="720" w:hanging="360"/>
      </w:pPr>
      <w:rPr>
        <w:rFonts w:ascii="Symbol" w:hAnsi="Symbol"/>
      </w:rPr>
    </w:lvl>
    <w:lvl w:ilvl="3" w:tplc="577CB936">
      <w:start w:val="1"/>
      <w:numFmt w:val="bullet"/>
      <w:lvlText w:val=""/>
      <w:lvlJc w:val="left"/>
      <w:pPr>
        <w:ind w:left="720" w:hanging="360"/>
      </w:pPr>
      <w:rPr>
        <w:rFonts w:ascii="Symbol" w:hAnsi="Symbol"/>
      </w:rPr>
    </w:lvl>
    <w:lvl w:ilvl="4" w:tplc="F03499EA">
      <w:start w:val="1"/>
      <w:numFmt w:val="bullet"/>
      <w:lvlText w:val=""/>
      <w:lvlJc w:val="left"/>
      <w:pPr>
        <w:ind w:left="720" w:hanging="360"/>
      </w:pPr>
      <w:rPr>
        <w:rFonts w:ascii="Symbol" w:hAnsi="Symbol"/>
      </w:rPr>
    </w:lvl>
    <w:lvl w:ilvl="5" w:tplc="17E2B45A">
      <w:start w:val="1"/>
      <w:numFmt w:val="bullet"/>
      <w:lvlText w:val=""/>
      <w:lvlJc w:val="left"/>
      <w:pPr>
        <w:ind w:left="720" w:hanging="360"/>
      </w:pPr>
      <w:rPr>
        <w:rFonts w:ascii="Symbol" w:hAnsi="Symbol"/>
      </w:rPr>
    </w:lvl>
    <w:lvl w:ilvl="6" w:tplc="4DD07E62">
      <w:start w:val="1"/>
      <w:numFmt w:val="bullet"/>
      <w:lvlText w:val=""/>
      <w:lvlJc w:val="left"/>
      <w:pPr>
        <w:ind w:left="720" w:hanging="360"/>
      </w:pPr>
      <w:rPr>
        <w:rFonts w:ascii="Symbol" w:hAnsi="Symbol"/>
      </w:rPr>
    </w:lvl>
    <w:lvl w:ilvl="7" w:tplc="134A6662">
      <w:start w:val="1"/>
      <w:numFmt w:val="bullet"/>
      <w:lvlText w:val=""/>
      <w:lvlJc w:val="left"/>
      <w:pPr>
        <w:ind w:left="720" w:hanging="360"/>
      </w:pPr>
      <w:rPr>
        <w:rFonts w:ascii="Symbol" w:hAnsi="Symbol"/>
      </w:rPr>
    </w:lvl>
    <w:lvl w:ilvl="8" w:tplc="54268C50">
      <w:start w:val="1"/>
      <w:numFmt w:val="bullet"/>
      <w:lvlText w:val=""/>
      <w:lvlJc w:val="left"/>
      <w:pPr>
        <w:ind w:left="720" w:hanging="360"/>
      </w:pPr>
      <w:rPr>
        <w:rFonts w:ascii="Symbol" w:hAnsi="Symbol"/>
      </w:rPr>
    </w:lvl>
  </w:abstractNum>
  <w:abstractNum w:abstractNumId="9" w15:restartNumberingAfterBreak="0">
    <w:nsid w:val="288D6A9E"/>
    <w:multiLevelType w:val="hybridMultilevel"/>
    <w:tmpl w:val="18605D44"/>
    <w:lvl w:ilvl="0" w:tplc="5ADAF564">
      <w:start w:val="1"/>
      <w:numFmt w:val="bullet"/>
      <w:lvlText w:val=""/>
      <w:lvlJc w:val="left"/>
      <w:pPr>
        <w:ind w:left="720" w:hanging="360"/>
      </w:pPr>
      <w:rPr>
        <w:rFonts w:ascii="Symbol" w:hAnsi="Symbol"/>
      </w:rPr>
    </w:lvl>
    <w:lvl w:ilvl="1" w:tplc="C6DEBB22">
      <w:start w:val="1"/>
      <w:numFmt w:val="bullet"/>
      <w:lvlText w:val=""/>
      <w:lvlJc w:val="left"/>
      <w:pPr>
        <w:ind w:left="720" w:hanging="360"/>
      </w:pPr>
      <w:rPr>
        <w:rFonts w:ascii="Symbol" w:hAnsi="Symbol"/>
      </w:rPr>
    </w:lvl>
    <w:lvl w:ilvl="2" w:tplc="9F5CFF1A">
      <w:start w:val="1"/>
      <w:numFmt w:val="bullet"/>
      <w:lvlText w:val=""/>
      <w:lvlJc w:val="left"/>
      <w:pPr>
        <w:ind w:left="720" w:hanging="360"/>
      </w:pPr>
      <w:rPr>
        <w:rFonts w:ascii="Symbol" w:hAnsi="Symbol"/>
      </w:rPr>
    </w:lvl>
    <w:lvl w:ilvl="3" w:tplc="4118BD04">
      <w:start w:val="1"/>
      <w:numFmt w:val="bullet"/>
      <w:lvlText w:val=""/>
      <w:lvlJc w:val="left"/>
      <w:pPr>
        <w:ind w:left="720" w:hanging="360"/>
      </w:pPr>
      <w:rPr>
        <w:rFonts w:ascii="Symbol" w:hAnsi="Symbol"/>
      </w:rPr>
    </w:lvl>
    <w:lvl w:ilvl="4" w:tplc="B45A89BC">
      <w:start w:val="1"/>
      <w:numFmt w:val="bullet"/>
      <w:lvlText w:val=""/>
      <w:lvlJc w:val="left"/>
      <w:pPr>
        <w:ind w:left="720" w:hanging="360"/>
      </w:pPr>
      <w:rPr>
        <w:rFonts w:ascii="Symbol" w:hAnsi="Symbol"/>
      </w:rPr>
    </w:lvl>
    <w:lvl w:ilvl="5" w:tplc="9194414A">
      <w:start w:val="1"/>
      <w:numFmt w:val="bullet"/>
      <w:lvlText w:val=""/>
      <w:lvlJc w:val="left"/>
      <w:pPr>
        <w:ind w:left="720" w:hanging="360"/>
      </w:pPr>
      <w:rPr>
        <w:rFonts w:ascii="Symbol" w:hAnsi="Symbol"/>
      </w:rPr>
    </w:lvl>
    <w:lvl w:ilvl="6" w:tplc="0862DDD0">
      <w:start w:val="1"/>
      <w:numFmt w:val="bullet"/>
      <w:lvlText w:val=""/>
      <w:lvlJc w:val="left"/>
      <w:pPr>
        <w:ind w:left="720" w:hanging="360"/>
      </w:pPr>
      <w:rPr>
        <w:rFonts w:ascii="Symbol" w:hAnsi="Symbol"/>
      </w:rPr>
    </w:lvl>
    <w:lvl w:ilvl="7" w:tplc="F97E06A2">
      <w:start w:val="1"/>
      <w:numFmt w:val="bullet"/>
      <w:lvlText w:val=""/>
      <w:lvlJc w:val="left"/>
      <w:pPr>
        <w:ind w:left="720" w:hanging="360"/>
      </w:pPr>
      <w:rPr>
        <w:rFonts w:ascii="Symbol" w:hAnsi="Symbol"/>
      </w:rPr>
    </w:lvl>
    <w:lvl w:ilvl="8" w:tplc="F44A7D18">
      <w:start w:val="1"/>
      <w:numFmt w:val="bullet"/>
      <w:lvlText w:val=""/>
      <w:lvlJc w:val="left"/>
      <w:pPr>
        <w:ind w:left="720" w:hanging="360"/>
      </w:pPr>
      <w:rPr>
        <w:rFonts w:ascii="Symbol" w:hAnsi="Symbol"/>
      </w:rPr>
    </w:lvl>
  </w:abstractNum>
  <w:abstractNum w:abstractNumId="10" w15:restartNumberingAfterBreak="0">
    <w:nsid w:val="28E92019"/>
    <w:multiLevelType w:val="hybridMultilevel"/>
    <w:tmpl w:val="094AC9AC"/>
    <w:lvl w:ilvl="0" w:tplc="5492B618">
      <w:start w:val="1"/>
      <w:numFmt w:val="bullet"/>
      <w:lvlText w:val=""/>
      <w:lvlJc w:val="left"/>
      <w:pPr>
        <w:ind w:left="720" w:hanging="360"/>
      </w:pPr>
      <w:rPr>
        <w:rFonts w:ascii="Symbol" w:hAnsi="Symbol"/>
      </w:rPr>
    </w:lvl>
    <w:lvl w:ilvl="1" w:tplc="68449A5C">
      <w:start w:val="1"/>
      <w:numFmt w:val="bullet"/>
      <w:lvlText w:val=""/>
      <w:lvlJc w:val="left"/>
      <w:pPr>
        <w:ind w:left="720" w:hanging="360"/>
      </w:pPr>
      <w:rPr>
        <w:rFonts w:ascii="Symbol" w:hAnsi="Symbol"/>
      </w:rPr>
    </w:lvl>
    <w:lvl w:ilvl="2" w:tplc="20CEF022">
      <w:start w:val="1"/>
      <w:numFmt w:val="bullet"/>
      <w:lvlText w:val=""/>
      <w:lvlJc w:val="left"/>
      <w:pPr>
        <w:ind w:left="720" w:hanging="360"/>
      </w:pPr>
      <w:rPr>
        <w:rFonts w:ascii="Symbol" w:hAnsi="Symbol"/>
      </w:rPr>
    </w:lvl>
    <w:lvl w:ilvl="3" w:tplc="D92AC608">
      <w:start w:val="1"/>
      <w:numFmt w:val="bullet"/>
      <w:lvlText w:val=""/>
      <w:lvlJc w:val="left"/>
      <w:pPr>
        <w:ind w:left="720" w:hanging="360"/>
      </w:pPr>
      <w:rPr>
        <w:rFonts w:ascii="Symbol" w:hAnsi="Symbol"/>
      </w:rPr>
    </w:lvl>
    <w:lvl w:ilvl="4" w:tplc="9F6EC9F8">
      <w:start w:val="1"/>
      <w:numFmt w:val="bullet"/>
      <w:lvlText w:val=""/>
      <w:lvlJc w:val="left"/>
      <w:pPr>
        <w:ind w:left="720" w:hanging="360"/>
      </w:pPr>
      <w:rPr>
        <w:rFonts w:ascii="Symbol" w:hAnsi="Symbol"/>
      </w:rPr>
    </w:lvl>
    <w:lvl w:ilvl="5" w:tplc="E99EE016">
      <w:start w:val="1"/>
      <w:numFmt w:val="bullet"/>
      <w:lvlText w:val=""/>
      <w:lvlJc w:val="left"/>
      <w:pPr>
        <w:ind w:left="720" w:hanging="360"/>
      </w:pPr>
      <w:rPr>
        <w:rFonts w:ascii="Symbol" w:hAnsi="Symbol"/>
      </w:rPr>
    </w:lvl>
    <w:lvl w:ilvl="6" w:tplc="6A06DB62">
      <w:start w:val="1"/>
      <w:numFmt w:val="bullet"/>
      <w:lvlText w:val=""/>
      <w:lvlJc w:val="left"/>
      <w:pPr>
        <w:ind w:left="720" w:hanging="360"/>
      </w:pPr>
      <w:rPr>
        <w:rFonts w:ascii="Symbol" w:hAnsi="Symbol"/>
      </w:rPr>
    </w:lvl>
    <w:lvl w:ilvl="7" w:tplc="CC9E7C38">
      <w:start w:val="1"/>
      <w:numFmt w:val="bullet"/>
      <w:lvlText w:val=""/>
      <w:lvlJc w:val="left"/>
      <w:pPr>
        <w:ind w:left="720" w:hanging="360"/>
      </w:pPr>
      <w:rPr>
        <w:rFonts w:ascii="Symbol" w:hAnsi="Symbol"/>
      </w:rPr>
    </w:lvl>
    <w:lvl w:ilvl="8" w:tplc="E4644DC8">
      <w:start w:val="1"/>
      <w:numFmt w:val="bullet"/>
      <w:lvlText w:val=""/>
      <w:lvlJc w:val="left"/>
      <w:pPr>
        <w:ind w:left="720" w:hanging="360"/>
      </w:pPr>
      <w:rPr>
        <w:rFonts w:ascii="Symbol" w:hAnsi="Symbol"/>
      </w:rPr>
    </w:lvl>
  </w:abstractNum>
  <w:abstractNum w:abstractNumId="11" w15:restartNumberingAfterBreak="0">
    <w:nsid w:val="2CD9341E"/>
    <w:multiLevelType w:val="hybridMultilevel"/>
    <w:tmpl w:val="37F88646"/>
    <w:lvl w:ilvl="0" w:tplc="AB9E4A14">
      <w:start w:val="1"/>
      <w:numFmt w:val="bullet"/>
      <w:lvlText w:val=""/>
      <w:lvlJc w:val="left"/>
      <w:pPr>
        <w:ind w:left="720" w:hanging="360"/>
      </w:pPr>
      <w:rPr>
        <w:rFonts w:ascii="Symbol" w:hAnsi="Symbol"/>
      </w:rPr>
    </w:lvl>
    <w:lvl w:ilvl="1" w:tplc="48649904">
      <w:start w:val="1"/>
      <w:numFmt w:val="bullet"/>
      <w:lvlText w:val=""/>
      <w:lvlJc w:val="left"/>
      <w:pPr>
        <w:ind w:left="720" w:hanging="360"/>
      </w:pPr>
      <w:rPr>
        <w:rFonts w:ascii="Symbol" w:hAnsi="Symbol"/>
      </w:rPr>
    </w:lvl>
    <w:lvl w:ilvl="2" w:tplc="DE169F6A">
      <w:start w:val="1"/>
      <w:numFmt w:val="bullet"/>
      <w:lvlText w:val=""/>
      <w:lvlJc w:val="left"/>
      <w:pPr>
        <w:ind w:left="720" w:hanging="360"/>
      </w:pPr>
      <w:rPr>
        <w:rFonts w:ascii="Symbol" w:hAnsi="Symbol"/>
      </w:rPr>
    </w:lvl>
    <w:lvl w:ilvl="3" w:tplc="2FA673E2">
      <w:start w:val="1"/>
      <w:numFmt w:val="bullet"/>
      <w:lvlText w:val=""/>
      <w:lvlJc w:val="left"/>
      <w:pPr>
        <w:ind w:left="720" w:hanging="360"/>
      </w:pPr>
      <w:rPr>
        <w:rFonts w:ascii="Symbol" w:hAnsi="Symbol"/>
      </w:rPr>
    </w:lvl>
    <w:lvl w:ilvl="4" w:tplc="20B296CE">
      <w:start w:val="1"/>
      <w:numFmt w:val="bullet"/>
      <w:lvlText w:val=""/>
      <w:lvlJc w:val="left"/>
      <w:pPr>
        <w:ind w:left="720" w:hanging="360"/>
      </w:pPr>
      <w:rPr>
        <w:rFonts w:ascii="Symbol" w:hAnsi="Symbol"/>
      </w:rPr>
    </w:lvl>
    <w:lvl w:ilvl="5" w:tplc="C7628764">
      <w:start w:val="1"/>
      <w:numFmt w:val="bullet"/>
      <w:lvlText w:val=""/>
      <w:lvlJc w:val="left"/>
      <w:pPr>
        <w:ind w:left="720" w:hanging="360"/>
      </w:pPr>
      <w:rPr>
        <w:rFonts w:ascii="Symbol" w:hAnsi="Symbol"/>
      </w:rPr>
    </w:lvl>
    <w:lvl w:ilvl="6" w:tplc="8E746966">
      <w:start w:val="1"/>
      <w:numFmt w:val="bullet"/>
      <w:lvlText w:val=""/>
      <w:lvlJc w:val="left"/>
      <w:pPr>
        <w:ind w:left="720" w:hanging="360"/>
      </w:pPr>
      <w:rPr>
        <w:rFonts w:ascii="Symbol" w:hAnsi="Symbol"/>
      </w:rPr>
    </w:lvl>
    <w:lvl w:ilvl="7" w:tplc="DC820F24">
      <w:start w:val="1"/>
      <w:numFmt w:val="bullet"/>
      <w:lvlText w:val=""/>
      <w:lvlJc w:val="left"/>
      <w:pPr>
        <w:ind w:left="720" w:hanging="360"/>
      </w:pPr>
      <w:rPr>
        <w:rFonts w:ascii="Symbol" w:hAnsi="Symbol"/>
      </w:rPr>
    </w:lvl>
    <w:lvl w:ilvl="8" w:tplc="56EE5C18">
      <w:start w:val="1"/>
      <w:numFmt w:val="bullet"/>
      <w:lvlText w:val=""/>
      <w:lvlJc w:val="left"/>
      <w:pPr>
        <w:ind w:left="720" w:hanging="360"/>
      </w:pPr>
      <w:rPr>
        <w:rFonts w:ascii="Symbol" w:hAnsi="Symbol"/>
      </w:rPr>
    </w:lvl>
  </w:abstractNum>
  <w:abstractNum w:abstractNumId="12" w15:restartNumberingAfterBreak="0">
    <w:nsid w:val="2E436CB4"/>
    <w:multiLevelType w:val="hybridMultilevel"/>
    <w:tmpl w:val="E898D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A44F27"/>
    <w:multiLevelType w:val="hybridMultilevel"/>
    <w:tmpl w:val="9DBA93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67A7C77"/>
    <w:multiLevelType w:val="hybridMultilevel"/>
    <w:tmpl w:val="B7969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1F4C7B"/>
    <w:multiLevelType w:val="hybridMultilevel"/>
    <w:tmpl w:val="AB849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485707"/>
    <w:multiLevelType w:val="hybridMultilevel"/>
    <w:tmpl w:val="C7103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96D62F0"/>
    <w:multiLevelType w:val="hybridMultilevel"/>
    <w:tmpl w:val="A530A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1C195B"/>
    <w:multiLevelType w:val="hybridMultilevel"/>
    <w:tmpl w:val="EB68A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54B5F"/>
    <w:multiLevelType w:val="hybridMultilevel"/>
    <w:tmpl w:val="7D1401A4"/>
    <w:lvl w:ilvl="0" w:tplc="3D343DD6">
      <w:start w:val="1"/>
      <w:numFmt w:val="bullet"/>
      <w:lvlText w:val=""/>
      <w:lvlJc w:val="left"/>
      <w:pPr>
        <w:ind w:left="720" w:hanging="360"/>
      </w:pPr>
      <w:rPr>
        <w:rFonts w:ascii="Symbol" w:hAnsi="Symbol"/>
      </w:rPr>
    </w:lvl>
    <w:lvl w:ilvl="1" w:tplc="A08ED1F4">
      <w:start w:val="1"/>
      <w:numFmt w:val="bullet"/>
      <w:lvlText w:val=""/>
      <w:lvlJc w:val="left"/>
      <w:pPr>
        <w:ind w:left="720" w:hanging="360"/>
      </w:pPr>
      <w:rPr>
        <w:rFonts w:ascii="Symbol" w:hAnsi="Symbol"/>
      </w:rPr>
    </w:lvl>
    <w:lvl w:ilvl="2" w:tplc="1B04B6F8">
      <w:start w:val="1"/>
      <w:numFmt w:val="bullet"/>
      <w:lvlText w:val=""/>
      <w:lvlJc w:val="left"/>
      <w:pPr>
        <w:ind w:left="720" w:hanging="360"/>
      </w:pPr>
      <w:rPr>
        <w:rFonts w:ascii="Symbol" w:hAnsi="Symbol"/>
      </w:rPr>
    </w:lvl>
    <w:lvl w:ilvl="3" w:tplc="F1C25DF6">
      <w:start w:val="1"/>
      <w:numFmt w:val="bullet"/>
      <w:lvlText w:val=""/>
      <w:lvlJc w:val="left"/>
      <w:pPr>
        <w:ind w:left="720" w:hanging="360"/>
      </w:pPr>
      <w:rPr>
        <w:rFonts w:ascii="Symbol" w:hAnsi="Symbol"/>
      </w:rPr>
    </w:lvl>
    <w:lvl w:ilvl="4" w:tplc="15C812C6">
      <w:start w:val="1"/>
      <w:numFmt w:val="bullet"/>
      <w:lvlText w:val=""/>
      <w:lvlJc w:val="left"/>
      <w:pPr>
        <w:ind w:left="720" w:hanging="360"/>
      </w:pPr>
      <w:rPr>
        <w:rFonts w:ascii="Symbol" w:hAnsi="Symbol"/>
      </w:rPr>
    </w:lvl>
    <w:lvl w:ilvl="5" w:tplc="B5306268">
      <w:start w:val="1"/>
      <w:numFmt w:val="bullet"/>
      <w:lvlText w:val=""/>
      <w:lvlJc w:val="left"/>
      <w:pPr>
        <w:ind w:left="720" w:hanging="360"/>
      </w:pPr>
      <w:rPr>
        <w:rFonts w:ascii="Symbol" w:hAnsi="Symbol"/>
      </w:rPr>
    </w:lvl>
    <w:lvl w:ilvl="6" w:tplc="93361636">
      <w:start w:val="1"/>
      <w:numFmt w:val="bullet"/>
      <w:lvlText w:val=""/>
      <w:lvlJc w:val="left"/>
      <w:pPr>
        <w:ind w:left="720" w:hanging="360"/>
      </w:pPr>
      <w:rPr>
        <w:rFonts w:ascii="Symbol" w:hAnsi="Symbol"/>
      </w:rPr>
    </w:lvl>
    <w:lvl w:ilvl="7" w:tplc="6DD87C2C">
      <w:start w:val="1"/>
      <w:numFmt w:val="bullet"/>
      <w:lvlText w:val=""/>
      <w:lvlJc w:val="left"/>
      <w:pPr>
        <w:ind w:left="720" w:hanging="360"/>
      </w:pPr>
      <w:rPr>
        <w:rFonts w:ascii="Symbol" w:hAnsi="Symbol"/>
      </w:rPr>
    </w:lvl>
    <w:lvl w:ilvl="8" w:tplc="0F907A7A">
      <w:start w:val="1"/>
      <w:numFmt w:val="bullet"/>
      <w:lvlText w:val=""/>
      <w:lvlJc w:val="left"/>
      <w:pPr>
        <w:ind w:left="720" w:hanging="360"/>
      </w:pPr>
      <w:rPr>
        <w:rFonts w:ascii="Symbol" w:hAnsi="Symbol"/>
      </w:rPr>
    </w:lvl>
  </w:abstractNum>
  <w:abstractNum w:abstractNumId="23" w15:restartNumberingAfterBreak="0">
    <w:nsid w:val="5C171BDA"/>
    <w:multiLevelType w:val="hybridMultilevel"/>
    <w:tmpl w:val="5CB86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DF0101D"/>
    <w:multiLevelType w:val="hybridMultilevel"/>
    <w:tmpl w:val="E32ED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D4240E"/>
    <w:multiLevelType w:val="hybridMultilevel"/>
    <w:tmpl w:val="EDB4A240"/>
    <w:lvl w:ilvl="0" w:tplc="DA6AB464">
      <w:start w:val="1"/>
      <w:numFmt w:val="bullet"/>
      <w:lvlText w:val=""/>
      <w:lvlJc w:val="left"/>
      <w:pPr>
        <w:ind w:left="720" w:hanging="360"/>
      </w:pPr>
      <w:rPr>
        <w:rFonts w:ascii="Symbol" w:hAnsi="Symbol"/>
      </w:rPr>
    </w:lvl>
    <w:lvl w:ilvl="1" w:tplc="ECF29AF0">
      <w:start w:val="1"/>
      <w:numFmt w:val="bullet"/>
      <w:lvlText w:val=""/>
      <w:lvlJc w:val="left"/>
      <w:pPr>
        <w:ind w:left="720" w:hanging="360"/>
      </w:pPr>
      <w:rPr>
        <w:rFonts w:ascii="Symbol" w:hAnsi="Symbol"/>
      </w:rPr>
    </w:lvl>
    <w:lvl w:ilvl="2" w:tplc="7912423A">
      <w:start w:val="1"/>
      <w:numFmt w:val="bullet"/>
      <w:lvlText w:val=""/>
      <w:lvlJc w:val="left"/>
      <w:pPr>
        <w:ind w:left="720" w:hanging="360"/>
      </w:pPr>
      <w:rPr>
        <w:rFonts w:ascii="Symbol" w:hAnsi="Symbol"/>
      </w:rPr>
    </w:lvl>
    <w:lvl w:ilvl="3" w:tplc="3E246A92">
      <w:start w:val="1"/>
      <w:numFmt w:val="bullet"/>
      <w:lvlText w:val=""/>
      <w:lvlJc w:val="left"/>
      <w:pPr>
        <w:ind w:left="720" w:hanging="360"/>
      </w:pPr>
      <w:rPr>
        <w:rFonts w:ascii="Symbol" w:hAnsi="Symbol"/>
      </w:rPr>
    </w:lvl>
    <w:lvl w:ilvl="4" w:tplc="020E3958">
      <w:start w:val="1"/>
      <w:numFmt w:val="bullet"/>
      <w:lvlText w:val=""/>
      <w:lvlJc w:val="left"/>
      <w:pPr>
        <w:ind w:left="720" w:hanging="360"/>
      </w:pPr>
      <w:rPr>
        <w:rFonts w:ascii="Symbol" w:hAnsi="Symbol"/>
      </w:rPr>
    </w:lvl>
    <w:lvl w:ilvl="5" w:tplc="4C0CCC8E">
      <w:start w:val="1"/>
      <w:numFmt w:val="bullet"/>
      <w:lvlText w:val=""/>
      <w:lvlJc w:val="left"/>
      <w:pPr>
        <w:ind w:left="720" w:hanging="360"/>
      </w:pPr>
      <w:rPr>
        <w:rFonts w:ascii="Symbol" w:hAnsi="Symbol"/>
      </w:rPr>
    </w:lvl>
    <w:lvl w:ilvl="6" w:tplc="14E870B6">
      <w:start w:val="1"/>
      <w:numFmt w:val="bullet"/>
      <w:lvlText w:val=""/>
      <w:lvlJc w:val="left"/>
      <w:pPr>
        <w:ind w:left="720" w:hanging="360"/>
      </w:pPr>
      <w:rPr>
        <w:rFonts w:ascii="Symbol" w:hAnsi="Symbol"/>
      </w:rPr>
    </w:lvl>
    <w:lvl w:ilvl="7" w:tplc="84120E7C">
      <w:start w:val="1"/>
      <w:numFmt w:val="bullet"/>
      <w:lvlText w:val=""/>
      <w:lvlJc w:val="left"/>
      <w:pPr>
        <w:ind w:left="720" w:hanging="360"/>
      </w:pPr>
      <w:rPr>
        <w:rFonts w:ascii="Symbol" w:hAnsi="Symbol"/>
      </w:rPr>
    </w:lvl>
    <w:lvl w:ilvl="8" w:tplc="14E01CAC">
      <w:start w:val="1"/>
      <w:numFmt w:val="bullet"/>
      <w:lvlText w:val=""/>
      <w:lvlJc w:val="left"/>
      <w:pPr>
        <w:ind w:left="720" w:hanging="360"/>
      </w:pPr>
      <w:rPr>
        <w:rFonts w:ascii="Symbol" w:hAnsi="Symbol"/>
      </w:rPr>
    </w:lvl>
  </w:abstractNum>
  <w:abstractNum w:abstractNumId="26" w15:restartNumberingAfterBreak="0">
    <w:nsid w:val="65956018"/>
    <w:multiLevelType w:val="hybridMultilevel"/>
    <w:tmpl w:val="5EBE279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A1C7514"/>
    <w:multiLevelType w:val="hybridMultilevel"/>
    <w:tmpl w:val="82E2A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9331FC"/>
    <w:multiLevelType w:val="hybridMultilevel"/>
    <w:tmpl w:val="7A0CC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BD7686"/>
    <w:multiLevelType w:val="hybridMultilevel"/>
    <w:tmpl w:val="6C9E436E"/>
    <w:lvl w:ilvl="0" w:tplc="4F4C6DBA">
      <w:start w:val="1"/>
      <w:numFmt w:val="bullet"/>
      <w:lvlText w:val=""/>
      <w:lvlJc w:val="left"/>
      <w:pPr>
        <w:ind w:left="720" w:hanging="360"/>
      </w:pPr>
      <w:rPr>
        <w:rFonts w:ascii="Symbol" w:hAnsi="Symbol"/>
      </w:rPr>
    </w:lvl>
    <w:lvl w:ilvl="1" w:tplc="FF005F52">
      <w:start w:val="1"/>
      <w:numFmt w:val="bullet"/>
      <w:lvlText w:val=""/>
      <w:lvlJc w:val="left"/>
      <w:pPr>
        <w:ind w:left="720" w:hanging="360"/>
      </w:pPr>
      <w:rPr>
        <w:rFonts w:ascii="Symbol" w:hAnsi="Symbol"/>
      </w:rPr>
    </w:lvl>
    <w:lvl w:ilvl="2" w:tplc="2BE8D9E4">
      <w:start w:val="1"/>
      <w:numFmt w:val="bullet"/>
      <w:lvlText w:val=""/>
      <w:lvlJc w:val="left"/>
      <w:pPr>
        <w:ind w:left="720" w:hanging="360"/>
      </w:pPr>
      <w:rPr>
        <w:rFonts w:ascii="Symbol" w:hAnsi="Symbol"/>
      </w:rPr>
    </w:lvl>
    <w:lvl w:ilvl="3" w:tplc="7DC0CACA">
      <w:start w:val="1"/>
      <w:numFmt w:val="bullet"/>
      <w:lvlText w:val=""/>
      <w:lvlJc w:val="left"/>
      <w:pPr>
        <w:ind w:left="720" w:hanging="360"/>
      </w:pPr>
      <w:rPr>
        <w:rFonts w:ascii="Symbol" w:hAnsi="Symbol"/>
      </w:rPr>
    </w:lvl>
    <w:lvl w:ilvl="4" w:tplc="3CFE6CB2">
      <w:start w:val="1"/>
      <w:numFmt w:val="bullet"/>
      <w:lvlText w:val=""/>
      <w:lvlJc w:val="left"/>
      <w:pPr>
        <w:ind w:left="720" w:hanging="360"/>
      </w:pPr>
      <w:rPr>
        <w:rFonts w:ascii="Symbol" w:hAnsi="Symbol"/>
      </w:rPr>
    </w:lvl>
    <w:lvl w:ilvl="5" w:tplc="8B2EF542">
      <w:start w:val="1"/>
      <w:numFmt w:val="bullet"/>
      <w:lvlText w:val=""/>
      <w:lvlJc w:val="left"/>
      <w:pPr>
        <w:ind w:left="720" w:hanging="360"/>
      </w:pPr>
      <w:rPr>
        <w:rFonts w:ascii="Symbol" w:hAnsi="Symbol"/>
      </w:rPr>
    </w:lvl>
    <w:lvl w:ilvl="6" w:tplc="A4AE1640">
      <w:start w:val="1"/>
      <w:numFmt w:val="bullet"/>
      <w:lvlText w:val=""/>
      <w:lvlJc w:val="left"/>
      <w:pPr>
        <w:ind w:left="720" w:hanging="360"/>
      </w:pPr>
      <w:rPr>
        <w:rFonts w:ascii="Symbol" w:hAnsi="Symbol"/>
      </w:rPr>
    </w:lvl>
    <w:lvl w:ilvl="7" w:tplc="183AB874">
      <w:start w:val="1"/>
      <w:numFmt w:val="bullet"/>
      <w:lvlText w:val=""/>
      <w:lvlJc w:val="left"/>
      <w:pPr>
        <w:ind w:left="720" w:hanging="360"/>
      </w:pPr>
      <w:rPr>
        <w:rFonts w:ascii="Symbol" w:hAnsi="Symbol"/>
      </w:rPr>
    </w:lvl>
    <w:lvl w:ilvl="8" w:tplc="D9BC9110">
      <w:start w:val="1"/>
      <w:numFmt w:val="bullet"/>
      <w:lvlText w:val=""/>
      <w:lvlJc w:val="left"/>
      <w:pPr>
        <w:ind w:left="720" w:hanging="360"/>
      </w:pPr>
      <w:rPr>
        <w:rFonts w:ascii="Symbol" w:hAnsi="Symbol"/>
      </w:rPr>
    </w:lvl>
  </w:abstractNum>
  <w:abstractNum w:abstractNumId="30" w15:restartNumberingAfterBreak="0">
    <w:nsid w:val="73FA0D4E"/>
    <w:multiLevelType w:val="hybridMultilevel"/>
    <w:tmpl w:val="1532628E"/>
    <w:lvl w:ilvl="0" w:tplc="62F82A3E">
      <w:start w:val="1"/>
      <w:numFmt w:val="bullet"/>
      <w:lvlText w:val=""/>
      <w:lvlJc w:val="left"/>
      <w:pPr>
        <w:ind w:left="720" w:hanging="360"/>
      </w:pPr>
      <w:rPr>
        <w:rFonts w:ascii="Symbol" w:hAnsi="Symbol"/>
      </w:rPr>
    </w:lvl>
    <w:lvl w:ilvl="1" w:tplc="EFF88752">
      <w:start w:val="1"/>
      <w:numFmt w:val="bullet"/>
      <w:lvlText w:val=""/>
      <w:lvlJc w:val="left"/>
      <w:pPr>
        <w:ind w:left="720" w:hanging="360"/>
      </w:pPr>
      <w:rPr>
        <w:rFonts w:ascii="Symbol" w:hAnsi="Symbol"/>
      </w:rPr>
    </w:lvl>
    <w:lvl w:ilvl="2" w:tplc="B4967702">
      <w:start w:val="1"/>
      <w:numFmt w:val="bullet"/>
      <w:lvlText w:val=""/>
      <w:lvlJc w:val="left"/>
      <w:pPr>
        <w:ind w:left="720" w:hanging="360"/>
      </w:pPr>
      <w:rPr>
        <w:rFonts w:ascii="Symbol" w:hAnsi="Symbol"/>
      </w:rPr>
    </w:lvl>
    <w:lvl w:ilvl="3" w:tplc="F8464336">
      <w:start w:val="1"/>
      <w:numFmt w:val="bullet"/>
      <w:lvlText w:val=""/>
      <w:lvlJc w:val="left"/>
      <w:pPr>
        <w:ind w:left="720" w:hanging="360"/>
      </w:pPr>
      <w:rPr>
        <w:rFonts w:ascii="Symbol" w:hAnsi="Symbol"/>
      </w:rPr>
    </w:lvl>
    <w:lvl w:ilvl="4" w:tplc="CB0AEFBE">
      <w:start w:val="1"/>
      <w:numFmt w:val="bullet"/>
      <w:lvlText w:val=""/>
      <w:lvlJc w:val="left"/>
      <w:pPr>
        <w:ind w:left="720" w:hanging="360"/>
      </w:pPr>
      <w:rPr>
        <w:rFonts w:ascii="Symbol" w:hAnsi="Symbol"/>
      </w:rPr>
    </w:lvl>
    <w:lvl w:ilvl="5" w:tplc="E8D026D4">
      <w:start w:val="1"/>
      <w:numFmt w:val="bullet"/>
      <w:lvlText w:val=""/>
      <w:lvlJc w:val="left"/>
      <w:pPr>
        <w:ind w:left="720" w:hanging="360"/>
      </w:pPr>
      <w:rPr>
        <w:rFonts w:ascii="Symbol" w:hAnsi="Symbol"/>
      </w:rPr>
    </w:lvl>
    <w:lvl w:ilvl="6" w:tplc="F476E656">
      <w:start w:val="1"/>
      <w:numFmt w:val="bullet"/>
      <w:lvlText w:val=""/>
      <w:lvlJc w:val="left"/>
      <w:pPr>
        <w:ind w:left="720" w:hanging="360"/>
      </w:pPr>
      <w:rPr>
        <w:rFonts w:ascii="Symbol" w:hAnsi="Symbol"/>
      </w:rPr>
    </w:lvl>
    <w:lvl w:ilvl="7" w:tplc="EF7C10D6">
      <w:start w:val="1"/>
      <w:numFmt w:val="bullet"/>
      <w:lvlText w:val=""/>
      <w:lvlJc w:val="left"/>
      <w:pPr>
        <w:ind w:left="720" w:hanging="360"/>
      </w:pPr>
      <w:rPr>
        <w:rFonts w:ascii="Symbol" w:hAnsi="Symbol"/>
      </w:rPr>
    </w:lvl>
    <w:lvl w:ilvl="8" w:tplc="269C71CA">
      <w:start w:val="1"/>
      <w:numFmt w:val="bullet"/>
      <w:lvlText w:val=""/>
      <w:lvlJc w:val="left"/>
      <w:pPr>
        <w:ind w:left="720" w:hanging="360"/>
      </w:pPr>
      <w:rPr>
        <w:rFonts w:ascii="Symbol" w:hAnsi="Symbol"/>
      </w:rPr>
    </w:lvl>
  </w:abstractNum>
  <w:abstractNum w:abstractNumId="31" w15:restartNumberingAfterBreak="0">
    <w:nsid w:val="75645AB5"/>
    <w:multiLevelType w:val="hybridMultilevel"/>
    <w:tmpl w:val="3B9AE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B037382"/>
    <w:multiLevelType w:val="hybridMultilevel"/>
    <w:tmpl w:val="48A2F2C0"/>
    <w:lvl w:ilvl="0" w:tplc="52306858">
      <w:start w:val="1"/>
      <w:numFmt w:val="bullet"/>
      <w:lvlText w:val=""/>
      <w:lvlJc w:val="left"/>
      <w:pPr>
        <w:ind w:left="720" w:hanging="360"/>
      </w:pPr>
      <w:rPr>
        <w:rFonts w:ascii="Symbol" w:hAnsi="Symbol"/>
      </w:rPr>
    </w:lvl>
    <w:lvl w:ilvl="1" w:tplc="5E48801A">
      <w:start w:val="1"/>
      <w:numFmt w:val="bullet"/>
      <w:lvlText w:val=""/>
      <w:lvlJc w:val="left"/>
      <w:pPr>
        <w:ind w:left="720" w:hanging="360"/>
      </w:pPr>
      <w:rPr>
        <w:rFonts w:ascii="Symbol" w:hAnsi="Symbol"/>
      </w:rPr>
    </w:lvl>
    <w:lvl w:ilvl="2" w:tplc="C98C799C">
      <w:start w:val="1"/>
      <w:numFmt w:val="bullet"/>
      <w:lvlText w:val=""/>
      <w:lvlJc w:val="left"/>
      <w:pPr>
        <w:ind w:left="720" w:hanging="360"/>
      </w:pPr>
      <w:rPr>
        <w:rFonts w:ascii="Symbol" w:hAnsi="Symbol"/>
      </w:rPr>
    </w:lvl>
    <w:lvl w:ilvl="3" w:tplc="EFEEFDB0">
      <w:start w:val="1"/>
      <w:numFmt w:val="bullet"/>
      <w:lvlText w:val=""/>
      <w:lvlJc w:val="left"/>
      <w:pPr>
        <w:ind w:left="720" w:hanging="360"/>
      </w:pPr>
      <w:rPr>
        <w:rFonts w:ascii="Symbol" w:hAnsi="Symbol"/>
      </w:rPr>
    </w:lvl>
    <w:lvl w:ilvl="4" w:tplc="E38E8340">
      <w:start w:val="1"/>
      <w:numFmt w:val="bullet"/>
      <w:lvlText w:val=""/>
      <w:lvlJc w:val="left"/>
      <w:pPr>
        <w:ind w:left="720" w:hanging="360"/>
      </w:pPr>
      <w:rPr>
        <w:rFonts w:ascii="Symbol" w:hAnsi="Symbol"/>
      </w:rPr>
    </w:lvl>
    <w:lvl w:ilvl="5" w:tplc="B1164F8A">
      <w:start w:val="1"/>
      <w:numFmt w:val="bullet"/>
      <w:lvlText w:val=""/>
      <w:lvlJc w:val="left"/>
      <w:pPr>
        <w:ind w:left="720" w:hanging="360"/>
      </w:pPr>
      <w:rPr>
        <w:rFonts w:ascii="Symbol" w:hAnsi="Symbol"/>
      </w:rPr>
    </w:lvl>
    <w:lvl w:ilvl="6" w:tplc="F6EC5172">
      <w:start w:val="1"/>
      <w:numFmt w:val="bullet"/>
      <w:lvlText w:val=""/>
      <w:lvlJc w:val="left"/>
      <w:pPr>
        <w:ind w:left="720" w:hanging="360"/>
      </w:pPr>
      <w:rPr>
        <w:rFonts w:ascii="Symbol" w:hAnsi="Symbol"/>
      </w:rPr>
    </w:lvl>
    <w:lvl w:ilvl="7" w:tplc="DCAC6A90">
      <w:start w:val="1"/>
      <w:numFmt w:val="bullet"/>
      <w:lvlText w:val=""/>
      <w:lvlJc w:val="left"/>
      <w:pPr>
        <w:ind w:left="720" w:hanging="360"/>
      </w:pPr>
      <w:rPr>
        <w:rFonts w:ascii="Symbol" w:hAnsi="Symbol"/>
      </w:rPr>
    </w:lvl>
    <w:lvl w:ilvl="8" w:tplc="AECEA276">
      <w:start w:val="1"/>
      <w:numFmt w:val="bullet"/>
      <w:lvlText w:val=""/>
      <w:lvlJc w:val="left"/>
      <w:pPr>
        <w:ind w:left="720" w:hanging="360"/>
      </w:pPr>
      <w:rPr>
        <w:rFonts w:ascii="Symbol" w:hAnsi="Symbol"/>
      </w:rPr>
    </w:lvl>
  </w:abstractNum>
  <w:abstractNum w:abstractNumId="35"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0B0E23"/>
    <w:multiLevelType w:val="hybridMultilevel"/>
    <w:tmpl w:val="5EF2D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6879867">
    <w:abstractNumId w:val="17"/>
  </w:num>
  <w:num w:numId="2" w16cid:durableId="992375780">
    <w:abstractNumId w:val="35"/>
  </w:num>
  <w:num w:numId="3" w16cid:durableId="2067756422">
    <w:abstractNumId w:val="13"/>
  </w:num>
  <w:num w:numId="4" w16cid:durableId="984507347">
    <w:abstractNumId w:val="26"/>
  </w:num>
  <w:num w:numId="5" w16cid:durableId="897395375">
    <w:abstractNumId w:val="12"/>
  </w:num>
  <w:num w:numId="6" w16cid:durableId="676998128">
    <w:abstractNumId w:val="18"/>
  </w:num>
  <w:num w:numId="7" w16cid:durableId="1336493720">
    <w:abstractNumId w:val="4"/>
  </w:num>
  <w:num w:numId="8" w16cid:durableId="2058386463">
    <w:abstractNumId w:val="28"/>
  </w:num>
  <w:num w:numId="9" w16cid:durableId="1921062781">
    <w:abstractNumId w:val="16"/>
  </w:num>
  <w:num w:numId="10" w16cid:durableId="1950500556">
    <w:abstractNumId w:val="31"/>
  </w:num>
  <w:num w:numId="11" w16cid:durableId="68306129">
    <w:abstractNumId w:val="20"/>
  </w:num>
  <w:num w:numId="12" w16cid:durableId="132214519">
    <w:abstractNumId w:val="36"/>
  </w:num>
  <w:num w:numId="13" w16cid:durableId="707074717">
    <w:abstractNumId w:val="21"/>
  </w:num>
  <w:num w:numId="14" w16cid:durableId="2140340810">
    <w:abstractNumId w:val="32"/>
  </w:num>
  <w:num w:numId="15" w16cid:durableId="2048480131">
    <w:abstractNumId w:val="23"/>
  </w:num>
  <w:num w:numId="16" w16cid:durableId="589388561">
    <w:abstractNumId w:val="33"/>
  </w:num>
  <w:num w:numId="17" w16cid:durableId="1260022887">
    <w:abstractNumId w:val="19"/>
  </w:num>
  <w:num w:numId="18" w16cid:durableId="117451422">
    <w:abstractNumId w:val="14"/>
  </w:num>
  <w:num w:numId="19" w16cid:durableId="1764951667">
    <w:abstractNumId w:val="15"/>
  </w:num>
  <w:num w:numId="20" w16cid:durableId="1375354004">
    <w:abstractNumId w:val="1"/>
  </w:num>
  <w:num w:numId="21" w16cid:durableId="1909923974">
    <w:abstractNumId w:val="30"/>
  </w:num>
  <w:num w:numId="22" w16cid:durableId="817720500">
    <w:abstractNumId w:val="9"/>
  </w:num>
  <w:num w:numId="23" w16cid:durableId="982660080">
    <w:abstractNumId w:val="11"/>
  </w:num>
  <w:num w:numId="24" w16cid:durableId="941958696">
    <w:abstractNumId w:val="6"/>
  </w:num>
  <w:num w:numId="25" w16cid:durableId="1227762279">
    <w:abstractNumId w:val="5"/>
  </w:num>
  <w:num w:numId="26" w16cid:durableId="1484273140">
    <w:abstractNumId w:val="29"/>
  </w:num>
  <w:num w:numId="27" w16cid:durableId="668603495">
    <w:abstractNumId w:val="0"/>
  </w:num>
  <w:num w:numId="28" w16cid:durableId="393353881">
    <w:abstractNumId w:val="34"/>
  </w:num>
  <w:num w:numId="29" w16cid:durableId="794180599">
    <w:abstractNumId w:val="10"/>
  </w:num>
  <w:num w:numId="30" w16cid:durableId="665673123">
    <w:abstractNumId w:val="7"/>
  </w:num>
  <w:num w:numId="31" w16cid:durableId="444081948">
    <w:abstractNumId w:val="25"/>
  </w:num>
  <w:num w:numId="32" w16cid:durableId="2103066704">
    <w:abstractNumId w:val="22"/>
  </w:num>
  <w:num w:numId="33" w16cid:durableId="1963919676">
    <w:abstractNumId w:val="3"/>
  </w:num>
  <w:num w:numId="34" w16cid:durableId="752507521">
    <w:abstractNumId w:val="8"/>
  </w:num>
  <w:num w:numId="35" w16cid:durableId="703873477">
    <w:abstractNumId w:val="24"/>
  </w:num>
  <w:num w:numId="36" w16cid:durableId="213660068">
    <w:abstractNumId w:val="27"/>
  </w:num>
  <w:num w:numId="37" w16cid:durableId="160087329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16649"/>
    <w:rsid w:val="00021009"/>
    <w:rsid w:val="00023055"/>
    <w:rsid w:val="00023A66"/>
    <w:rsid w:val="0002435C"/>
    <w:rsid w:val="00026645"/>
    <w:rsid w:val="00032724"/>
    <w:rsid w:val="00035AE8"/>
    <w:rsid w:val="00036678"/>
    <w:rsid w:val="00044DF9"/>
    <w:rsid w:val="000527AC"/>
    <w:rsid w:val="00057CD1"/>
    <w:rsid w:val="000767FB"/>
    <w:rsid w:val="000950C8"/>
    <w:rsid w:val="0009617D"/>
    <w:rsid w:val="000A0ECA"/>
    <w:rsid w:val="000A3A64"/>
    <w:rsid w:val="000B160B"/>
    <w:rsid w:val="000B18BF"/>
    <w:rsid w:val="000C320B"/>
    <w:rsid w:val="000D06A0"/>
    <w:rsid w:val="000D080C"/>
    <w:rsid w:val="000D7953"/>
    <w:rsid w:val="000E1A49"/>
    <w:rsid w:val="000E2D8B"/>
    <w:rsid w:val="000E2D93"/>
    <w:rsid w:val="000E4C8B"/>
    <w:rsid w:val="000F1BE5"/>
    <w:rsid w:val="000F4219"/>
    <w:rsid w:val="000F44FC"/>
    <w:rsid w:val="000F48EC"/>
    <w:rsid w:val="000F53A2"/>
    <w:rsid w:val="000F5E8F"/>
    <w:rsid w:val="000F68E2"/>
    <w:rsid w:val="001026FB"/>
    <w:rsid w:val="001123BA"/>
    <w:rsid w:val="0011566C"/>
    <w:rsid w:val="001179FD"/>
    <w:rsid w:val="001208FF"/>
    <w:rsid w:val="00120F40"/>
    <w:rsid w:val="00127BC4"/>
    <w:rsid w:val="00135DDB"/>
    <w:rsid w:val="00141994"/>
    <w:rsid w:val="00142209"/>
    <w:rsid w:val="001432AE"/>
    <w:rsid w:val="00145D93"/>
    <w:rsid w:val="001479B1"/>
    <w:rsid w:val="00147FC5"/>
    <w:rsid w:val="00152265"/>
    <w:rsid w:val="00161742"/>
    <w:rsid w:val="00165BA2"/>
    <w:rsid w:val="00170656"/>
    <w:rsid w:val="00173AC1"/>
    <w:rsid w:val="0017424B"/>
    <w:rsid w:val="00180953"/>
    <w:rsid w:val="00183898"/>
    <w:rsid w:val="001860C1"/>
    <w:rsid w:val="00190AC9"/>
    <w:rsid w:val="001939C7"/>
    <w:rsid w:val="001946BB"/>
    <w:rsid w:val="001948E2"/>
    <w:rsid w:val="0019640D"/>
    <w:rsid w:val="001A101D"/>
    <w:rsid w:val="001A4776"/>
    <w:rsid w:val="001A4B64"/>
    <w:rsid w:val="001A51F3"/>
    <w:rsid w:val="001A63CC"/>
    <w:rsid w:val="001B0E46"/>
    <w:rsid w:val="001B5F28"/>
    <w:rsid w:val="001B694A"/>
    <w:rsid w:val="001B6C1D"/>
    <w:rsid w:val="001C246F"/>
    <w:rsid w:val="001D0EF0"/>
    <w:rsid w:val="001D2CF1"/>
    <w:rsid w:val="001D4BC4"/>
    <w:rsid w:val="001D5D77"/>
    <w:rsid w:val="001E4A10"/>
    <w:rsid w:val="001E5484"/>
    <w:rsid w:val="001E7573"/>
    <w:rsid w:val="001F2BF8"/>
    <w:rsid w:val="001F4159"/>
    <w:rsid w:val="001F7814"/>
    <w:rsid w:val="00200BBF"/>
    <w:rsid w:val="0020740C"/>
    <w:rsid w:val="00214BDA"/>
    <w:rsid w:val="00224A5C"/>
    <w:rsid w:val="00233F64"/>
    <w:rsid w:val="00235AAC"/>
    <w:rsid w:val="00236EDC"/>
    <w:rsid w:val="002415D5"/>
    <w:rsid w:val="0024547E"/>
    <w:rsid w:val="002477FF"/>
    <w:rsid w:val="00250BA1"/>
    <w:rsid w:val="00251EF7"/>
    <w:rsid w:val="002523EC"/>
    <w:rsid w:val="002541E4"/>
    <w:rsid w:val="0027038D"/>
    <w:rsid w:val="00273B12"/>
    <w:rsid w:val="00274A7A"/>
    <w:rsid w:val="00277B43"/>
    <w:rsid w:val="0028454D"/>
    <w:rsid w:val="0029451F"/>
    <w:rsid w:val="002A0803"/>
    <w:rsid w:val="002A094D"/>
    <w:rsid w:val="002B0761"/>
    <w:rsid w:val="002B318E"/>
    <w:rsid w:val="002B45DB"/>
    <w:rsid w:val="002C2E2E"/>
    <w:rsid w:val="002C3506"/>
    <w:rsid w:val="002C4029"/>
    <w:rsid w:val="002C5EE8"/>
    <w:rsid w:val="002D1A25"/>
    <w:rsid w:val="002D4BB4"/>
    <w:rsid w:val="002E2BA7"/>
    <w:rsid w:val="002F2DEA"/>
    <w:rsid w:val="002F47EB"/>
    <w:rsid w:val="002F6F07"/>
    <w:rsid w:val="00302122"/>
    <w:rsid w:val="00303331"/>
    <w:rsid w:val="0030335E"/>
    <w:rsid w:val="003036A6"/>
    <w:rsid w:val="00306E44"/>
    <w:rsid w:val="003105CB"/>
    <w:rsid w:val="00310E09"/>
    <w:rsid w:val="00316F74"/>
    <w:rsid w:val="00320AAD"/>
    <w:rsid w:val="00320D2C"/>
    <w:rsid w:val="00323120"/>
    <w:rsid w:val="003249D2"/>
    <w:rsid w:val="003263E8"/>
    <w:rsid w:val="003268BD"/>
    <w:rsid w:val="00326BD8"/>
    <w:rsid w:val="00330B76"/>
    <w:rsid w:val="003310A9"/>
    <w:rsid w:val="00333A28"/>
    <w:rsid w:val="0033759A"/>
    <w:rsid w:val="0034160F"/>
    <w:rsid w:val="00341D88"/>
    <w:rsid w:val="00343C0A"/>
    <w:rsid w:val="00352F67"/>
    <w:rsid w:val="003552BC"/>
    <w:rsid w:val="003558F4"/>
    <w:rsid w:val="00357F6B"/>
    <w:rsid w:val="00360805"/>
    <w:rsid w:val="00360FFA"/>
    <w:rsid w:val="00361167"/>
    <w:rsid w:val="00361FB3"/>
    <w:rsid w:val="00371B9A"/>
    <w:rsid w:val="00373375"/>
    <w:rsid w:val="0037508C"/>
    <w:rsid w:val="00375C79"/>
    <w:rsid w:val="003824E2"/>
    <w:rsid w:val="00386DAA"/>
    <w:rsid w:val="00386F43"/>
    <w:rsid w:val="0039260B"/>
    <w:rsid w:val="003931A7"/>
    <w:rsid w:val="0039379F"/>
    <w:rsid w:val="003947C8"/>
    <w:rsid w:val="0039672B"/>
    <w:rsid w:val="003A4127"/>
    <w:rsid w:val="003A4B07"/>
    <w:rsid w:val="003A7032"/>
    <w:rsid w:val="003B3F51"/>
    <w:rsid w:val="003B5125"/>
    <w:rsid w:val="003C21D1"/>
    <w:rsid w:val="003C2558"/>
    <w:rsid w:val="003D2022"/>
    <w:rsid w:val="003D53B2"/>
    <w:rsid w:val="003E0F95"/>
    <w:rsid w:val="003E5AD7"/>
    <w:rsid w:val="003E7840"/>
    <w:rsid w:val="003F0DBD"/>
    <w:rsid w:val="003F2C46"/>
    <w:rsid w:val="003F440F"/>
    <w:rsid w:val="003F646D"/>
    <w:rsid w:val="003F7161"/>
    <w:rsid w:val="00400E02"/>
    <w:rsid w:val="0040159E"/>
    <w:rsid w:val="004024D1"/>
    <w:rsid w:val="00403F47"/>
    <w:rsid w:val="0041005A"/>
    <w:rsid w:val="004114D6"/>
    <w:rsid w:val="00412ABB"/>
    <w:rsid w:val="00413F90"/>
    <w:rsid w:val="0041687B"/>
    <w:rsid w:val="00420944"/>
    <w:rsid w:val="00432CCD"/>
    <w:rsid w:val="0044248F"/>
    <w:rsid w:val="0044347D"/>
    <w:rsid w:val="004438CF"/>
    <w:rsid w:val="00447C21"/>
    <w:rsid w:val="00462329"/>
    <w:rsid w:val="004632CD"/>
    <w:rsid w:val="00480A9B"/>
    <w:rsid w:val="00485359"/>
    <w:rsid w:val="004864D7"/>
    <w:rsid w:val="004875AB"/>
    <w:rsid w:val="00487CCF"/>
    <w:rsid w:val="004912A2"/>
    <w:rsid w:val="004968DC"/>
    <w:rsid w:val="004A28EF"/>
    <w:rsid w:val="004A4D94"/>
    <w:rsid w:val="004A4DAF"/>
    <w:rsid w:val="004A5F57"/>
    <w:rsid w:val="004B05FA"/>
    <w:rsid w:val="004B25D8"/>
    <w:rsid w:val="004B3C2F"/>
    <w:rsid w:val="004B6FA7"/>
    <w:rsid w:val="004B7BBD"/>
    <w:rsid w:val="004C0D86"/>
    <w:rsid w:val="004C2598"/>
    <w:rsid w:val="004C31F8"/>
    <w:rsid w:val="004C7302"/>
    <w:rsid w:val="004D46F6"/>
    <w:rsid w:val="004D5B8A"/>
    <w:rsid w:val="004E2775"/>
    <w:rsid w:val="004E3B27"/>
    <w:rsid w:val="004E5EB8"/>
    <w:rsid w:val="004F2781"/>
    <w:rsid w:val="004F57A3"/>
    <w:rsid w:val="00502B61"/>
    <w:rsid w:val="005123D5"/>
    <w:rsid w:val="00512830"/>
    <w:rsid w:val="0051526F"/>
    <w:rsid w:val="00515CB1"/>
    <w:rsid w:val="00517DC6"/>
    <w:rsid w:val="00521A7D"/>
    <w:rsid w:val="00521D64"/>
    <w:rsid w:val="005221E5"/>
    <w:rsid w:val="005228A2"/>
    <w:rsid w:val="0052564B"/>
    <w:rsid w:val="0053142F"/>
    <w:rsid w:val="0053459F"/>
    <w:rsid w:val="00535162"/>
    <w:rsid w:val="0053551A"/>
    <w:rsid w:val="00537F63"/>
    <w:rsid w:val="00541CF7"/>
    <w:rsid w:val="005432DD"/>
    <w:rsid w:val="00545443"/>
    <w:rsid w:val="00547308"/>
    <w:rsid w:val="00547AA5"/>
    <w:rsid w:val="00552322"/>
    <w:rsid w:val="0055256C"/>
    <w:rsid w:val="00561F39"/>
    <w:rsid w:val="00565352"/>
    <w:rsid w:val="00572DB9"/>
    <w:rsid w:val="0057400B"/>
    <w:rsid w:val="00581703"/>
    <w:rsid w:val="00592565"/>
    <w:rsid w:val="0059282E"/>
    <w:rsid w:val="005955B4"/>
    <w:rsid w:val="00596904"/>
    <w:rsid w:val="005A1754"/>
    <w:rsid w:val="005A5F28"/>
    <w:rsid w:val="005A633C"/>
    <w:rsid w:val="005A7119"/>
    <w:rsid w:val="005B4BAE"/>
    <w:rsid w:val="005B7F7A"/>
    <w:rsid w:val="005D05B1"/>
    <w:rsid w:val="005D105B"/>
    <w:rsid w:val="005D27FE"/>
    <w:rsid w:val="005D416F"/>
    <w:rsid w:val="005D56F3"/>
    <w:rsid w:val="005D75B4"/>
    <w:rsid w:val="005D79FA"/>
    <w:rsid w:val="005E28D0"/>
    <w:rsid w:val="005E6901"/>
    <w:rsid w:val="005F27D5"/>
    <w:rsid w:val="005F346E"/>
    <w:rsid w:val="005F3D83"/>
    <w:rsid w:val="00613294"/>
    <w:rsid w:val="00616DFC"/>
    <w:rsid w:val="006179D7"/>
    <w:rsid w:val="0062204F"/>
    <w:rsid w:val="006247FA"/>
    <w:rsid w:val="00626457"/>
    <w:rsid w:val="00640678"/>
    <w:rsid w:val="00641F7D"/>
    <w:rsid w:val="00643FC9"/>
    <w:rsid w:val="00644539"/>
    <w:rsid w:val="00647492"/>
    <w:rsid w:val="006525ED"/>
    <w:rsid w:val="00652846"/>
    <w:rsid w:val="0065325B"/>
    <w:rsid w:val="00656044"/>
    <w:rsid w:val="00661A75"/>
    <w:rsid w:val="006706F6"/>
    <w:rsid w:val="006837B0"/>
    <w:rsid w:val="00683C92"/>
    <w:rsid w:val="0068509F"/>
    <w:rsid w:val="0068627A"/>
    <w:rsid w:val="006876AB"/>
    <w:rsid w:val="00692AD5"/>
    <w:rsid w:val="00693752"/>
    <w:rsid w:val="00694531"/>
    <w:rsid w:val="00696EFE"/>
    <w:rsid w:val="006A1CF2"/>
    <w:rsid w:val="006A333F"/>
    <w:rsid w:val="006A6B10"/>
    <w:rsid w:val="006B7253"/>
    <w:rsid w:val="006B7712"/>
    <w:rsid w:val="006C1098"/>
    <w:rsid w:val="006C3870"/>
    <w:rsid w:val="006D1E60"/>
    <w:rsid w:val="006D277B"/>
    <w:rsid w:val="006E062E"/>
    <w:rsid w:val="006E5307"/>
    <w:rsid w:val="006F1403"/>
    <w:rsid w:val="006F2BD8"/>
    <w:rsid w:val="006F3FD8"/>
    <w:rsid w:val="006F5C79"/>
    <w:rsid w:val="006F748B"/>
    <w:rsid w:val="007015BE"/>
    <w:rsid w:val="00703459"/>
    <w:rsid w:val="007039EB"/>
    <w:rsid w:val="00715CDF"/>
    <w:rsid w:val="00716C9C"/>
    <w:rsid w:val="00721E7A"/>
    <w:rsid w:val="00732C8D"/>
    <w:rsid w:val="007333E4"/>
    <w:rsid w:val="0073466F"/>
    <w:rsid w:val="00743437"/>
    <w:rsid w:val="00747226"/>
    <w:rsid w:val="00747D63"/>
    <w:rsid w:val="007525E6"/>
    <w:rsid w:val="00756EF7"/>
    <w:rsid w:val="00761FA3"/>
    <w:rsid w:val="0076597D"/>
    <w:rsid w:val="00767B99"/>
    <w:rsid w:val="00773D32"/>
    <w:rsid w:val="00776295"/>
    <w:rsid w:val="0078680E"/>
    <w:rsid w:val="0079308C"/>
    <w:rsid w:val="007938C9"/>
    <w:rsid w:val="007A245C"/>
    <w:rsid w:val="007A2F8D"/>
    <w:rsid w:val="007A3942"/>
    <w:rsid w:val="007A3C14"/>
    <w:rsid w:val="007A4CEB"/>
    <w:rsid w:val="007A5437"/>
    <w:rsid w:val="007A56FB"/>
    <w:rsid w:val="007A6AB9"/>
    <w:rsid w:val="007A703C"/>
    <w:rsid w:val="007B508E"/>
    <w:rsid w:val="007C01AA"/>
    <w:rsid w:val="007C5FAE"/>
    <w:rsid w:val="007D0860"/>
    <w:rsid w:val="007D49ED"/>
    <w:rsid w:val="007E27C8"/>
    <w:rsid w:val="007E7673"/>
    <w:rsid w:val="007F2776"/>
    <w:rsid w:val="007F5A80"/>
    <w:rsid w:val="007F76B7"/>
    <w:rsid w:val="0080432B"/>
    <w:rsid w:val="0081160F"/>
    <w:rsid w:val="00812579"/>
    <w:rsid w:val="00813FDD"/>
    <w:rsid w:val="00815C55"/>
    <w:rsid w:val="0081754F"/>
    <w:rsid w:val="008207C4"/>
    <w:rsid w:val="00824D10"/>
    <w:rsid w:val="00826798"/>
    <w:rsid w:val="00831CC5"/>
    <w:rsid w:val="00834811"/>
    <w:rsid w:val="0083681D"/>
    <w:rsid w:val="0084445B"/>
    <w:rsid w:val="00850521"/>
    <w:rsid w:val="0085244E"/>
    <w:rsid w:val="00854C79"/>
    <w:rsid w:val="00855246"/>
    <w:rsid w:val="00857AF2"/>
    <w:rsid w:val="00857D13"/>
    <w:rsid w:val="00862166"/>
    <w:rsid w:val="00864066"/>
    <w:rsid w:val="00870582"/>
    <w:rsid w:val="00877DEB"/>
    <w:rsid w:val="008875AD"/>
    <w:rsid w:val="00890C0E"/>
    <w:rsid w:val="00891257"/>
    <w:rsid w:val="0089223A"/>
    <w:rsid w:val="00893011"/>
    <w:rsid w:val="0089560C"/>
    <w:rsid w:val="008A1C28"/>
    <w:rsid w:val="008A2CAF"/>
    <w:rsid w:val="008A7289"/>
    <w:rsid w:val="008C5DE7"/>
    <w:rsid w:val="008C6935"/>
    <w:rsid w:val="008C732D"/>
    <w:rsid w:val="008C759F"/>
    <w:rsid w:val="008D478B"/>
    <w:rsid w:val="008D52D9"/>
    <w:rsid w:val="008D5E91"/>
    <w:rsid w:val="008D6C16"/>
    <w:rsid w:val="008E223E"/>
    <w:rsid w:val="008F6069"/>
    <w:rsid w:val="008F6407"/>
    <w:rsid w:val="008F7A5A"/>
    <w:rsid w:val="008F7C48"/>
    <w:rsid w:val="009017A2"/>
    <w:rsid w:val="00902F97"/>
    <w:rsid w:val="00904B9E"/>
    <w:rsid w:val="00913319"/>
    <w:rsid w:val="00913C81"/>
    <w:rsid w:val="00914836"/>
    <w:rsid w:val="00915E09"/>
    <w:rsid w:val="00921203"/>
    <w:rsid w:val="0092446D"/>
    <w:rsid w:val="00924D4C"/>
    <w:rsid w:val="00924F56"/>
    <w:rsid w:val="00925D95"/>
    <w:rsid w:val="00926C04"/>
    <w:rsid w:val="0093064C"/>
    <w:rsid w:val="009331B2"/>
    <w:rsid w:val="00934454"/>
    <w:rsid w:val="00934919"/>
    <w:rsid w:val="0094328F"/>
    <w:rsid w:val="00943F97"/>
    <w:rsid w:val="00944157"/>
    <w:rsid w:val="00944F42"/>
    <w:rsid w:val="00946787"/>
    <w:rsid w:val="009510E4"/>
    <w:rsid w:val="00952F29"/>
    <w:rsid w:val="0095396C"/>
    <w:rsid w:val="00955587"/>
    <w:rsid w:val="0096376B"/>
    <w:rsid w:val="0096381D"/>
    <w:rsid w:val="00971FA7"/>
    <w:rsid w:val="009727D6"/>
    <w:rsid w:val="00974382"/>
    <w:rsid w:val="00977019"/>
    <w:rsid w:val="00977956"/>
    <w:rsid w:val="009827DB"/>
    <w:rsid w:val="00983558"/>
    <w:rsid w:val="0098487D"/>
    <w:rsid w:val="00986C24"/>
    <w:rsid w:val="00987128"/>
    <w:rsid w:val="00990069"/>
    <w:rsid w:val="0099141A"/>
    <w:rsid w:val="00994E2A"/>
    <w:rsid w:val="009971A7"/>
    <w:rsid w:val="00997659"/>
    <w:rsid w:val="009A1A10"/>
    <w:rsid w:val="009A2B89"/>
    <w:rsid w:val="009A325F"/>
    <w:rsid w:val="009A5E71"/>
    <w:rsid w:val="009B21F3"/>
    <w:rsid w:val="009C34A6"/>
    <w:rsid w:val="009C3964"/>
    <w:rsid w:val="009C64D5"/>
    <w:rsid w:val="009C7155"/>
    <w:rsid w:val="009D28E8"/>
    <w:rsid w:val="009D3C59"/>
    <w:rsid w:val="009D5234"/>
    <w:rsid w:val="009E2C50"/>
    <w:rsid w:val="009E48D1"/>
    <w:rsid w:val="009E7120"/>
    <w:rsid w:val="009E76E0"/>
    <w:rsid w:val="009F106E"/>
    <w:rsid w:val="009F147B"/>
    <w:rsid w:val="009F2FB2"/>
    <w:rsid w:val="009F3CD7"/>
    <w:rsid w:val="009F495B"/>
    <w:rsid w:val="009F60DF"/>
    <w:rsid w:val="00A00E16"/>
    <w:rsid w:val="00A01195"/>
    <w:rsid w:val="00A07375"/>
    <w:rsid w:val="00A139A8"/>
    <w:rsid w:val="00A23014"/>
    <w:rsid w:val="00A234E6"/>
    <w:rsid w:val="00A238E8"/>
    <w:rsid w:val="00A26F7C"/>
    <w:rsid w:val="00A34E93"/>
    <w:rsid w:val="00A34F87"/>
    <w:rsid w:val="00A3741F"/>
    <w:rsid w:val="00A44140"/>
    <w:rsid w:val="00A45261"/>
    <w:rsid w:val="00A51C33"/>
    <w:rsid w:val="00A62C68"/>
    <w:rsid w:val="00A66752"/>
    <w:rsid w:val="00A72812"/>
    <w:rsid w:val="00A75F2A"/>
    <w:rsid w:val="00A7767F"/>
    <w:rsid w:val="00A866B1"/>
    <w:rsid w:val="00A87E4E"/>
    <w:rsid w:val="00A91E80"/>
    <w:rsid w:val="00A93496"/>
    <w:rsid w:val="00A94DEF"/>
    <w:rsid w:val="00AA054A"/>
    <w:rsid w:val="00AA2DB4"/>
    <w:rsid w:val="00AA77AA"/>
    <w:rsid w:val="00AB063D"/>
    <w:rsid w:val="00AB5625"/>
    <w:rsid w:val="00AB5FFA"/>
    <w:rsid w:val="00AC60B2"/>
    <w:rsid w:val="00AD29EE"/>
    <w:rsid w:val="00AD541A"/>
    <w:rsid w:val="00AE06DC"/>
    <w:rsid w:val="00AE0E89"/>
    <w:rsid w:val="00AE6B64"/>
    <w:rsid w:val="00AF3702"/>
    <w:rsid w:val="00AF37DE"/>
    <w:rsid w:val="00AF6D9B"/>
    <w:rsid w:val="00B00BA2"/>
    <w:rsid w:val="00B02888"/>
    <w:rsid w:val="00B05048"/>
    <w:rsid w:val="00B1162A"/>
    <w:rsid w:val="00B140AC"/>
    <w:rsid w:val="00B15185"/>
    <w:rsid w:val="00B211F5"/>
    <w:rsid w:val="00B26BC0"/>
    <w:rsid w:val="00B32818"/>
    <w:rsid w:val="00B34E46"/>
    <w:rsid w:val="00B37609"/>
    <w:rsid w:val="00B448FF"/>
    <w:rsid w:val="00B57456"/>
    <w:rsid w:val="00B6423F"/>
    <w:rsid w:val="00B6436C"/>
    <w:rsid w:val="00B703D2"/>
    <w:rsid w:val="00B7076B"/>
    <w:rsid w:val="00B71AC7"/>
    <w:rsid w:val="00B71E59"/>
    <w:rsid w:val="00B723F9"/>
    <w:rsid w:val="00B73F57"/>
    <w:rsid w:val="00B802D9"/>
    <w:rsid w:val="00B8340C"/>
    <w:rsid w:val="00B842DD"/>
    <w:rsid w:val="00B87200"/>
    <w:rsid w:val="00B917CE"/>
    <w:rsid w:val="00BA2628"/>
    <w:rsid w:val="00BA47E9"/>
    <w:rsid w:val="00BA5689"/>
    <w:rsid w:val="00BA59D4"/>
    <w:rsid w:val="00BB4167"/>
    <w:rsid w:val="00BB50BD"/>
    <w:rsid w:val="00BC10C0"/>
    <w:rsid w:val="00BD117A"/>
    <w:rsid w:val="00BD7847"/>
    <w:rsid w:val="00BE0C8B"/>
    <w:rsid w:val="00BE22FC"/>
    <w:rsid w:val="00BE36F4"/>
    <w:rsid w:val="00BE5563"/>
    <w:rsid w:val="00BE765E"/>
    <w:rsid w:val="00BF1406"/>
    <w:rsid w:val="00BF174A"/>
    <w:rsid w:val="00BF634E"/>
    <w:rsid w:val="00C013FB"/>
    <w:rsid w:val="00C0172E"/>
    <w:rsid w:val="00C035A7"/>
    <w:rsid w:val="00C047D6"/>
    <w:rsid w:val="00C04C7D"/>
    <w:rsid w:val="00C068F7"/>
    <w:rsid w:val="00C06D95"/>
    <w:rsid w:val="00C10A49"/>
    <w:rsid w:val="00C15C81"/>
    <w:rsid w:val="00C2040F"/>
    <w:rsid w:val="00C3123A"/>
    <w:rsid w:val="00C31FE5"/>
    <w:rsid w:val="00C3262E"/>
    <w:rsid w:val="00C32DA6"/>
    <w:rsid w:val="00C3749A"/>
    <w:rsid w:val="00C45F38"/>
    <w:rsid w:val="00C54C9D"/>
    <w:rsid w:val="00C64E95"/>
    <w:rsid w:val="00C72861"/>
    <w:rsid w:val="00C77A63"/>
    <w:rsid w:val="00C85274"/>
    <w:rsid w:val="00C93008"/>
    <w:rsid w:val="00C94B7A"/>
    <w:rsid w:val="00C95FC9"/>
    <w:rsid w:val="00C95FCE"/>
    <w:rsid w:val="00CA1513"/>
    <w:rsid w:val="00CA706A"/>
    <w:rsid w:val="00CB0F04"/>
    <w:rsid w:val="00CB457C"/>
    <w:rsid w:val="00CB5E9C"/>
    <w:rsid w:val="00CB5ECE"/>
    <w:rsid w:val="00CB6622"/>
    <w:rsid w:val="00CC0756"/>
    <w:rsid w:val="00CC0C79"/>
    <w:rsid w:val="00CC4648"/>
    <w:rsid w:val="00CC4B76"/>
    <w:rsid w:val="00CC5C91"/>
    <w:rsid w:val="00CC765D"/>
    <w:rsid w:val="00CD2F86"/>
    <w:rsid w:val="00CD41C1"/>
    <w:rsid w:val="00CE083C"/>
    <w:rsid w:val="00CE22D1"/>
    <w:rsid w:val="00CE6518"/>
    <w:rsid w:val="00CF0E52"/>
    <w:rsid w:val="00CF1121"/>
    <w:rsid w:val="00CF42CA"/>
    <w:rsid w:val="00CF5D14"/>
    <w:rsid w:val="00D03135"/>
    <w:rsid w:val="00D03A33"/>
    <w:rsid w:val="00D04CA9"/>
    <w:rsid w:val="00D13A1C"/>
    <w:rsid w:val="00D14F06"/>
    <w:rsid w:val="00D2291B"/>
    <w:rsid w:val="00D24F9E"/>
    <w:rsid w:val="00D31D08"/>
    <w:rsid w:val="00D324D4"/>
    <w:rsid w:val="00D3299B"/>
    <w:rsid w:val="00D32FCD"/>
    <w:rsid w:val="00D435FB"/>
    <w:rsid w:val="00D5030F"/>
    <w:rsid w:val="00D51C91"/>
    <w:rsid w:val="00D55165"/>
    <w:rsid w:val="00D565E0"/>
    <w:rsid w:val="00D61801"/>
    <w:rsid w:val="00D62E9D"/>
    <w:rsid w:val="00D6465A"/>
    <w:rsid w:val="00D6471C"/>
    <w:rsid w:val="00D6535F"/>
    <w:rsid w:val="00D67621"/>
    <w:rsid w:val="00D763A0"/>
    <w:rsid w:val="00D80BC7"/>
    <w:rsid w:val="00D8305E"/>
    <w:rsid w:val="00D83656"/>
    <w:rsid w:val="00D84DEF"/>
    <w:rsid w:val="00D85A4D"/>
    <w:rsid w:val="00D91957"/>
    <w:rsid w:val="00D9299C"/>
    <w:rsid w:val="00D9367A"/>
    <w:rsid w:val="00D94606"/>
    <w:rsid w:val="00DA207D"/>
    <w:rsid w:val="00DA43EF"/>
    <w:rsid w:val="00DA50AB"/>
    <w:rsid w:val="00DA6373"/>
    <w:rsid w:val="00DA6898"/>
    <w:rsid w:val="00DB1904"/>
    <w:rsid w:val="00DB4462"/>
    <w:rsid w:val="00DB7BE4"/>
    <w:rsid w:val="00DC56F7"/>
    <w:rsid w:val="00DC6BC1"/>
    <w:rsid w:val="00DD1964"/>
    <w:rsid w:val="00DD3EC9"/>
    <w:rsid w:val="00DD72FD"/>
    <w:rsid w:val="00DE4EDB"/>
    <w:rsid w:val="00DE5F0F"/>
    <w:rsid w:val="00DF3E89"/>
    <w:rsid w:val="00DF53DC"/>
    <w:rsid w:val="00DF546B"/>
    <w:rsid w:val="00E02748"/>
    <w:rsid w:val="00E02EB3"/>
    <w:rsid w:val="00E15116"/>
    <w:rsid w:val="00E15794"/>
    <w:rsid w:val="00E237BF"/>
    <w:rsid w:val="00E26932"/>
    <w:rsid w:val="00E35FAC"/>
    <w:rsid w:val="00E36D65"/>
    <w:rsid w:val="00E37AA0"/>
    <w:rsid w:val="00E40774"/>
    <w:rsid w:val="00E41DC1"/>
    <w:rsid w:val="00E45F49"/>
    <w:rsid w:val="00E57F18"/>
    <w:rsid w:val="00E6086E"/>
    <w:rsid w:val="00E67648"/>
    <w:rsid w:val="00E70B23"/>
    <w:rsid w:val="00E72BD0"/>
    <w:rsid w:val="00E768F3"/>
    <w:rsid w:val="00E826A9"/>
    <w:rsid w:val="00E83C66"/>
    <w:rsid w:val="00E933BF"/>
    <w:rsid w:val="00E95339"/>
    <w:rsid w:val="00EA213C"/>
    <w:rsid w:val="00EA5089"/>
    <w:rsid w:val="00EA5CA5"/>
    <w:rsid w:val="00EA6E66"/>
    <w:rsid w:val="00EA78BB"/>
    <w:rsid w:val="00EB33A1"/>
    <w:rsid w:val="00EB6ECF"/>
    <w:rsid w:val="00EC0326"/>
    <w:rsid w:val="00EC3273"/>
    <w:rsid w:val="00EC32AE"/>
    <w:rsid w:val="00EC5C49"/>
    <w:rsid w:val="00EC60A1"/>
    <w:rsid w:val="00EC6389"/>
    <w:rsid w:val="00EC702D"/>
    <w:rsid w:val="00ED2366"/>
    <w:rsid w:val="00ED3C19"/>
    <w:rsid w:val="00ED7060"/>
    <w:rsid w:val="00ED7968"/>
    <w:rsid w:val="00ED7C8A"/>
    <w:rsid w:val="00EE22F5"/>
    <w:rsid w:val="00EE3527"/>
    <w:rsid w:val="00EE3DFC"/>
    <w:rsid w:val="00EE51EC"/>
    <w:rsid w:val="00EE6A28"/>
    <w:rsid w:val="00EF0329"/>
    <w:rsid w:val="00EF0D5B"/>
    <w:rsid w:val="00EF1CF5"/>
    <w:rsid w:val="00EF31C2"/>
    <w:rsid w:val="00EF4A47"/>
    <w:rsid w:val="00EF526B"/>
    <w:rsid w:val="00EF71D5"/>
    <w:rsid w:val="00F02A8A"/>
    <w:rsid w:val="00F10F0C"/>
    <w:rsid w:val="00F12BB5"/>
    <w:rsid w:val="00F132AA"/>
    <w:rsid w:val="00F24018"/>
    <w:rsid w:val="00F2717B"/>
    <w:rsid w:val="00F321FC"/>
    <w:rsid w:val="00F34C5E"/>
    <w:rsid w:val="00F37647"/>
    <w:rsid w:val="00F4137E"/>
    <w:rsid w:val="00F42B3C"/>
    <w:rsid w:val="00F43222"/>
    <w:rsid w:val="00F465B4"/>
    <w:rsid w:val="00F54268"/>
    <w:rsid w:val="00F556DE"/>
    <w:rsid w:val="00F55B18"/>
    <w:rsid w:val="00F57B58"/>
    <w:rsid w:val="00F61565"/>
    <w:rsid w:val="00F6265F"/>
    <w:rsid w:val="00F66DA7"/>
    <w:rsid w:val="00F70696"/>
    <w:rsid w:val="00F71253"/>
    <w:rsid w:val="00F7127C"/>
    <w:rsid w:val="00F75155"/>
    <w:rsid w:val="00F82AEF"/>
    <w:rsid w:val="00F863CC"/>
    <w:rsid w:val="00F97686"/>
    <w:rsid w:val="00FA1C34"/>
    <w:rsid w:val="00FA30F5"/>
    <w:rsid w:val="00FA5C0B"/>
    <w:rsid w:val="00FA6EE6"/>
    <w:rsid w:val="00FB404F"/>
    <w:rsid w:val="00FB49CB"/>
    <w:rsid w:val="00FD3522"/>
    <w:rsid w:val="00FD6D26"/>
    <w:rsid w:val="00FE03C0"/>
    <w:rsid w:val="00FE2E91"/>
    <w:rsid w:val="00FE3EEF"/>
    <w:rsid w:val="00FE5133"/>
    <w:rsid w:val="00FE6F5A"/>
    <w:rsid w:val="00FE7024"/>
    <w:rsid w:val="00FF116B"/>
    <w:rsid w:val="00FF2DA0"/>
    <w:rsid w:val="00FF2F68"/>
    <w:rsid w:val="00FF4964"/>
    <w:rsid w:val="00FF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2"/>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ascii="Arial" w:eastAsiaTheme="majorEastAsia" w:hAnsi="Arial"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customStyle="1" w:styleId="UnresolvedMention2">
    <w:name w:val="Unresolved Mention2"/>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 w:type="paragraph" w:customStyle="1" w:styleId="paragraph">
    <w:name w:val="paragraph"/>
    <w:basedOn w:val="Normal"/>
    <w:rsid w:val="00330B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0B76"/>
  </w:style>
  <w:style w:type="character" w:styleId="UnresolvedMention">
    <w:name w:val="Unresolved Mention"/>
    <w:basedOn w:val="DefaultParagraphFont"/>
    <w:uiPriority w:val="99"/>
    <w:semiHidden/>
    <w:unhideWhenUsed/>
    <w:rsid w:val="00C37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080101692">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dtc.nhs.uk/prescribing-support-document/shared-care-protocol-methotrexate-in-adults/" TargetMode="External"/><Relationship Id="rId18" Type="http://schemas.openxmlformats.org/officeDocument/2006/relationships/hyperlink" Target="https://www.gov.uk/government/publications/pneumococcal-the-green-book-chapter-25" TargetMode="External"/><Relationship Id="rId26" Type="http://schemas.openxmlformats.org/officeDocument/2006/relationships/hyperlink" Target="https://www.gov.uk/government/collections/immunisation-against-infectious-disease-the-green-book" TargetMode="External"/><Relationship Id="rId39" Type="http://schemas.openxmlformats.org/officeDocument/2006/relationships/hyperlink" Target="https://www.medicinesinpregnancy.org/Medicine--pregnancy/Methotrexate-paternal/" TargetMode="External"/><Relationship Id="rId21" Type="http://schemas.openxmlformats.org/officeDocument/2006/relationships/hyperlink" Target="https://www.gov.uk/drug-safety-update/methotrexate-once-weekly-for-autoimmune-diseases-new-measures-to-reduce-risk-of-fatal-overdose-due-to-inadvertent-daily-instead-of-weekly-dosing" TargetMode="External"/><Relationship Id="rId34" Type="http://schemas.openxmlformats.org/officeDocument/2006/relationships/hyperlink" Target="https://www.nhs.uk/medicines/methotrexate/" TargetMode="External"/><Relationship Id="rId42" Type="http://schemas.openxmlformats.org/officeDocument/2006/relationships/hyperlink" Target="https://www.medicines.org.uk/emc/files/pil.1376.pdf" TargetMode="External"/><Relationship Id="rId47" Type="http://schemas.openxmlformats.org/officeDocument/2006/relationships/hyperlink" Target="https://www.medicines.org.uk/emc/product/8599/" TargetMode="External"/><Relationship Id="rId50" Type="http://schemas.openxmlformats.org/officeDocument/2006/relationships/hyperlink" Target="https://academic.oup.com/rheumatology/article/62/4/e48/6783012" TargetMode="External"/><Relationship Id="rId55" Type="http://schemas.openxmlformats.org/officeDocument/2006/relationships/hyperlink" Target="https://www.medicinesresources.nhs.uk/shared-care-for-medicines-guidance-a-standard-approach-rmoc.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influenza-the-green-book-chapter-19" TargetMode="External"/><Relationship Id="rId29" Type="http://schemas.openxmlformats.org/officeDocument/2006/relationships/hyperlink" Target="https://www.gov.uk/drug-safety-update/methotrexate-advise-patients-to-take-precautions-in-the-sun-to-avoid-photosensitivity-reactions" TargetMode="External"/><Relationship Id="rId11" Type="http://schemas.openxmlformats.org/officeDocument/2006/relationships/hyperlink" Target="https://cdn.bad.org.uk/uploads/2021/12/29200149/Methotrexate-guideline-corrigendum-BJD-2017-176-1678.pdf" TargetMode="External"/><Relationship Id="rId24" Type="http://schemas.openxmlformats.org/officeDocument/2006/relationships/hyperlink" Target="https://bnf.nice.org.uk/drugs/methotrexate/" TargetMode="External"/><Relationship Id="rId32" Type="http://schemas.openxmlformats.org/officeDocument/2006/relationships/hyperlink" Target="https://www.gov.uk/government/publications/varicella-the-green-book-chapter-34" TargetMode="External"/><Relationship Id="rId37" Type="http://schemas.openxmlformats.org/officeDocument/2006/relationships/hyperlink" Target="https://www.sps.nhs.uk/medicines/methotrexate/" TargetMode="External"/><Relationship Id="rId40" Type="http://schemas.openxmlformats.org/officeDocument/2006/relationships/hyperlink" Target="https://bnf.nice.org.uk/drug/methotrexate.html" TargetMode="External"/><Relationship Id="rId45" Type="http://schemas.openxmlformats.org/officeDocument/2006/relationships/hyperlink" Target="https://www.medicines.org.uk/emc/product/7721/" TargetMode="External"/><Relationship Id="rId53" Type="http://schemas.openxmlformats.org/officeDocument/2006/relationships/hyperlink" Target="https://www.gov.uk/drug-safety-update/methotrexate-advise-patients-to-take-precautions-in-the-sun-to-avoid-photosensitivity-reactions" TargetMode="External"/><Relationship Id="rId58" Type="http://schemas.openxmlformats.org/officeDocument/2006/relationships/hyperlink" Target="https://www.nice.org.uk/guidance/ng197/"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medicines.org.uk/emc/search?q=methotrexate" TargetMode="External"/><Relationship Id="rId14" Type="http://schemas.openxmlformats.org/officeDocument/2006/relationships/hyperlink" Target="https://www.gov.uk/government/publications/contraindications-and-special-considerations-the-green-book-chapter-6" TargetMode="External"/><Relationship Id="rId22" Type="http://schemas.openxmlformats.org/officeDocument/2006/relationships/hyperlink" Target="https://bnf.nice.org.uk/drugs/methotrexate/" TargetMode="External"/><Relationship Id="rId27" Type="http://schemas.openxmlformats.org/officeDocument/2006/relationships/hyperlink" Target="https://www.gov.uk/government/publications/contraindications-and-special-considerations-the-green-book-chapter-6" TargetMode="External"/><Relationship Id="rId30" Type="http://schemas.openxmlformats.org/officeDocument/2006/relationships/hyperlink" Target="https://www.nhs.uk/live-well/alcohol-support/calculating-alcohol-units/" TargetMode="External"/><Relationship Id="rId35" Type="http://schemas.openxmlformats.org/officeDocument/2006/relationships/hyperlink" Target="https://uktis.org/monographs/use-of-methotrexate-in-pregnancy/" TargetMode="External"/><Relationship Id="rId43" Type="http://schemas.openxmlformats.org/officeDocument/2006/relationships/hyperlink" Target="https://products.mhra.gov.uk/" TargetMode="External"/><Relationship Id="rId48" Type="http://schemas.openxmlformats.org/officeDocument/2006/relationships/hyperlink" Target="https://academic.oup.com/rheumatology/article/56/6/865/3053478" TargetMode="External"/><Relationship Id="rId56" Type="http://schemas.openxmlformats.org/officeDocument/2006/relationships/hyperlink" Target="https://www.england.nhs.uk/publication/responsibility-for-prescribing-between-primary-and-secondary-tertiary-care/" TargetMode="External"/><Relationship Id="rId8" Type="http://schemas.openxmlformats.org/officeDocument/2006/relationships/webSettings" Target="webSettings.xml"/><Relationship Id="rId51" Type="http://schemas.openxmlformats.org/officeDocument/2006/relationships/hyperlink" Target="https://renaldrugdatabase.com/" TargetMode="External"/><Relationship Id="rId3" Type="http://schemas.openxmlformats.org/officeDocument/2006/relationships/customXml" Target="../customXml/item3.xml"/><Relationship Id="rId12" Type="http://schemas.openxmlformats.org/officeDocument/2006/relationships/hyperlink" Target="https://www.england.nhs.uk/wp-content/uploads/2018/03/responsibility-prescribing-between-primary-secondary-care-v2.pdf" TargetMode="External"/><Relationship Id="rId17" Type="http://schemas.openxmlformats.org/officeDocument/2006/relationships/hyperlink" Target="https://www.gov.uk/government/publications/covid-19-the-green-book-chapter-14a" TargetMode="External"/><Relationship Id="rId25" Type="http://schemas.openxmlformats.org/officeDocument/2006/relationships/hyperlink" Target="https://www.medicines.org.uk/emc/search?q=methotrexate" TargetMode="External"/><Relationship Id="rId33" Type="http://schemas.openxmlformats.org/officeDocument/2006/relationships/hyperlink" Target="https://assets.publishing.service.gov.uk/government/uploads/system/uploads/attachment_data/file/1073013/UKHSA_guidelines_on_VZ_post_exposure_prophylaxis.pdf" TargetMode="External"/><Relationship Id="rId38" Type="http://schemas.openxmlformats.org/officeDocument/2006/relationships/hyperlink" Target="https://uktis.org/monographs/paternal-use-of-methotrexate/" TargetMode="External"/><Relationship Id="rId46" Type="http://schemas.openxmlformats.org/officeDocument/2006/relationships/hyperlink" Target="https://www.medicines.org.uk/emc/product/7270/" TargetMode="External"/><Relationship Id="rId59" Type="http://schemas.openxmlformats.org/officeDocument/2006/relationships/footer" Target="footer1.xml"/><Relationship Id="rId20" Type="http://schemas.openxmlformats.org/officeDocument/2006/relationships/hyperlink" Target="https://www.gov.uk/drug-safety-update/methotrexate-once-weekly-for-autoimmune-diseases-new-measures-to-reduce-risk-of-fatal-overdose-due-to-inadvertent-daily-instead-of-weekly-dosing" TargetMode="External"/><Relationship Id="rId41" Type="http://schemas.openxmlformats.org/officeDocument/2006/relationships/hyperlink" Target="https://www.medicines.org.uk/emc/product/1376/" TargetMode="External"/><Relationship Id="rId54" Type="http://schemas.openxmlformats.org/officeDocument/2006/relationships/hyperlink" Target="https://www.sps.nhs.uk/articles/using-folic-acid-with-methotrexate-in-rheumatoid-arthriti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hingles-herpes-zoster-the-green-book-chapter-28a" TargetMode="External"/><Relationship Id="rId23" Type="http://schemas.openxmlformats.org/officeDocument/2006/relationships/hyperlink" Target="https://www.medicines.org.uk/emc/search?q=methotrexate" TargetMode="External"/><Relationship Id="rId28" Type="http://schemas.openxmlformats.org/officeDocument/2006/relationships/hyperlink" Target="http://www.mhra.gov.uk/yellowcard" TargetMode="External"/><Relationship Id="rId36" Type="http://schemas.openxmlformats.org/officeDocument/2006/relationships/hyperlink" Target="https://www.medicinesinpregnancy.org/Medicine--pregnancy/Methotrexate/" TargetMode="External"/><Relationship Id="rId49" Type="http://schemas.openxmlformats.org/officeDocument/2006/relationships/hyperlink" Target="https://onlinelibrary.wiley.com/doi/full/10.1111/bjd.14816" TargetMode="External"/><Relationship Id="rId57" Type="http://schemas.openxmlformats.org/officeDocument/2006/relationships/hyperlink" Target="https://www.gmc-uk.org/ethical-guidance/ethical-guidance-for-doctors/good-practice-in-prescribing-and-managing-medicines-and-devices/shared-care" TargetMode="External"/><Relationship Id="rId10" Type="http://schemas.openxmlformats.org/officeDocument/2006/relationships/endnotes" Target="endnotes.xml"/><Relationship Id="rId31" Type="http://schemas.openxmlformats.org/officeDocument/2006/relationships/hyperlink" Target="https://www.gov.uk/drug-safety-update/methotrexate-advise-patients-to-take-precautions-in-the-sun-to-avoid-photosensitivity-reactions" TargetMode="External"/><Relationship Id="rId44" Type="http://schemas.openxmlformats.org/officeDocument/2006/relationships/hyperlink" Target="https://www.medicines.org.uk/emc/product/11351/" TargetMode="External"/><Relationship Id="rId52" Type="http://schemas.openxmlformats.org/officeDocument/2006/relationships/hyperlink" Target="https://www.gov.uk/drug-safety-update/methotrexate-once-weekly-for-autoimmune-diseases-new-measures-to-reduce-risk-of-fatal-overdose-due-to-inadvertent-daily-instead-of-weekly-dosing"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388ABB97A67E4EA2083C22FCA94378" ma:contentTypeVersion="5" ma:contentTypeDescription="Create a new document." ma:contentTypeScope="" ma:versionID="9695e443c6b4ba3f68b40eea0afb1639">
  <xsd:schema xmlns:xsd="http://www.w3.org/2001/XMLSchema" xmlns:xs="http://www.w3.org/2001/XMLSchema" xmlns:p="http://schemas.microsoft.com/office/2006/metadata/properties" xmlns:ns1="http://schemas.microsoft.com/sharepoint/v3" xmlns:ns2="7458167c-9a79-42c5-aac0-817fa7082c5d" targetNamespace="http://schemas.microsoft.com/office/2006/metadata/properties" ma:root="true" ma:fieldsID="9ad8dcefff8c298cb7a6d5a8872b2050" ns1:_="" ns2:_="">
    <xsd:import namespace="http://schemas.microsoft.com/sharepoint/v3"/>
    <xsd:import namespace="7458167c-9a79-42c5-aac0-817fa7082c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8167c-9a79-42c5-aac0-817fa7082c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2.xml><?xml version="1.0" encoding="utf-8"?>
<ds:datastoreItem xmlns:ds="http://schemas.openxmlformats.org/officeDocument/2006/customXml" ds:itemID="{664E8025-E05F-4507-B43B-BF163EB69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58167c-9a79-42c5-aac0-817fa7082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C944A89-E30E-4150-8263-6B393657865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6389</Words>
  <Characters>36423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Donlon Kieron (MLCSU)</dc:creator>
  <cp:lastModifiedBy>STANIFORTH, Rachel (NHS HUMBER AND NORTH YORKSHIRE ICB - 42D)</cp:lastModifiedBy>
  <cp:revision>4</cp:revision>
  <cp:lastPrinted>2022-03-11T14:19:00Z</cp:lastPrinted>
  <dcterms:created xsi:type="dcterms:W3CDTF">2025-07-03T14:16:00Z</dcterms:created>
  <dcterms:modified xsi:type="dcterms:W3CDTF">2025-07-03T14:17:00Z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0x01010021388ABB97A67E4EA2083C22FCA94378</vt:lpwstr>
  </property>
  <property fmtid="{D5CDD505-2E9C-101B-9397-08002B2CF9AE}" pid="3" name="_dlc_DocIdItemGuid">
    <vt:lpwstr>51b1480d-bcbe-4409-8965-5d4ba7a1fe1a</vt:lpwstr>
  </property>
  <property fmtid="{D5CDD505-2E9C-101B-9397-08002B2CF9AE}" pid="4" name="MediaServiceImageTags">
    <vt:lpwstr/>
  </property>
  <property fmtid="{D5CDD505-2E9C-101B-9397-08002B2CF9AE}" pid="5" name="Order">
    <vt:r8>688000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