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B5B4" w14:textId="0D741A23" w:rsidR="00560ADF" w:rsidRDefault="001C7976" w:rsidP="007909C3">
      <w:pPr>
        <w:pStyle w:val="BodyText"/>
      </w:pPr>
      <w:r w:rsidRPr="00F661F8">
        <w:rPr>
          <w:noProof/>
          <w:szCs w:val="21"/>
          <w:lang w:eastAsia="en-GB"/>
        </w:rPr>
        <w:drawing>
          <wp:anchor distT="0" distB="0" distL="114300" distR="114300" simplePos="0" relativeHeight="251661312" behindDoc="1" locked="0" layoutInCell="1" allowOverlap="1" wp14:anchorId="4B430088" wp14:editId="5306C8A4">
            <wp:simplePos x="0" y="0"/>
            <wp:positionH relativeFrom="column">
              <wp:posOffset>-635</wp:posOffset>
            </wp:positionH>
            <wp:positionV relativeFrom="paragraph">
              <wp:posOffset>71755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1BE7E414"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1AD8D030" w14:textId="77777777" w:rsidR="00C966D9" w:rsidRDefault="00C966D9"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8501"/>
        <w:gridCol w:w="2977"/>
        <w:gridCol w:w="4406"/>
      </w:tblGrid>
      <w:tr w:rsidR="00C966D9" w:rsidRPr="00172933" w14:paraId="104D1E8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Recommendations made by </w:t>
            </w:r>
            <w:r w:rsidR="001C7976" w:rsidRPr="00172933">
              <w:rPr>
                <w:rFonts w:ascii="Helvetica" w:eastAsia="Calibri" w:hAnsi="Helvetica" w:cs="Helvetica"/>
                <w:b/>
                <w:sz w:val="24"/>
                <w:szCs w:val="24"/>
                <w:lang w:val="en-US"/>
              </w:rPr>
              <w:t>HNY APC</w:t>
            </w:r>
            <w:r w:rsidRPr="00172933">
              <w:rPr>
                <w:rFonts w:ascii="Helvetica" w:eastAsia="Calibri" w:hAnsi="Helvetica" w:cs="Helvetica"/>
                <w:b/>
                <w:sz w:val="24"/>
                <w:szCs w:val="24"/>
                <w:lang w:val="en-US"/>
              </w:rPr>
              <w:t xml:space="preserve"> subgroups</w:t>
            </w:r>
          </w:p>
        </w:tc>
        <w:tc>
          <w:tcPr>
            <w:tcW w:w="937" w:type="pct"/>
            <w:tcBorders>
              <w:top w:val="single" w:sz="4" w:space="0" w:color="auto"/>
              <w:left w:val="single" w:sz="4" w:space="0" w:color="auto"/>
              <w:bottom w:val="single" w:sz="4" w:space="0" w:color="auto"/>
              <w:right w:val="single" w:sz="4" w:space="0" w:color="auto"/>
            </w:tcBorders>
            <w:shd w:val="clear" w:color="auto" w:fill="C9ECFB"/>
            <w:hideMark/>
          </w:tcPr>
          <w:p w14:paraId="1CE3290C" w14:textId="3627C23B" w:rsidR="00C966D9" w:rsidRPr="00172933" w:rsidRDefault="005B4E08" w:rsidP="005C0229">
            <w:pPr>
              <w:tabs>
                <w:tab w:val="left" w:pos="720"/>
              </w:tabs>
              <w:autoSpaceDE/>
              <w:rPr>
                <w:rFonts w:ascii="Helvetica" w:eastAsia="Calibri" w:hAnsi="Helvetica" w:cs="Helvetica"/>
                <w:b/>
                <w:sz w:val="24"/>
                <w:szCs w:val="24"/>
                <w:lang w:val="en-US"/>
              </w:rPr>
            </w:pPr>
            <w:r>
              <w:rPr>
                <w:rFonts w:ascii="Helvetica" w:eastAsia="Calibri" w:hAnsi="Helvetica" w:cs="Helvetica"/>
                <w:b/>
                <w:sz w:val="24"/>
                <w:szCs w:val="24"/>
                <w:lang w:val="en-US"/>
              </w:rPr>
              <w:t>May</w:t>
            </w:r>
            <w:r w:rsidR="001C7976" w:rsidRPr="00172933">
              <w:rPr>
                <w:rFonts w:ascii="Helvetica" w:eastAsia="Calibri" w:hAnsi="Helvetica" w:cs="Helvetica"/>
                <w:b/>
                <w:sz w:val="24"/>
                <w:szCs w:val="24"/>
                <w:lang w:val="en-US"/>
              </w:rPr>
              <w:t xml:space="preserve"> 2025</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C9ECFB"/>
            <w:hideMark/>
          </w:tcPr>
          <w:p w14:paraId="51AA60B7" w14:textId="01C8BFD6" w:rsidR="00C966D9" w:rsidRPr="00172933" w:rsidRDefault="001C7976" w:rsidP="001C7976">
            <w:pPr>
              <w:tabs>
                <w:tab w:val="left" w:pos="720"/>
              </w:tabs>
              <w:autoSpaceDE/>
              <w:spacing w:before="0" w:after="0"/>
              <w:rPr>
                <w:rFonts w:ascii="Helvetica" w:eastAsia="Calibri" w:hAnsi="Helvetica" w:cs="Helvetica"/>
                <w:b/>
                <w:sz w:val="24"/>
                <w:szCs w:val="24"/>
                <w:lang w:val="en-US"/>
              </w:rPr>
            </w:pPr>
            <w:r w:rsidRPr="00172933">
              <w:rPr>
                <w:noProof/>
                <w:sz w:val="24"/>
                <w:szCs w:val="24"/>
                <w:lang w:eastAsia="en-GB"/>
              </w:rPr>
              <w:drawing>
                <wp:anchor distT="0" distB="0" distL="114300" distR="114300" simplePos="0" relativeHeight="251659264" behindDoc="1" locked="0" layoutInCell="1" allowOverlap="1" wp14:anchorId="2CFE8275" wp14:editId="4B897185">
                  <wp:simplePos x="0" y="0"/>
                  <wp:positionH relativeFrom="column">
                    <wp:posOffset>575310</wp:posOffset>
                  </wp:positionH>
                  <wp:positionV relativeFrom="paragraph">
                    <wp:posOffset>15240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p>
        </w:tc>
      </w:tr>
      <w:tr w:rsidR="00C966D9" w:rsidRPr="00172933" w14:paraId="7F66C26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Approved by: </w:t>
            </w:r>
            <w:r w:rsidR="001C7976" w:rsidRPr="00172933">
              <w:rPr>
                <w:rFonts w:ascii="Helvetica" w:eastAsia="Calibri" w:hAnsi="Helvetica" w:cs="Helvetica"/>
                <w:b/>
                <w:sz w:val="24"/>
                <w:szCs w:val="24"/>
                <w:lang w:val="en-US"/>
              </w:rPr>
              <w:t>HNY APC</w:t>
            </w:r>
          </w:p>
        </w:tc>
        <w:tc>
          <w:tcPr>
            <w:tcW w:w="937" w:type="pct"/>
            <w:tcBorders>
              <w:top w:val="single" w:sz="4" w:space="0" w:color="auto"/>
              <w:left w:val="single" w:sz="4" w:space="0" w:color="auto"/>
              <w:bottom w:val="single" w:sz="4" w:space="0" w:color="auto"/>
              <w:right w:val="single" w:sz="4" w:space="0" w:color="auto"/>
            </w:tcBorders>
            <w:shd w:val="clear" w:color="auto" w:fill="C9ECFB"/>
          </w:tcPr>
          <w:p w14:paraId="04347631" w14:textId="115B4495" w:rsidR="00C966D9" w:rsidRPr="00172933" w:rsidRDefault="005B4E08" w:rsidP="005C0229">
            <w:pPr>
              <w:tabs>
                <w:tab w:val="left" w:pos="720"/>
              </w:tabs>
              <w:autoSpaceDE/>
              <w:rPr>
                <w:rFonts w:ascii="Helvetica" w:eastAsia="Calibri" w:hAnsi="Helvetica" w:cs="Helvetica"/>
                <w:b/>
                <w:sz w:val="24"/>
                <w:szCs w:val="24"/>
                <w:lang w:val="en-US"/>
              </w:rPr>
            </w:pPr>
            <w:r>
              <w:rPr>
                <w:rFonts w:ascii="Helvetica" w:eastAsia="Calibri" w:hAnsi="Helvetica" w:cs="Helvetica"/>
                <w:b/>
                <w:sz w:val="24"/>
                <w:szCs w:val="24"/>
                <w:lang w:val="en-US"/>
              </w:rPr>
              <w:t>4</w:t>
            </w:r>
            <w:r w:rsidRPr="005B4E08">
              <w:rPr>
                <w:rFonts w:ascii="Helvetica" w:eastAsia="Calibri" w:hAnsi="Helvetica" w:cs="Helvetica"/>
                <w:b/>
                <w:sz w:val="24"/>
                <w:szCs w:val="24"/>
                <w:vertAlign w:val="superscript"/>
                <w:lang w:val="en-US"/>
              </w:rPr>
              <w:t>th</w:t>
            </w:r>
            <w:r>
              <w:rPr>
                <w:rFonts w:ascii="Helvetica" w:eastAsia="Calibri" w:hAnsi="Helvetica" w:cs="Helvetica"/>
                <w:b/>
                <w:sz w:val="24"/>
                <w:szCs w:val="24"/>
                <w:lang w:val="en-US"/>
              </w:rPr>
              <w:t xml:space="preserve"> June </w:t>
            </w:r>
            <w:r w:rsidR="001C7976" w:rsidRPr="00172933">
              <w:rPr>
                <w:rFonts w:ascii="Helvetica" w:eastAsia="Calibri" w:hAnsi="Helvetica" w:cs="Helvetica"/>
                <w:b/>
                <w:sz w:val="24"/>
                <w:szCs w:val="24"/>
                <w:lang w:val="en-US"/>
              </w:rPr>
              <w:t>2025</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6BA6F736" w14:textId="77777777" w:rsidR="00C966D9" w:rsidRPr="00172933" w:rsidRDefault="00C966D9" w:rsidP="005777CA">
            <w:pPr>
              <w:tabs>
                <w:tab w:val="clear" w:pos="975"/>
              </w:tabs>
              <w:spacing w:before="0" w:after="0"/>
              <w:rPr>
                <w:rFonts w:ascii="Helvetica" w:eastAsia="Calibri" w:hAnsi="Helvetica" w:cs="Helvetica"/>
                <w:b/>
                <w:sz w:val="24"/>
                <w:szCs w:val="24"/>
                <w:lang w:val="en-US"/>
              </w:rPr>
            </w:pPr>
          </w:p>
        </w:tc>
      </w:tr>
      <w:tr w:rsidR="001C7976" w:rsidRPr="00172933" w14:paraId="02EC6D31" w14:textId="77777777" w:rsidTr="005C0229">
        <w:trPr>
          <w:cantSplit/>
          <w:trHeight w:val="567"/>
          <w:tblHeader/>
        </w:trPr>
        <w:tc>
          <w:tcPr>
            <w:tcW w:w="2676" w:type="pct"/>
            <w:tcBorders>
              <w:top w:val="single" w:sz="4" w:space="0" w:color="auto"/>
              <w:left w:val="single" w:sz="4" w:space="0" w:color="auto"/>
              <w:right w:val="single" w:sz="4" w:space="0" w:color="auto"/>
            </w:tcBorders>
            <w:shd w:val="clear" w:color="auto" w:fill="C9ECFB"/>
          </w:tcPr>
          <w:p w14:paraId="243D1049" w14:textId="6A0CB675" w:rsidR="001C7976" w:rsidRPr="00172933" w:rsidRDefault="00C4153E"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Reviewed </w:t>
            </w:r>
            <w:r w:rsidR="001C7976" w:rsidRPr="00172933">
              <w:rPr>
                <w:rFonts w:ascii="Helvetica" w:eastAsia="Calibri" w:hAnsi="Helvetica" w:cs="Helvetica"/>
                <w:b/>
                <w:sz w:val="24"/>
                <w:szCs w:val="24"/>
                <w:lang w:val="en-US"/>
              </w:rPr>
              <w:t xml:space="preserve">by: </w:t>
            </w:r>
            <w:r w:rsidR="008D6DE1" w:rsidRPr="00172933">
              <w:rPr>
                <w:rFonts w:ascii="Helvetica" w:eastAsia="Calibri" w:hAnsi="Helvetica" w:cs="Helvetica"/>
                <w:b/>
                <w:sz w:val="24"/>
                <w:szCs w:val="24"/>
                <w:lang w:val="en-US"/>
              </w:rPr>
              <w:t>CPC</w:t>
            </w:r>
          </w:p>
          <w:p w14:paraId="55A687C6" w14:textId="413EE863" w:rsidR="001C7976" w:rsidRPr="00172933" w:rsidRDefault="008D6DE1" w:rsidP="005C0229">
            <w:pPr>
              <w:tabs>
                <w:tab w:val="left" w:pos="720"/>
              </w:tabs>
              <w:autoSpaceDE/>
              <w:rPr>
                <w:rFonts w:ascii="Helvetica" w:eastAsia="Calibri" w:hAnsi="Helvetica" w:cs="Helvetica"/>
                <w:sz w:val="24"/>
                <w:szCs w:val="24"/>
                <w:lang w:val="en-US"/>
              </w:rPr>
            </w:pPr>
            <w:r w:rsidRPr="00172933">
              <w:rPr>
                <w:rFonts w:ascii="Helvetica" w:eastAsia="Calibri" w:hAnsi="Helvetica" w:cs="Helvetica"/>
                <w:sz w:val="24"/>
                <w:szCs w:val="24"/>
                <w:lang w:val="en-US"/>
              </w:rPr>
              <w:t xml:space="preserve">NB: HNY APC is a decision-making group. Decisions are submitted to CPC for information. </w:t>
            </w:r>
          </w:p>
        </w:tc>
        <w:tc>
          <w:tcPr>
            <w:tcW w:w="937" w:type="pct"/>
            <w:tcBorders>
              <w:top w:val="single" w:sz="4" w:space="0" w:color="auto"/>
              <w:left w:val="single" w:sz="4" w:space="0" w:color="auto"/>
              <w:right w:val="single" w:sz="4" w:space="0" w:color="auto"/>
            </w:tcBorders>
            <w:shd w:val="clear" w:color="auto" w:fill="C9ECFB"/>
          </w:tcPr>
          <w:p w14:paraId="70B3AD2A" w14:textId="0ED00DA1" w:rsidR="001C7976" w:rsidRPr="001438C0" w:rsidRDefault="001438C0" w:rsidP="005C0229">
            <w:pPr>
              <w:tabs>
                <w:tab w:val="left" w:pos="720"/>
              </w:tabs>
              <w:autoSpaceDE/>
              <w:rPr>
                <w:rFonts w:ascii="Helvetica" w:eastAsia="Calibri" w:hAnsi="Helvetica" w:cs="Helvetica"/>
                <w:bCs/>
                <w:sz w:val="24"/>
                <w:szCs w:val="24"/>
                <w:lang w:val="en-US"/>
              </w:rPr>
            </w:pPr>
            <w:r>
              <w:rPr>
                <w:rFonts w:ascii="Helvetica" w:eastAsia="Calibri" w:hAnsi="Helvetica" w:cs="Helvetica"/>
                <w:bCs/>
                <w:sz w:val="24"/>
                <w:szCs w:val="24"/>
                <w:lang w:val="en-US"/>
              </w:rPr>
              <w:t>Scheduled for J</w:t>
            </w:r>
            <w:bookmarkStart w:id="0" w:name="_GoBack"/>
            <w:bookmarkEnd w:id="0"/>
            <w:r>
              <w:rPr>
                <w:rFonts w:ascii="Helvetica" w:eastAsia="Calibri" w:hAnsi="Helvetica" w:cs="Helvetica"/>
                <w:bCs/>
                <w:sz w:val="24"/>
                <w:szCs w:val="24"/>
                <w:lang w:val="en-US"/>
              </w:rPr>
              <w:t>uly meeting</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38071639" w14:textId="77777777" w:rsidR="001C7976" w:rsidRPr="00172933" w:rsidRDefault="001C7976" w:rsidP="005777CA">
            <w:pPr>
              <w:tabs>
                <w:tab w:val="clear" w:pos="975"/>
              </w:tabs>
              <w:spacing w:before="0" w:after="0"/>
              <w:rPr>
                <w:rFonts w:ascii="Helvetica" w:eastAsia="Calibri" w:hAnsi="Helvetica" w:cs="Helvetica"/>
                <w:b/>
                <w:sz w:val="24"/>
                <w:szCs w:val="24"/>
                <w:lang w:val="en-US"/>
              </w:rPr>
            </w:pPr>
          </w:p>
        </w:tc>
      </w:tr>
      <w:tr w:rsidR="00C966D9" w:rsidRPr="00172933" w14:paraId="44B0920B" w14:textId="77777777" w:rsidTr="005777CA">
        <w:trPr>
          <w:cantSplit/>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C9ECFB"/>
          </w:tcPr>
          <w:p w14:paraId="49F70009" w14:textId="77777777" w:rsidR="00C966D9" w:rsidRPr="00172933" w:rsidRDefault="00C966D9" w:rsidP="001C7976">
            <w:pPr>
              <w:tabs>
                <w:tab w:val="left" w:pos="720"/>
              </w:tabs>
              <w:autoSpaceDE/>
              <w:rPr>
                <w:rFonts w:eastAsia="Arial"/>
                <w:b/>
                <w:noProof/>
                <w:color w:val="000000" w:themeColor="text1"/>
                <w:sz w:val="24"/>
                <w:szCs w:val="24"/>
                <w:lang w:val="en-US" w:eastAsia="en-GB"/>
              </w:rPr>
            </w:pPr>
            <w:r w:rsidRPr="00172933">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0C43F78C" w:rsidR="00172933" w:rsidRPr="00172933" w:rsidRDefault="00172933" w:rsidP="001C7976">
            <w:pPr>
              <w:tabs>
                <w:tab w:val="left" w:pos="720"/>
              </w:tabs>
              <w:autoSpaceDE/>
              <w:rPr>
                <w:rFonts w:eastAsia="Arial"/>
                <w:b/>
                <w:noProof/>
                <w:color w:val="000000" w:themeColor="text1"/>
                <w:sz w:val="24"/>
                <w:szCs w:val="24"/>
                <w:lang w:val="en-US" w:eastAsia="en-GB"/>
              </w:rPr>
            </w:pPr>
            <w:r w:rsidRPr="00172933">
              <w:rPr>
                <w:rFonts w:eastAsia="MS Mincho"/>
                <w:bCs/>
                <w:sz w:val="24"/>
                <w:szCs w:val="24"/>
                <w:lang w:eastAsia="ja-JP"/>
              </w:rPr>
              <w:t xml:space="preserve">For copies of current HNY APC minutes and decisions, please visit </w:t>
            </w:r>
            <w:hyperlink r:id="rId10" w:history="1">
              <w:r w:rsidRPr="00172933">
                <w:rPr>
                  <w:rFonts w:eastAsia="MS Mincho"/>
                  <w:bCs/>
                  <w:color w:val="0000FF"/>
                  <w:sz w:val="24"/>
                  <w:szCs w:val="24"/>
                  <w:u w:val="single"/>
                  <w:lang w:eastAsia="ja-JP"/>
                </w:rPr>
                <w:t>https://humberandnorthyorkshire.org.uk/area-prescribing-committee-apc-minutes-from-meetings/</w:t>
              </w:r>
            </w:hyperlink>
            <w:r w:rsidRPr="00172933">
              <w:rPr>
                <w:rFonts w:eastAsia="MS Mincho"/>
                <w:bCs/>
                <w:sz w:val="24"/>
                <w:szCs w:val="24"/>
                <w:lang w:eastAsia="ja-JP"/>
              </w:rPr>
              <w:t>.</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BC62169" w14:textId="0D3111EB" w:rsidR="00383A54" w:rsidRPr="00383A54" w:rsidRDefault="00383A54" w:rsidP="00383A54">
      <w:pPr>
        <w:spacing w:before="0" w:after="0"/>
        <w:rPr>
          <w:sz w:val="10"/>
          <w:szCs w:val="10"/>
          <w:lang w:val="en-US" w:eastAsia="ja-JP"/>
        </w:rPr>
        <w:sectPr w:rsidR="00383A54" w:rsidRPr="00383A54" w:rsidSect="00C8733F">
          <w:footerReference w:type="even" r:id="rId11"/>
          <w:footerReference w:type="default" r:id="rId12"/>
          <w:footerReference w:type="first" r:id="rId13"/>
          <w:pgSz w:w="16840" w:h="11910" w:orient="landscape"/>
          <w:pgMar w:top="284" w:right="520" w:bottom="993" w:left="426" w:header="11"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835"/>
        <w:gridCol w:w="4395"/>
        <w:gridCol w:w="3969"/>
        <w:gridCol w:w="1852"/>
      </w:tblGrid>
      <w:tr w:rsidR="001C7976" w:rsidRPr="000C6493" w14:paraId="58618552" w14:textId="77777777" w:rsidTr="00B74ECB">
        <w:trPr>
          <w:cantSplit/>
          <w:trHeight w:val="548"/>
          <w:tblHeader/>
        </w:trPr>
        <w:tc>
          <w:tcPr>
            <w:tcW w:w="2830" w:type="dxa"/>
            <w:tcBorders>
              <w:bottom w:val="single" w:sz="4" w:space="0" w:color="auto"/>
            </w:tcBorders>
            <w:shd w:val="clear" w:color="auto" w:fill="B6DDE8"/>
          </w:tcPr>
          <w:p w14:paraId="465998DD" w14:textId="4656542C" w:rsidR="001C7976" w:rsidRPr="000C6493" w:rsidRDefault="001C7976" w:rsidP="007909C3">
            <w:pPr>
              <w:tabs>
                <w:tab w:val="clear" w:pos="975"/>
              </w:tabs>
              <w:rPr>
                <w:rFonts w:eastAsia="Calibri"/>
                <w:b/>
                <w:sz w:val="24"/>
                <w:szCs w:val="24"/>
              </w:rPr>
            </w:pPr>
            <w:r w:rsidRPr="000C6493">
              <w:rPr>
                <w:rFonts w:eastAsia="Calibri"/>
                <w:b/>
                <w:sz w:val="24"/>
                <w:szCs w:val="24"/>
              </w:rPr>
              <w:lastRenderedPageBreak/>
              <w:t xml:space="preserve">Drug and indication </w:t>
            </w:r>
          </w:p>
        </w:tc>
        <w:tc>
          <w:tcPr>
            <w:tcW w:w="2835" w:type="dxa"/>
            <w:tcBorders>
              <w:bottom w:val="single" w:sz="4" w:space="0" w:color="auto"/>
            </w:tcBorders>
            <w:shd w:val="clear" w:color="auto" w:fill="B6DDE8"/>
          </w:tcPr>
          <w:p w14:paraId="764A3AC3" w14:textId="20E2B955" w:rsidR="001C7976" w:rsidRPr="000C6493" w:rsidRDefault="001C7976" w:rsidP="000C6493">
            <w:pPr>
              <w:tabs>
                <w:tab w:val="clear" w:pos="975"/>
              </w:tabs>
              <w:ind w:left="20"/>
              <w:rPr>
                <w:iCs/>
                <w:sz w:val="24"/>
                <w:szCs w:val="24"/>
              </w:rPr>
            </w:pPr>
            <w:r w:rsidRPr="000C6493">
              <w:rPr>
                <w:rFonts w:eastAsia="Calibri"/>
                <w:b/>
                <w:sz w:val="24"/>
                <w:szCs w:val="24"/>
              </w:rPr>
              <w:t>Status and formulary position assigned</w:t>
            </w:r>
          </w:p>
        </w:tc>
        <w:tc>
          <w:tcPr>
            <w:tcW w:w="4395" w:type="dxa"/>
            <w:tcBorders>
              <w:bottom w:val="single" w:sz="4" w:space="0" w:color="auto"/>
            </w:tcBorders>
            <w:shd w:val="clear" w:color="auto" w:fill="B6DDE8"/>
          </w:tcPr>
          <w:p w14:paraId="18BD51F0" w14:textId="3CED56E6" w:rsidR="001C7976" w:rsidRPr="000C6493" w:rsidRDefault="001C7976" w:rsidP="007909C3">
            <w:pPr>
              <w:tabs>
                <w:tab w:val="clear" w:pos="975"/>
              </w:tabs>
              <w:rPr>
                <w:rFonts w:eastAsia="Calibri"/>
                <w:b/>
                <w:sz w:val="24"/>
                <w:szCs w:val="24"/>
              </w:rPr>
            </w:pPr>
            <w:r w:rsidRPr="000C6493">
              <w:rPr>
                <w:rFonts w:eastAsia="Calibri"/>
                <w:b/>
                <w:sz w:val="24"/>
                <w:szCs w:val="24"/>
              </w:rPr>
              <w:t>Notes on decision</w:t>
            </w:r>
          </w:p>
        </w:tc>
        <w:tc>
          <w:tcPr>
            <w:tcW w:w="3969" w:type="dxa"/>
            <w:tcBorders>
              <w:bottom w:val="single" w:sz="4" w:space="0" w:color="auto"/>
            </w:tcBorders>
            <w:shd w:val="clear" w:color="auto" w:fill="B6DDE8"/>
          </w:tcPr>
          <w:p w14:paraId="63DF0E3F" w14:textId="3D0072C2" w:rsidR="001C7976" w:rsidRPr="000C6493" w:rsidRDefault="001C7976" w:rsidP="00EA5257">
            <w:pPr>
              <w:tabs>
                <w:tab w:val="clear" w:pos="975"/>
              </w:tabs>
              <w:rPr>
                <w:rFonts w:eastAsia="Calibri"/>
                <w:b/>
                <w:sz w:val="24"/>
                <w:szCs w:val="24"/>
              </w:rPr>
            </w:pPr>
            <w:r w:rsidRPr="000C6493">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4EECB6E0" w:rsidR="001C7976" w:rsidRPr="000C6493" w:rsidRDefault="00B74ECB" w:rsidP="001C7976">
            <w:pPr>
              <w:tabs>
                <w:tab w:val="clear" w:pos="975"/>
              </w:tabs>
              <w:rPr>
                <w:rFonts w:eastAsia="Calibri"/>
                <w:b/>
                <w:sz w:val="24"/>
                <w:szCs w:val="24"/>
              </w:rPr>
            </w:pPr>
            <w:r w:rsidRPr="000C6493">
              <w:rPr>
                <w:rFonts w:eastAsia="Calibri"/>
                <w:b/>
                <w:sz w:val="24"/>
                <w:szCs w:val="24"/>
              </w:rPr>
              <w:t>APC decision</w:t>
            </w:r>
          </w:p>
        </w:tc>
      </w:tr>
      <w:tr w:rsidR="000C6493" w:rsidRPr="000C6493" w14:paraId="6B9E4442" w14:textId="77777777" w:rsidTr="00B74ECB">
        <w:trPr>
          <w:cantSplit/>
          <w:trHeight w:val="548"/>
        </w:trPr>
        <w:tc>
          <w:tcPr>
            <w:tcW w:w="2830" w:type="dxa"/>
            <w:shd w:val="clear" w:color="auto" w:fill="auto"/>
          </w:tcPr>
          <w:p w14:paraId="0147C98F" w14:textId="6E1AF35A" w:rsidR="000C6493" w:rsidRPr="000C6493" w:rsidRDefault="000C6493" w:rsidP="000C6493">
            <w:pPr>
              <w:tabs>
                <w:tab w:val="left" w:pos="720"/>
              </w:tabs>
              <w:rPr>
                <w:color w:val="000000"/>
                <w:sz w:val="24"/>
                <w:szCs w:val="24"/>
              </w:rPr>
            </w:pPr>
            <w:proofErr w:type="spellStart"/>
            <w:r w:rsidRPr="000C6493">
              <w:rPr>
                <w:b/>
                <w:bCs/>
                <w:sz w:val="24"/>
                <w:szCs w:val="24"/>
              </w:rPr>
              <w:t>Ivermectin</w:t>
            </w:r>
            <w:proofErr w:type="spellEnd"/>
            <w:r w:rsidRPr="000C6493">
              <w:rPr>
                <w:b/>
                <w:bCs/>
                <w:sz w:val="24"/>
                <w:szCs w:val="24"/>
              </w:rPr>
              <w:t xml:space="preserve"> oral tablets </w:t>
            </w:r>
            <w:r w:rsidRPr="000C6493">
              <w:rPr>
                <w:sz w:val="24"/>
                <w:szCs w:val="24"/>
              </w:rPr>
              <w:t>for scabies</w:t>
            </w:r>
          </w:p>
        </w:tc>
        <w:tc>
          <w:tcPr>
            <w:tcW w:w="2835" w:type="dxa"/>
            <w:shd w:val="clear" w:color="auto" w:fill="auto"/>
          </w:tcPr>
          <w:p w14:paraId="5DFA37B3" w14:textId="28B3822F" w:rsidR="000C6493" w:rsidRPr="004E0E20" w:rsidRDefault="000C6493" w:rsidP="000C6493">
            <w:pPr>
              <w:tabs>
                <w:tab w:val="clear" w:pos="975"/>
              </w:tabs>
              <w:ind w:left="20"/>
              <w:rPr>
                <w:b/>
                <w:bCs/>
                <w:sz w:val="24"/>
                <w:szCs w:val="24"/>
              </w:rPr>
            </w:pPr>
            <w:r w:rsidRPr="004E0E20">
              <w:rPr>
                <w:b/>
                <w:bCs/>
                <w:sz w:val="24"/>
                <w:szCs w:val="24"/>
                <w:shd w:val="clear" w:color="auto" w:fill="00B050"/>
              </w:rPr>
              <w:t xml:space="preserve">Green (with guideline) </w:t>
            </w:r>
          </w:p>
          <w:p w14:paraId="6337BA00" w14:textId="77777777" w:rsidR="000C6493" w:rsidRPr="000C6493" w:rsidRDefault="000C6493" w:rsidP="000C6493">
            <w:pPr>
              <w:tabs>
                <w:tab w:val="clear" w:pos="975"/>
              </w:tabs>
              <w:ind w:left="20"/>
              <w:rPr>
                <w:sz w:val="24"/>
                <w:szCs w:val="24"/>
              </w:rPr>
            </w:pPr>
          </w:p>
          <w:p w14:paraId="00D46222" w14:textId="0332DC6D" w:rsidR="000C6493" w:rsidRPr="000C6493" w:rsidRDefault="000C6493" w:rsidP="000C6493">
            <w:pPr>
              <w:tabs>
                <w:tab w:val="clear" w:pos="975"/>
              </w:tabs>
              <w:ind w:left="20"/>
              <w:rPr>
                <w:sz w:val="24"/>
                <w:szCs w:val="24"/>
              </w:rPr>
            </w:pPr>
            <w:r w:rsidRPr="000C6493">
              <w:rPr>
                <w:sz w:val="24"/>
                <w:szCs w:val="24"/>
              </w:rPr>
              <w:t xml:space="preserve">It is proposed that the ICB adopts the national Primary Care Dermatology Society clinical guideline for management of scabies; </w:t>
            </w:r>
            <w:hyperlink r:id="rId14" w:history="1">
              <w:r w:rsidRPr="000C6493">
                <w:rPr>
                  <w:rStyle w:val="Hyperlink"/>
                  <w:rFonts w:cs="Arial"/>
                  <w:sz w:val="24"/>
                  <w:szCs w:val="24"/>
                </w:rPr>
                <w:t>https://www.pcds.org.uk/clinical-guidance/scabies</w:t>
              </w:r>
            </w:hyperlink>
            <w:r w:rsidRPr="000C6493">
              <w:rPr>
                <w:sz w:val="24"/>
                <w:szCs w:val="24"/>
              </w:rPr>
              <w:t xml:space="preserve"> which sets out the place in therapy for </w:t>
            </w:r>
            <w:proofErr w:type="spellStart"/>
            <w:r w:rsidRPr="000C6493">
              <w:rPr>
                <w:sz w:val="24"/>
                <w:szCs w:val="24"/>
              </w:rPr>
              <w:t>Ivermectin</w:t>
            </w:r>
            <w:proofErr w:type="spellEnd"/>
            <w:r w:rsidRPr="000C6493">
              <w:rPr>
                <w:sz w:val="24"/>
                <w:szCs w:val="24"/>
              </w:rPr>
              <w:t>.</w:t>
            </w:r>
          </w:p>
        </w:tc>
        <w:tc>
          <w:tcPr>
            <w:tcW w:w="4395" w:type="dxa"/>
            <w:shd w:val="clear" w:color="auto" w:fill="auto"/>
          </w:tcPr>
          <w:p w14:paraId="702D9723" w14:textId="77777777" w:rsidR="000C6493" w:rsidRPr="000C6493" w:rsidRDefault="000C6493" w:rsidP="000C6493">
            <w:pPr>
              <w:tabs>
                <w:tab w:val="clear" w:pos="975"/>
              </w:tabs>
              <w:ind w:left="20"/>
              <w:rPr>
                <w:sz w:val="24"/>
                <w:szCs w:val="24"/>
              </w:rPr>
            </w:pPr>
            <w:r w:rsidRPr="000C6493">
              <w:rPr>
                <w:sz w:val="24"/>
                <w:szCs w:val="24"/>
              </w:rPr>
              <w:t xml:space="preserve">The previous RED RAG status was due to no licensed product being available which </w:t>
            </w:r>
            <w:proofErr w:type="gramStart"/>
            <w:r w:rsidRPr="000C6493">
              <w:rPr>
                <w:sz w:val="24"/>
                <w:szCs w:val="24"/>
              </w:rPr>
              <w:t>is no longer the case</w:t>
            </w:r>
            <w:proofErr w:type="gramEnd"/>
            <w:r w:rsidRPr="000C6493">
              <w:rPr>
                <w:sz w:val="24"/>
                <w:szCs w:val="24"/>
              </w:rPr>
              <w:t>.</w:t>
            </w:r>
          </w:p>
          <w:p w14:paraId="200C1C51" w14:textId="77777777" w:rsidR="000C6493" w:rsidRPr="000C6493" w:rsidRDefault="000C6493" w:rsidP="000C6493">
            <w:pPr>
              <w:tabs>
                <w:tab w:val="clear" w:pos="975"/>
              </w:tabs>
              <w:rPr>
                <w:sz w:val="24"/>
                <w:szCs w:val="24"/>
              </w:rPr>
            </w:pPr>
            <w:r w:rsidRPr="000C6493">
              <w:rPr>
                <w:sz w:val="24"/>
                <w:szCs w:val="24"/>
              </w:rPr>
              <w:t>The PCDS guideline states discussion with / referral to a dermatologist should be considered in the following cases:</w:t>
            </w:r>
          </w:p>
          <w:p w14:paraId="0BA719FC" w14:textId="77777777" w:rsidR="000C6493" w:rsidRPr="000C6493" w:rsidRDefault="000C6493" w:rsidP="000C6493">
            <w:pPr>
              <w:pStyle w:val="ListParagraph"/>
              <w:numPr>
                <w:ilvl w:val="0"/>
                <w:numId w:val="17"/>
              </w:numPr>
              <w:tabs>
                <w:tab w:val="clear" w:pos="975"/>
              </w:tabs>
              <w:rPr>
                <w:sz w:val="24"/>
                <w:szCs w:val="24"/>
              </w:rPr>
            </w:pPr>
            <w:r w:rsidRPr="000C6493">
              <w:rPr>
                <w:sz w:val="24"/>
                <w:szCs w:val="24"/>
              </w:rPr>
              <w:t>Diagnostic uncertainty / failure to respond to adequate treatment of the patient and contacts</w:t>
            </w:r>
          </w:p>
          <w:p w14:paraId="249C81C2" w14:textId="77777777" w:rsidR="000C6493" w:rsidRPr="000C6493" w:rsidRDefault="000C6493" w:rsidP="000C6493">
            <w:pPr>
              <w:pStyle w:val="ListParagraph"/>
              <w:numPr>
                <w:ilvl w:val="0"/>
                <w:numId w:val="17"/>
              </w:numPr>
              <w:tabs>
                <w:tab w:val="clear" w:pos="975"/>
              </w:tabs>
              <w:rPr>
                <w:sz w:val="24"/>
                <w:szCs w:val="24"/>
              </w:rPr>
            </w:pPr>
            <w:r w:rsidRPr="000C6493">
              <w:rPr>
                <w:sz w:val="24"/>
                <w:szCs w:val="24"/>
              </w:rPr>
              <w:t>An outbreak in a nursing or other care home.</w:t>
            </w:r>
          </w:p>
          <w:p w14:paraId="6EC574BC" w14:textId="232AC592" w:rsidR="000C6493" w:rsidRPr="000C6493" w:rsidRDefault="000C6493" w:rsidP="000C6493">
            <w:pPr>
              <w:tabs>
                <w:tab w:val="clear" w:pos="975"/>
              </w:tabs>
              <w:ind w:left="20"/>
              <w:rPr>
                <w:sz w:val="24"/>
                <w:szCs w:val="24"/>
              </w:rPr>
            </w:pPr>
            <w:r w:rsidRPr="000C6493">
              <w:rPr>
                <w:rFonts w:eastAsiaTheme="minorHAnsi"/>
                <w:sz w:val="24"/>
                <w:szCs w:val="24"/>
              </w:rPr>
              <w:t xml:space="preserve">Consultation feedback and MFG decision was that Public Health / IPC would be more appropriate to involve for </w:t>
            </w:r>
            <w:r w:rsidRPr="000C6493">
              <w:rPr>
                <w:sz w:val="24"/>
                <w:szCs w:val="24"/>
              </w:rPr>
              <w:t xml:space="preserve">outbreak in a nursing or other care home. Dermatology to be involved when there is diagnostic uncertainty or treatment failure. </w:t>
            </w:r>
          </w:p>
        </w:tc>
        <w:tc>
          <w:tcPr>
            <w:tcW w:w="3969" w:type="dxa"/>
          </w:tcPr>
          <w:p w14:paraId="32A14B7E" w14:textId="29882D88" w:rsidR="000C6493" w:rsidRPr="000C6493" w:rsidRDefault="000C6493" w:rsidP="000C6493">
            <w:pPr>
              <w:rPr>
                <w:sz w:val="24"/>
                <w:szCs w:val="24"/>
              </w:rPr>
            </w:pPr>
            <w:r w:rsidRPr="000C6493">
              <w:rPr>
                <w:sz w:val="24"/>
                <w:szCs w:val="24"/>
              </w:rPr>
              <w:t xml:space="preserve">This is not a new application but a change in RAG status. </w:t>
            </w:r>
          </w:p>
          <w:p w14:paraId="7885433F" w14:textId="77777777" w:rsidR="000C6493" w:rsidRPr="000C6493" w:rsidRDefault="000C6493" w:rsidP="000C6493">
            <w:pPr>
              <w:rPr>
                <w:sz w:val="24"/>
                <w:szCs w:val="24"/>
              </w:rPr>
            </w:pPr>
            <w:r w:rsidRPr="000C6493">
              <w:rPr>
                <w:sz w:val="24"/>
                <w:szCs w:val="24"/>
              </w:rPr>
              <w:t>The cost of the drug is the same within both primary and secondary care (Drug Tariff March 2025; 4 tablets = £55) so there will be no increase in spend to the system.</w:t>
            </w:r>
          </w:p>
          <w:p w14:paraId="281C4DF4" w14:textId="1F4E7436" w:rsidR="000C6493" w:rsidRPr="000C6493" w:rsidRDefault="000C6493" w:rsidP="000C6493">
            <w:pPr>
              <w:rPr>
                <w:sz w:val="24"/>
                <w:szCs w:val="24"/>
              </w:rPr>
            </w:pPr>
            <w:r w:rsidRPr="000C6493">
              <w:rPr>
                <w:sz w:val="24"/>
                <w:szCs w:val="24"/>
              </w:rPr>
              <w:t>At present the Red RAG status means that the patient needs to be referred into secondary care to access this treatment. It would be more appropriate for this to be available within primary care as this drug does not warrant specialist input. This change means that patients will receive more timely treatment and reduce unnecessary workload on dermatology departments.</w:t>
            </w:r>
          </w:p>
        </w:tc>
        <w:tc>
          <w:tcPr>
            <w:tcW w:w="1852" w:type="dxa"/>
            <w:shd w:val="clear" w:color="auto" w:fill="FFFFFF"/>
          </w:tcPr>
          <w:p w14:paraId="2761BD0C" w14:textId="7325B4A7" w:rsidR="000C6493" w:rsidRPr="000C6493" w:rsidRDefault="000C6493" w:rsidP="000C6493">
            <w:pPr>
              <w:rPr>
                <w:sz w:val="24"/>
                <w:szCs w:val="24"/>
              </w:rPr>
            </w:pPr>
            <w:r w:rsidRPr="000C6493">
              <w:rPr>
                <w:sz w:val="24"/>
                <w:szCs w:val="24"/>
              </w:rPr>
              <w:t>Approved</w:t>
            </w:r>
          </w:p>
        </w:tc>
      </w:tr>
      <w:tr w:rsidR="000C6493" w:rsidRPr="000C6493" w14:paraId="2ABF37AA" w14:textId="77777777" w:rsidTr="00B74ECB">
        <w:trPr>
          <w:cantSplit/>
          <w:trHeight w:val="548"/>
        </w:trPr>
        <w:tc>
          <w:tcPr>
            <w:tcW w:w="2830" w:type="dxa"/>
            <w:shd w:val="clear" w:color="auto" w:fill="auto"/>
          </w:tcPr>
          <w:p w14:paraId="1AF6A2C8" w14:textId="77777777" w:rsidR="000C6493" w:rsidRPr="000C6493" w:rsidRDefault="000C6493" w:rsidP="000C6493">
            <w:pPr>
              <w:tabs>
                <w:tab w:val="clear" w:pos="975"/>
              </w:tabs>
              <w:rPr>
                <w:b/>
                <w:bCs/>
                <w:sz w:val="24"/>
                <w:szCs w:val="24"/>
              </w:rPr>
            </w:pPr>
            <w:r w:rsidRPr="000C6493">
              <w:rPr>
                <w:b/>
                <w:bCs/>
                <w:sz w:val="24"/>
                <w:szCs w:val="24"/>
              </w:rPr>
              <w:lastRenderedPageBreak/>
              <w:t xml:space="preserve">Donepezil, galantamine, rivastigmine and memantine </w:t>
            </w:r>
            <w:r w:rsidRPr="000C6493">
              <w:rPr>
                <w:sz w:val="24"/>
                <w:szCs w:val="24"/>
              </w:rPr>
              <w:t>for management of dementia</w:t>
            </w:r>
            <w:r w:rsidRPr="000C6493">
              <w:rPr>
                <w:b/>
                <w:bCs/>
                <w:sz w:val="24"/>
                <w:szCs w:val="24"/>
              </w:rPr>
              <w:t> </w:t>
            </w:r>
          </w:p>
          <w:p w14:paraId="79FCCD1C" w14:textId="58B2519F" w:rsidR="000C6493" w:rsidRPr="000C6493" w:rsidRDefault="000C6493" w:rsidP="000C6493">
            <w:pPr>
              <w:tabs>
                <w:tab w:val="left" w:pos="720"/>
              </w:tabs>
              <w:rPr>
                <w:b/>
                <w:bCs/>
                <w:color w:val="000000"/>
                <w:sz w:val="24"/>
                <w:szCs w:val="24"/>
              </w:rPr>
            </w:pPr>
          </w:p>
        </w:tc>
        <w:tc>
          <w:tcPr>
            <w:tcW w:w="2835" w:type="dxa"/>
            <w:shd w:val="clear" w:color="auto" w:fill="auto"/>
          </w:tcPr>
          <w:p w14:paraId="2CE61466" w14:textId="77777777" w:rsidR="000C6493" w:rsidRPr="000C6493" w:rsidRDefault="000C6493" w:rsidP="004E0E20">
            <w:pPr>
              <w:shd w:val="clear" w:color="auto" w:fill="FFC000"/>
              <w:tabs>
                <w:tab w:val="clear" w:pos="975"/>
              </w:tabs>
              <w:rPr>
                <w:iCs/>
                <w:sz w:val="24"/>
                <w:szCs w:val="24"/>
              </w:rPr>
            </w:pPr>
            <w:r w:rsidRPr="000C6493">
              <w:rPr>
                <w:b/>
                <w:bCs/>
                <w:iCs/>
                <w:sz w:val="24"/>
                <w:szCs w:val="24"/>
              </w:rPr>
              <w:t>Amber Specialist Recommendation </w:t>
            </w:r>
            <w:r w:rsidRPr="000C6493">
              <w:rPr>
                <w:iCs/>
                <w:sz w:val="24"/>
                <w:szCs w:val="24"/>
              </w:rPr>
              <w:t> </w:t>
            </w:r>
          </w:p>
          <w:p w14:paraId="58C23478" w14:textId="11A951D8" w:rsidR="000C6493" w:rsidRPr="000C6493" w:rsidRDefault="000C6493" w:rsidP="000C6493">
            <w:pPr>
              <w:tabs>
                <w:tab w:val="clear" w:pos="975"/>
              </w:tabs>
              <w:ind w:left="20"/>
              <w:rPr>
                <w:iCs/>
                <w:sz w:val="24"/>
                <w:szCs w:val="24"/>
              </w:rPr>
            </w:pPr>
            <w:r w:rsidRPr="000C6493">
              <w:rPr>
                <w:iCs/>
                <w:sz w:val="24"/>
                <w:szCs w:val="24"/>
              </w:rPr>
              <w:t xml:space="preserve">In line with </w:t>
            </w:r>
            <w:hyperlink r:id="rId15" w:tgtFrame="_blank" w:history="1">
              <w:r w:rsidRPr="000C6493">
                <w:rPr>
                  <w:rStyle w:val="Hyperlink"/>
                  <w:rFonts w:cs="Arial"/>
                  <w:iCs/>
                  <w:sz w:val="24"/>
                  <w:szCs w:val="24"/>
                </w:rPr>
                <w:t>NICE NG 97 Dementia: assessment, management and support for people living with dementia and their carers | Guidance | NICE</w:t>
              </w:r>
            </w:hyperlink>
            <w:r w:rsidRPr="000C6493">
              <w:rPr>
                <w:iCs/>
                <w:sz w:val="24"/>
                <w:szCs w:val="24"/>
              </w:rPr>
              <w:t xml:space="preserve"> "For people with an established diagnosis of Alzheimer's disease who are already taking an </w:t>
            </w:r>
            <w:proofErr w:type="spellStart"/>
            <w:r w:rsidRPr="000C6493">
              <w:rPr>
                <w:iCs/>
                <w:sz w:val="24"/>
                <w:szCs w:val="24"/>
              </w:rPr>
              <w:t>AChE</w:t>
            </w:r>
            <w:proofErr w:type="spellEnd"/>
            <w:r w:rsidRPr="000C6493">
              <w:rPr>
                <w:iCs/>
                <w:sz w:val="24"/>
                <w:szCs w:val="24"/>
              </w:rPr>
              <w:t xml:space="preserve"> inhibitor, primary care prescribers may start treatment with memantine without taking advice from a specialist clinician.  </w:t>
            </w:r>
          </w:p>
        </w:tc>
        <w:tc>
          <w:tcPr>
            <w:tcW w:w="4395" w:type="dxa"/>
            <w:shd w:val="clear" w:color="auto" w:fill="auto"/>
          </w:tcPr>
          <w:p w14:paraId="50F832A7" w14:textId="00AE7733" w:rsidR="000C6493" w:rsidRPr="000C6493" w:rsidRDefault="000C6493" w:rsidP="000C6493">
            <w:pPr>
              <w:tabs>
                <w:tab w:val="clear" w:pos="975"/>
              </w:tabs>
              <w:ind w:left="20"/>
              <w:rPr>
                <w:rStyle w:val="eop"/>
                <w:sz w:val="24"/>
                <w:szCs w:val="24"/>
              </w:rPr>
            </w:pPr>
            <w:r w:rsidRPr="000C6493">
              <w:rPr>
                <w:rStyle w:val="normaltextrun"/>
                <w:sz w:val="24"/>
                <w:szCs w:val="24"/>
              </w:rPr>
              <w:t>These were previously Amber SCF in Humber and already Amber SR in NY&amp;Y</w:t>
            </w:r>
            <w:r w:rsidRPr="000C6493">
              <w:rPr>
                <w:rStyle w:val="eop"/>
                <w:sz w:val="24"/>
                <w:szCs w:val="24"/>
              </w:rPr>
              <w:t xml:space="preserve">. </w:t>
            </w:r>
            <w:r w:rsidR="004F69A4">
              <w:rPr>
                <w:iCs/>
                <w:sz w:val="24"/>
                <w:szCs w:val="24"/>
              </w:rPr>
              <w:t>A</w:t>
            </w:r>
            <w:r w:rsidR="004F69A4" w:rsidRPr="004F69A4">
              <w:rPr>
                <w:iCs/>
                <w:sz w:val="24"/>
                <w:szCs w:val="24"/>
              </w:rPr>
              <w:t xml:space="preserve"> specialist can be any clinician with a specialism and access to accurate diagnostic tests</w:t>
            </w:r>
            <w:r w:rsidR="004F69A4">
              <w:rPr>
                <w:iCs/>
                <w:sz w:val="24"/>
                <w:szCs w:val="24"/>
              </w:rPr>
              <w:t>.</w:t>
            </w:r>
          </w:p>
          <w:p w14:paraId="339C9DE0" w14:textId="77777777" w:rsidR="000C6493" w:rsidRDefault="000C6493" w:rsidP="000C6493">
            <w:pPr>
              <w:tabs>
                <w:tab w:val="clear" w:pos="975"/>
              </w:tabs>
              <w:ind w:left="20"/>
              <w:rPr>
                <w:iCs/>
                <w:sz w:val="24"/>
                <w:szCs w:val="24"/>
              </w:rPr>
            </w:pPr>
            <w:r w:rsidRPr="000C6493">
              <w:rPr>
                <w:iCs/>
                <w:sz w:val="24"/>
                <w:szCs w:val="24"/>
              </w:rPr>
              <w:t>This decision aligns the formulary status across HNY</w:t>
            </w:r>
          </w:p>
          <w:p w14:paraId="2D63CAF8" w14:textId="0B3162F8" w:rsidR="004F69A4" w:rsidRPr="000C6493" w:rsidRDefault="004F69A4" w:rsidP="000C6493">
            <w:pPr>
              <w:tabs>
                <w:tab w:val="clear" w:pos="975"/>
              </w:tabs>
              <w:ind w:left="20"/>
              <w:rPr>
                <w:iCs/>
                <w:sz w:val="24"/>
                <w:szCs w:val="24"/>
              </w:rPr>
            </w:pPr>
          </w:p>
        </w:tc>
        <w:tc>
          <w:tcPr>
            <w:tcW w:w="3969" w:type="dxa"/>
          </w:tcPr>
          <w:p w14:paraId="218C894A" w14:textId="77777777" w:rsidR="000C6493" w:rsidRPr="000C6493" w:rsidRDefault="000C6493" w:rsidP="000C6493">
            <w:pPr>
              <w:rPr>
                <w:rStyle w:val="eop"/>
                <w:sz w:val="24"/>
                <w:szCs w:val="24"/>
              </w:rPr>
            </w:pPr>
            <w:r w:rsidRPr="000C6493">
              <w:rPr>
                <w:rStyle w:val="normaltextrun"/>
                <w:sz w:val="24"/>
                <w:szCs w:val="24"/>
              </w:rPr>
              <w:t>In areas where these drugs were shared care, the funding will be used for those drugs that meet the criteria within the new enhanced service</w:t>
            </w:r>
            <w:r w:rsidRPr="000C6493">
              <w:rPr>
                <w:rStyle w:val="eop"/>
                <w:sz w:val="24"/>
                <w:szCs w:val="24"/>
              </w:rPr>
              <w:t>.</w:t>
            </w:r>
          </w:p>
          <w:p w14:paraId="686E4ABB" w14:textId="7F51E327" w:rsidR="000C6493" w:rsidRPr="000C6493" w:rsidRDefault="000C6493" w:rsidP="000C6493">
            <w:pPr>
              <w:rPr>
                <w:iCs/>
                <w:sz w:val="24"/>
                <w:szCs w:val="24"/>
              </w:rPr>
            </w:pPr>
            <w:r w:rsidRPr="000C6493">
              <w:rPr>
                <w:iCs/>
                <w:sz w:val="24"/>
                <w:szCs w:val="24"/>
              </w:rPr>
              <w:t xml:space="preserve">As part of the Local Enhanced Service (LES) review for General Practice – Medicines Related Shared Care, dementia drugs were reviewed and it was determined that these drugs did not meet the specified criteria to warrant inclusion. Monitoring of dementia is covered by </w:t>
            </w:r>
            <w:proofErr w:type="spellStart"/>
            <w:r w:rsidRPr="000C6493">
              <w:rPr>
                <w:iCs/>
                <w:sz w:val="24"/>
                <w:szCs w:val="24"/>
              </w:rPr>
              <w:t>QoF</w:t>
            </w:r>
            <w:proofErr w:type="spellEnd"/>
          </w:p>
        </w:tc>
        <w:tc>
          <w:tcPr>
            <w:tcW w:w="1852" w:type="dxa"/>
            <w:shd w:val="clear" w:color="auto" w:fill="FFFFFF"/>
          </w:tcPr>
          <w:p w14:paraId="303CE237" w14:textId="3E30EA1D" w:rsidR="000C6493" w:rsidRPr="000C6493" w:rsidRDefault="000C6493" w:rsidP="000C6493">
            <w:pPr>
              <w:rPr>
                <w:iCs/>
                <w:sz w:val="24"/>
                <w:szCs w:val="24"/>
              </w:rPr>
            </w:pPr>
            <w:r w:rsidRPr="000C6493">
              <w:rPr>
                <w:sz w:val="24"/>
                <w:szCs w:val="24"/>
              </w:rPr>
              <w:t>Approved</w:t>
            </w:r>
          </w:p>
        </w:tc>
      </w:tr>
      <w:tr w:rsidR="000C6493" w:rsidRPr="000C6493" w14:paraId="57D7F727" w14:textId="77777777" w:rsidTr="00B74ECB">
        <w:trPr>
          <w:cantSplit/>
          <w:trHeight w:val="548"/>
        </w:trPr>
        <w:tc>
          <w:tcPr>
            <w:tcW w:w="2830" w:type="dxa"/>
            <w:shd w:val="clear" w:color="auto" w:fill="auto"/>
          </w:tcPr>
          <w:p w14:paraId="15D19E03" w14:textId="77777777" w:rsidR="000C6493" w:rsidRPr="000C6493" w:rsidRDefault="000C6493" w:rsidP="000C6493">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lastRenderedPageBreak/>
              <w:t>Continuous Glucose Monitoring (CGM) devices:</w:t>
            </w:r>
            <w:r w:rsidRPr="000C6493">
              <w:rPr>
                <w:rStyle w:val="eop"/>
                <w:rFonts w:ascii="Arial" w:hAnsi="Arial" w:cs="Arial"/>
              </w:rPr>
              <w:t> </w:t>
            </w:r>
          </w:p>
          <w:p w14:paraId="25A795DC" w14:textId="77777777" w:rsidR="000C6493" w:rsidRPr="000C6493" w:rsidRDefault="000C6493" w:rsidP="000C6493">
            <w:pPr>
              <w:pStyle w:val="paragraph"/>
              <w:spacing w:before="60" w:beforeAutospacing="0" w:after="60" w:afterAutospacing="0"/>
              <w:textAlignment w:val="baseline"/>
              <w:rPr>
                <w:rFonts w:ascii="Arial" w:hAnsi="Arial" w:cs="Arial"/>
              </w:rPr>
            </w:pPr>
            <w:r w:rsidRPr="000C6493">
              <w:rPr>
                <w:rStyle w:val="eop"/>
                <w:rFonts w:ascii="Arial" w:hAnsi="Arial" w:cs="Arial"/>
              </w:rPr>
              <w:t> </w:t>
            </w:r>
            <w:r w:rsidRPr="000C6493">
              <w:rPr>
                <w:rStyle w:val="normaltextrun"/>
                <w:rFonts w:ascii="Arial" w:hAnsi="Arial" w:cs="Arial"/>
                <w:b/>
                <w:bCs/>
              </w:rPr>
              <w:t xml:space="preserve">Freestyle </w:t>
            </w:r>
            <w:proofErr w:type="spellStart"/>
            <w:r w:rsidRPr="000C6493">
              <w:rPr>
                <w:rStyle w:val="normaltextrun"/>
                <w:rFonts w:ascii="Arial" w:hAnsi="Arial" w:cs="Arial"/>
                <w:b/>
                <w:bCs/>
              </w:rPr>
              <w:t>Libre</w:t>
            </w:r>
            <w:proofErr w:type="spellEnd"/>
            <w:r w:rsidRPr="000C6493">
              <w:rPr>
                <w:rStyle w:val="normaltextrun"/>
                <w:rFonts w:ascii="Arial" w:hAnsi="Arial" w:cs="Arial"/>
                <w:b/>
                <w:bCs/>
              </w:rPr>
              <w:t xml:space="preserve"> 2</w:t>
            </w:r>
            <w:r w:rsidRPr="000C6493">
              <w:rPr>
                <w:rStyle w:val="eop"/>
                <w:rFonts w:ascii="Arial" w:hAnsi="Arial" w:cs="Arial"/>
              </w:rPr>
              <w:t xml:space="preserve"> and </w:t>
            </w:r>
            <w:r w:rsidRPr="000C6493">
              <w:rPr>
                <w:rStyle w:val="normaltextrun"/>
                <w:rFonts w:ascii="Arial" w:hAnsi="Arial" w:cs="Arial"/>
                <w:b/>
                <w:bCs/>
              </w:rPr>
              <w:t xml:space="preserve">Freestyle </w:t>
            </w:r>
            <w:proofErr w:type="spellStart"/>
            <w:r w:rsidRPr="000C6493">
              <w:rPr>
                <w:rStyle w:val="normaltextrun"/>
                <w:rFonts w:ascii="Arial" w:hAnsi="Arial" w:cs="Arial"/>
                <w:b/>
                <w:bCs/>
              </w:rPr>
              <w:t>Libre</w:t>
            </w:r>
            <w:proofErr w:type="spellEnd"/>
            <w:r w:rsidRPr="000C6493">
              <w:rPr>
                <w:rStyle w:val="normaltextrun"/>
                <w:rFonts w:ascii="Arial" w:hAnsi="Arial" w:cs="Arial"/>
                <w:b/>
                <w:bCs/>
              </w:rPr>
              <w:t xml:space="preserve"> 2+</w:t>
            </w:r>
          </w:p>
          <w:p w14:paraId="292CD850" w14:textId="77777777" w:rsidR="000C6493" w:rsidRPr="000C6493" w:rsidRDefault="000C6493" w:rsidP="000C6493">
            <w:pPr>
              <w:pStyle w:val="paragraph"/>
              <w:spacing w:before="60" w:beforeAutospacing="0" w:after="60" w:afterAutospacing="0"/>
              <w:textAlignment w:val="baseline"/>
              <w:rPr>
                <w:rFonts w:ascii="Arial" w:hAnsi="Arial" w:cs="Arial"/>
              </w:rPr>
            </w:pPr>
            <w:proofErr w:type="spellStart"/>
            <w:r w:rsidRPr="000C6493">
              <w:rPr>
                <w:rStyle w:val="normaltextrun"/>
                <w:rFonts w:ascii="Arial" w:hAnsi="Arial" w:cs="Arial"/>
                <w:b/>
                <w:bCs/>
              </w:rPr>
              <w:t>DexcomOne</w:t>
            </w:r>
            <w:proofErr w:type="spellEnd"/>
            <w:r w:rsidRPr="000C6493">
              <w:rPr>
                <w:rStyle w:val="normaltextrun"/>
                <w:rFonts w:ascii="Arial" w:hAnsi="Arial" w:cs="Arial"/>
                <w:b/>
                <w:bCs/>
              </w:rPr>
              <w:t xml:space="preserve"> and </w:t>
            </w:r>
            <w:proofErr w:type="spellStart"/>
            <w:r w:rsidRPr="000C6493">
              <w:rPr>
                <w:rStyle w:val="normaltextrun"/>
                <w:rFonts w:ascii="Arial" w:hAnsi="Arial" w:cs="Arial"/>
                <w:b/>
                <w:bCs/>
              </w:rPr>
              <w:t>DexcomOne</w:t>
            </w:r>
            <w:proofErr w:type="spellEnd"/>
            <w:r w:rsidRPr="000C6493">
              <w:rPr>
                <w:rStyle w:val="normaltextrun"/>
                <w:rFonts w:ascii="Arial" w:hAnsi="Arial" w:cs="Arial"/>
                <w:b/>
                <w:bCs/>
              </w:rPr>
              <w:t xml:space="preserve"> + </w:t>
            </w:r>
            <w:r w:rsidRPr="000C6493">
              <w:rPr>
                <w:rStyle w:val="eop"/>
                <w:rFonts w:ascii="Arial" w:hAnsi="Arial" w:cs="Arial"/>
              </w:rPr>
              <w:t> </w:t>
            </w:r>
          </w:p>
          <w:p w14:paraId="36952E4A" w14:textId="3873422A" w:rsidR="000C6493" w:rsidRPr="000C6493" w:rsidRDefault="000C6493" w:rsidP="000C6493">
            <w:pPr>
              <w:rPr>
                <w:sz w:val="24"/>
                <w:szCs w:val="24"/>
              </w:rPr>
            </w:pPr>
            <w:r w:rsidRPr="000C6493">
              <w:rPr>
                <w:rStyle w:val="normaltextrun"/>
                <w:sz w:val="24"/>
                <w:szCs w:val="24"/>
              </w:rPr>
              <w:t>for eligible insulin-treated type 2 diabetes patients in line with NICE NG28</w:t>
            </w:r>
            <w:r w:rsidRPr="000C6493">
              <w:rPr>
                <w:rStyle w:val="eop"/>
                <w:sz w:val="24"/>
                <w:szCs w:val="24"/>
              </w:rPr>
              <w:t> </w:t>
            </w:r>
          </w:p>
        </w:tc>
        <w:tc>
          <w:tcPr>
            <w:tcW w:w="2835" w:type="dxa"/>
            <w:shd w:val="clear" w:color="auto" w:fill="auto"/>
          </w:tcPr>
          <w:p w14:paraId="6A5A81C6" w14:textId="77777777" w:rsidR="000C6493" w:rsidRPr="000C6493" w:rsidRDefault="000C6493" w:rsidP="004E0E20">
            <w:pPr>
              <w:pStyle w:val="paragraph"/>
              <w:shd w:val="clear" w:color="auto" w:fill="00B050"/>
              <w:spacing w:before="60" w:beforeAutospacing="0" w:after="60" w:afterAutospacing="0"/>
              <w:textAlignment w:val="baseline"/>
              <w:rPr>
                <w:rFonts w:ascii="Arial" w:hAnsi="Arial" w:cs="Arial"/>
              </w:rPr>
            </w:pPr>
            <w:r w:rsidRPr="000C6493">
              <w:rPr>
                <w:rStyle w:val="normaltextrun"/>
                <w:rFonts w:ascii="Arial" w:hAnsi="Arial" w:cs="Arial"/>
                <w:b/>
                <w:bCs/>
              </w:rPr>
              <w:t>Green</w:t>
            </w:r>
            <w:r w:rsidRPr="000C6493">
              <w:rPr>
                <w:rStyle w:val="normaltextrun"/>
                <w:rFonts w:ascii="Arial" w:hAnsi="Arial" w:cs="Arial"/>
              </w:rPr>
              <w:t> </w:t>
            </w:r>
            <w:r w:rsidRPr="000C6493">
              <w:rPr>
                <w:rStyle w:val="eop"/>
                <w:rFonts w:ascii="Arial" w:hAnsi="Arial" w:cs="Arial"/>
              </w:rPr>
              <w:t> </w:t>
            </w:r>
          </w:p>
          <w:p w14:paraId="2D3170B5" w14:textId="77777777" w:rsidR="000C6493" w:rsidRPr="000C6493" w:rsidRDefault="000C6493" w:rsidP="000C6493">
            <w:pPr>
              <w:pStyle w:val="paragraph"/>
              <w:spacing w:before="60" w:beforeAutospacing="0" w:after="60" w:afterAutospacing="0"/>
              <w:textAlignment w:val="baseline"/>
              <w:rPr>
                <w:rFonts w:ascii="Arial" w:hAnsi="Arial" w:cs="Arial"/>
              </w:rPr>
            </w:pPr>
            <w:r w:rsidRPr="000C6493">
              <w:rPr>
                <w:rStyle w:val="normaltextrun"/>
                <w:rFonts w:ascii="Arial" w:hAnsi="Arial" w:cs="Arial"/>
              </w:rPr>
              <w:t xml:space="preserve">For T2DM patients who meet the criteria of NG28 </w:t>
            </w:r>
            <w:hyperlink r:id="rId16" w:tgtFrame="_blank" w:history="1">
              <w:r w:rsidRPr="000C6493">
                <w:rPr>
                  <w:rStyle w:val="normaltextrun"/>
                  <w:rFonts w:ascii="Arial" w:hAnsi="Arial" w:cs="Arial"/>
                  <w:color w:val="0000FF"/>
                  <w:u w:val="single"/>
                </w:rPr>
                <w:t>https://www.nice.org.uk/guidance/ng28/</w:t>
              </w:r>
            </w:hyperlink>
            <w:r w:rsidRPr="000C6493">
              <w:rPr>
                <w:rStyle w:val="normaltextrun"/>
                <w:rFonts w:ascii="Arial" w:hAnsi="Arial" w:cs="Arial"/>
              </w:rPr>
              <w:t>  </w:t>
            </w:r>
            <w:r w:rsidRPr="000C6493">
              <w:rPr>
                <w:rStyle w:val="eop"/>
                <w:rFonts w:ascii="Arial" w:hAnsi="Arial" w:cs="Arial"/>
              </w:rPr>
              <w:t> </w:t>
            </w:r>
          </w:p>
          <w:p w14:paraId="5CBD992F" w14:textId="77777777" w:rsidR="000C6493" w:rsidRPr="000C6493" w:rsidRDefault="000C6493" w:rsidP="000C6493">
            <w:pPr>
              <w:pStyle w:val="paragraph"/>
              <w:spacing w:before="60" w:beforeAutospacing="0" w:after="60" w:afterAutospacing="0"/>
              <w:textAlignment w:val="baseline"/>
              <w:rPr>
                <w:rFonts w:ascii="Arial" w:hAnsi="Arial" w:cs="Arial"/>
              </w:rPr>
            </w:pPr>
            <w:r w:rsidRPr="000C6493">
              <w:rPr>
                <w:rStyle w:val="normaltextrun"/>
                <w:rFonts w:ascii="Arial" w:hAnsi="Arial" w:cs="Arial"/>
              </w:rPr>
              <w:t>NICE NG 28: Type 2 diabetes in adults: management. Published: 02 December 2015. Last updated: 29 June 2022</w:t>
            </w:r>
            <w:r w:rsidRPr="000C6493">
              <w:rPr>
                <w:rStyle w:val="eop"/>
                <w:rFonts w:ascii="Arial" w:hAnsi="Arial" w:cs="Arial"/>
              </w:rPr>
              <w:t> </w:t>
            </w:r>
          </w:p>
          <w:p w14:paraId="70AA7A36" w14:textId="77777777" w:rsidR="000C6493" w:rsidRPr="000C6493" w:rsidRDefault="000C6493" w:rsidP="000C6493">
            <w:pPr>
              <w:pStyle w:val="paragraph"/>
              <w:spacing w:before="60" w:beforeAutospacing="0" w:after="60" w:afterAutospacing="0"/>
              <w:textAlignment w:val="baseline"/>
              <w:rPr>
                <w:rFonts w:ascii="Arial" w:hAnsi="Arial" w:cs="Arial"/>
              </w:rPr>
            </w:pPr>
            <w:r w:rsidRPr="000C6493">
              <w:rPr>
                <w:rStyle w:val="eop"/>
                <w:rFonts w:ascii="Arial" w:hAnsi="Arial" w:cs="Arial"/>
              </w:rPr>
              <w:t> </w:t>
            </w:r>
          </w:p>
          <w:p w14:paraId="141DA633" w14:textId="571F5729" w:rsidR="000C6493" w:rsidRPr="000C6493" w:rsidRDefault="000C6493" w:rsidP="000C6493">
            <w:pPr>
              <w:tabs>
                <w:tab w:val="clear" w:pos="975"/>
              </w:tabs>
              <w:ind w:left="20"/>
              <w:rPr>
                <w:iCs/>
                <w:sz w:val="24"/>
                <w:szCs w:val="24"/>
              </w:rPr>
            </w:pPr>
            <w:r w:rsidRPr="000C6493">
              <w:rPr>
                <w:rStyle w:val="normaltextrun"/>
                <w:sz w:val="24"/>
                <w:szCs w:val="24"/>
              </w:rPr>
              <w:t>(To remain Amber Specialist Initiation for other patient groups)</w:t>
            </w:r>
            <w:r w:rsidRPr="000C6493">
              <w:rPr>
                <w:rStyle w:val="eop"/>
                <w:sz w:val="24"/>
                <w:szCs w:val="24"/>
              </w:rPr>
              <w:t> </w:t>
            </w:r>
          </w:p>
        </w:tc>
        <w:tc>
          <w:tcPr>
            <w:tcW w:w="4395" w:type="dxa"/>
            <w:shd w:val="clear" w:color="auto" w:fill="auto"/>
          </w:tcPr>
          <w:p w14:paraId="507DB9C9" w14:textId="71C69D3A" w:rsidR="000C6493" w:rsidRPr="000C6493" w:rsidRDefault="000C6493" w:rsidP="000C6493">
            <w:pPr>
              <w:tabs>
                <w:tab w:val="clear" w:pos="975"/>
              </w:tabs>
              <w:ind w:left="20"/>
              <w:rPr>
                <w:rStyle w:val="normaltextrun"/>
                <w:sz w:val="24"/>
                <w:szCs w:val="24"/>
              </w:rPr>
            </w:pPr>
            <w:r w:rsidRPr="000C6493">
              <w:rPr>
                <w:rStyle w:val="normaltextrun"/>
                <w:sz w:val="24"/>
                <w:szCs w:val="24"/>
              </w:rPr>
              <w:t>To enable primary care to initiate CGM for eligible insulin-treated type 2 diabetes patients in line with NICE criteria and Local Enhanced Service (LES) for diabetes care.</w:t>
            </w:r>
            <w:r w:rsidRPr="000C6493">
              <w:rPr>
                <w:rStyle w:val="eop"/>
                <w:sz w:val="24"/>
                <w:szCs w:val="24"/>
              </w:rPr>
              <w:t> </w:t>
            </w:r>
          </w:p>
        </w:tc>
        <w:tc>
          <w:tcPr>
            <w:tcW w:w="3969" w:type="dxa"/>
          </w:tcPr>
          <w:p w14:paraId="194BECAB" w14:textId="77777777" w:rsidR="000C6493" w:rsidRPr="000C6493" w:rsidRDefault="000C6493" w:rsidP="000C6493">
            <w:pPr>
              <w:rPr>
                <w:sz w:val="24"/>
                <w:szCs w:val="24"/>
              </w:rPr>
            </w:pPr>
            <w:r w:rsidRPr="000C6493">
              <w:rPr>
                <w:sz w:val="24"/>
                <w:szCs w:val="24"/>
              </w:rPr>
              <w:t xml:space="preserve">The ICB already commission CGM in this patient group in line with NICE NG28 </w:t>
            </w:r>
            <w:hyperlink r:id="rId17" w:history="1">
              <w:r w:rsidRPr="000C6493">
                <w:rPr>
                  <w:rStyle w:val="Hyperlink"/>
                  <w:rFonts w:cs="Arial"/>
                  <w:sz w:val="24"/>
                  <w:szCs w:val="24"/>
                </w:rPr>
                <w:t>https://humberandnorthyorkshire.icb.nhs.uk/wp-content/uploads/2023/07/Continuous-Glucose-Monitoring-Policy-003.pdf</w:t>
              </w:r>
            </w:hyperlink>
            <w:r w:rsidRPr="000C6493">
              <w:rPr>
                <w:sz w:val="24"/>
                <w:szCs w:val="24"/>
              </w:rPr>
              <w:t>.</w:t>
            </w:r>
          </w:p>
          <w:p w14:paraId="024D23E6" w14:textId="4BD2BF26" w:rsidR="000C6493" w:rsidRPr="000C6493" w:rsidRDefault="000C6493" w:rsidP="000C6493">
            <w:pPr>
              <w:rPr>
                <w:sz w:val="24"/>
                <w:szCs w:val="24"/>
              </w:rPr>
            </w:pPr>
            <w:r w:rsidRPr="000C6493">
              <w:rPr>
                <w:sz w:val="24"/>
                <w:szCs w:val="24"/>
              </w:rPr>
              <w:t xml:space="preserve">The Local Enhanced Service (LES) for diabetes care aims to improve the management of Type 2 Diabetes within primary care settings, one optional module focuses on CGM.    </w:t>
            </w:r>
          </w:p>
        </w:tc>
        <w:tc>
          <w:tcPr>
            <w:tcW w:w="1852" w:type="dxa"/>
            <w:shd w:val="clear" w:color="auto" w:fill="FFFFFF"/>
          </w:tcPr>
          <w:p w14:paraId="6466D3CB" w14:textId="2589F099" w:rsidR="000C6493" w:rsidRPr="000C6493" w:rsidRDefault="000C6493" w:rsidP="000C6493">
            <w:pPr>
              <w:rPr>
                <w:iCs/>
                <w:sz w:val="24"/>
                <w:szCs w:val="24"/>
                <w:lang w:val="en-US"/>
              </w:rPr>
            </w:pPr>
            <w:r w:rsidRPr="000C6493">
              <w:rPr>
                <w:sz w:val="24"/>
                <w:szCs w:val="24"/>
              </w:rPr>
              <w:t>Approved</w:t>
            </w:r>
          </w:p>
        </w:tc>
      </w:tr>
      <w:tr w:rsidR="000C6493" w:rsidRPr="000C6493" w14:paraId="00AFBBAF" w14:textId="77777777" w:rsidTr="00B74ECB">
        <w:trPr>
          <w:cantSplit/>
          <w:trHeight w:val="548"/>
        </w:trPr>
        <w:tc>
          <w:tcPr>
            <w:tcW w:w="2830" w:type="dxa"/>
            <w:shd w:val="clear" w:color="auto" w:fill="auto"/>
          </w:tcPr>
          <w:p w14:paraId="2398BC1D" w14:textId="77777777" w:rsidR="000C6493" w:rsidRPr="000C6493" w:rsidRDefault="000C6493" w:rsidP="000C6493">
            <w:pPr>
              <w:tabs>
                <w:tab w:val="clear" w:pos="975"/>
              </w:tabs>
              <w:rPr>
                <w:b/>
                <w:bCs/>
                <w:sz w:val="24"/>
                <w:szCs w:val="24"/>
              </w:rPr>
            </w:pPr>
            <w:r w:rsidRPr="000C6493">
              <w:rPr>
                <w:b/>
                <w:bCs/>
                <w:sz w:val="24"/>
                <w:szCs w:val="24"/>
              </w:rPr>
              <w:t xml:space="preserve">Budesonide suppositories for acute ulcerative colitis limited to the rectum (ulcerative </w:t>
            </w:r>
            <w:proofErr w:type="spellStart"/>
            <w:r w:rsidRPr="000C6493">
              <w:rPr>
                <w:b/>
                <w:bCs/>
                <w:sz w:val="24"/>
                <w:szCs w:val="24"/>
              </w:rPr>
              <w:t>proctitis</w:t>
            </w:r>
            <w:proofErr w:type="spellEnd"/>
            <w:r w:rsidRPr="000C6493">
              <w:rPr>
                <w:b/>
                <w:bCs/>
                <w:sz w:val="24"/>
                <w:szCs w:val="24"/>
              </w:rPr>
              <w:t>)</w:t>
            </w:r>
          </w:p>
          <w:p w14:paraId="7E5EDD41" w14:textId="77777777" w:rsidR="000C6493" w:rsidRPr="000C6493" w:rsidRDefault="000C6493" w:rsidP="000C6493">
            <w:pPr>
              <w:pStyle w:val="paragraph"/>
              <w:spacing w:before="60" w:beforeAutospacing="0" w:after="60" w:afterAutospacing="0"/>
              <w:textAlignment w:val="baseline"/>
              <w:rPr>
                <w:rStyle w:val="normaltextrun"/>
                <w:rFonts w:ascii="Arial" w:hAnsi="Arial" w:cs="Arial"/>
                <w:b/>
                <w:bCs/>
              </w:rPr>
            </w:pPr>
          </w:p>
        </w:tc>
        <w:tc>
          <w:tcPr>
            <w:tcW w:w="2835" w:type="dxa"/>
            <w:shd w:val="clear" w:color="auto" w:fill="auto"/>
          </w:tcPr>
          <w:p w14:paraId="3575570A" w14:textId="77777777" w:rsidR="000C6493" w:rsidRPr="000C6493" w:rsidRDefault="000C6493" w:rsidP="000C6493">
            <w:pPr>
              <w:rPr>
                <w:rFonts w:eastAsia="Arial"/>
                <w:b/>
                <w:bCs/>
                <w:sz w:val="24"/>
                <w:szCs w:val="24"/>
              </w:rPr>
            </w:pPr>
            <w:r w:rsidRPr="000C6493">
              <w:rPr>
                <w:rFonts w:eastAsia="Arial"/>
                <w:b/>
                <w:bCs/>
                <w:sz w:val="24"/>
                <w:szCs w:val="24"/>
              </w:rPr>
              <w:t>Align formularies;</w:t>
            </w:r>
          </w:p>
          <w:p w14:paraId="7198DE71" w14:textId="77777777" w:rsidR="000C6493" w:rsidRPr="000C6493" w:rsidRDefault="000C6493" w:rsidP="004E0E20">
            <w:pPr>
              <w:pStyle w:val="ListParagraph"/>
              <w:numPr>
                <w:ilvl w:val="0"/>
                <w:numId w:val="18"/>
              </w:numPr>
              <w:shd w:val="clear" w:color="auto" w:fill="FFC000"/>
              <w:contextualSpacing w:val="0"/>
              <w:rPr>
                <w:rFonts w:eastAsia="Arial"/>
                <w:bCs/>
                <w:sz w:val="24"/>
                <w:szCs w:val="24"/>
              </w:rPr>
            </w:pPr>
            <w:r w:rsidRPr="000C6493">
              <w:rPr>
                <w:rFonts w:eastAsia="Arial"/>
                <w:bCs/>
                <w:sz w:val="24"/>
                <w:szCs w:val="24"/>
              </w:rPr>
              <w:t>Budesonide suppositories: Amber SR, first line</w:t>
            </w:r>
          </w:p>
          <w:p w14:paraId="109A7DA7" w14:textId="77777777" w:rsidR="000C6493" w:rsidRPr="000C6493" w:rsidRDefault="000C6493" w:rsidP="004E0E20">
            <w:pPr>
              <w:pStyle w:val="ListParagraph"/>
              <w:numPr>
                <w:ilvl w:val="0"/>
                <w:numId w:val="18"/>
              </w:numPr>
              <w:shd w:val="clear" w:color="auto" w:fill="FFC000"/>
              <w:contextualSpacing w:val="0"/>
              <w:rPr>
                <w:rFonts w:eastAsia="Arial"/>
                <w:sz w:val="24"/>
                <w:szCs w:val="24"/>
              </w:rPr>
            </w:pPr>
            <w:r w:rsidRPr="000C6493">
              <w:rPr>
                <w:rFonts w:eastAsia="Arial"/>
                <w:bCs/>
                <w:sz w:val="24"/>
                <w:szCs w:val="24"/>
              </w:rPr>
              <w:t>Prednisolone suppositories: Amber SR, second line</w:t>
            </w:r>
          </w:p>
          <w:p w14:paraId="185AFF8D" w14:textId="77777777" w:rsidR="000C6493" w:rsidRPr="000C6493" w:rsidRDefault="000C6493" w:rsidP="000C6493">
            <w:pPr>
              <w:pStyle w:val="paragraph"/>
              <w:spacing w:before="60" w:beforeAutospacing="0" w:after="60" w:afterAutospacing="0"/>
              <w:textAlignment w:val="baseline"/>
              <w:rPr>
                <w:rStyle w:val="normaltextrun"/>
                <w:rFonts w:ascii="Arial" w:hAnsi="Arial" w:cs="Arial"/>
                <w:b/>
                <w:bCs/>
              </w:rPr>
            </w:pPr>
          </w:p>
        </w:tc>
        <w:tc>
          <w:tcPr>
            <w:tcW w:w="4395" w:type="dxa"/>
            <w:shd w:val="clear" w:color="auto" w:fill="auto"/>
          </w:tcPr>
          <w:p w14:paraId="11D33907" w14:textId="77777777" w:rsidR="000C6493" w:rsidRPr="000C6493" w:rsidRDefault="000C6493" w:rsidP="000C6493">
            <w:pPr>
              <w:tabs>
                <w:tab w:val="clear" w:pos="975"/>
              </w:tabs>
              <w:rPr>
                <w:sz w:val="24"/>
                <w:szCs w:val="24"/>
              </w:rPr>
            </w:pPr>
            <w:r w:rsidRPr="000C6493">
              <w:rPr>
                <w:sz w:val="24"/>
                <w:szCs w:val="24"/>
              </w:rPr>
              <w:t>This formulary application is to add budesonide 4mg suppositories to formulary as an alternative to 5mg prednisolone suppositories (where a suppository formulation is the most appropriate treatment option.)</w:t>
            </w:r>
          </w:p>
          <w:p w14:paraId="6F3F6E59" w14:textId="77777777" w:rsidR="000C6493" w:rsidRPr="000C6493" w:rsidRDefault="000C6493" w:rsidP="000C6493">
            <w:pPr>
              <w:rPr>
                <w:sz w:val="24"/>
                <w:szCs w:val="24"/>
              </w:rPr>
            </w:pPr>
            <w:r w:rsidRPr="000C6493">
              <w:rPr>
                <w:sz w:val="24"/>
                <w:szCs w:val="24"/>
              </w:rPr>
              <w:t xml:space="preserve">Prednisolone 5mg suppositories are used twice a day, using a suppository in the morning can be impractical for patients. </w:t>
            </w:r>
          </w:p>
          <w:p w14:paraId="760A7E4A" w14:textId="6F793DFF" w:rsidR="000C6493" w:rsidRPr="000C6493" w:rsidRDefault="000C6493" w:rsidP="000C6493">
            <w:pPr>
              <w:tabs>
                <w:tab w:val="clear" w:pos="975"/>
              </w:tabs>
              <w:ind w:left="20"/>
              <w:rPr>
                <w:rStyle w:val="normaltextrun"/>
                <w:sz w:val="24"/>
                <w:szCs w:val="24"/>
              </w:rPr>
            </w:pPr>
            <w:r w:rsidRPr="000C6493">
              <w:rPr>
                <w:sz w:val="24"/>
                <w:szCs w:val="24"/>
              </w:rPr>
              <w:t>Budesonide 4mg suppositories are licensed to be used once daily (at night) are more acceptable for patients.</w:t>
            </w:r>
          </w:p>
        </w:tc>
        <w:tc>
          <w:tcPr>
            <w:tcW w:w="3969" w:type="dxa"/>
          </w:tcPr>
          <w:p w14:paraId="194C4E9C" w14:textId="77777777" w:rsidR="000C6493" w:rsidRPr="000C6493" w:rsidRDefault="000C6493" w:rsidP="000C6493">
            <w:pPr>
              <w:tabs>
                <w:tab w:val="clear" w:pos="975"/>
              </w:tabs>
              <w:rPr>
                <w:sz w:val="24"/>
                <w:szCs w:val="24"/>
              </w:rPr>
            </w:pPr>
            <w:r w:rsidRPr="000C6493">
              <w:rPr>
                <w:sz w:val="24"/>
                <w:szCs w:val="24"/>
              </w:rPr>
              <w:t>Cost saving;</w:t>
            </w:r>
          </w:p>
          <w:p w14:paraId="1F706A99" w14:textId="77777777" w:rsidR="000C6493" w:rsidRPr="000C6493" w:rsidRDefault="000C6493" w:rsidP="000C6493">
            <w:pPr>
              <w:tabs>
                <w:tab w:val="clear" w:pos="975"/>
              </w:tabs>
              <w:rPr>
                <w:sz w:val="24"/>
                <w:szCs w:val="24"/>
              </w:rPr>
            </w:pPr>
            <w:r w:rsidRPr="000C6493">
              <w:rPr>
                <w:sz w:val="24"/>
                <w:szCs w:val="24"/>
              </w:rPr>
              <w:t>Prednisolone 5mg suppositories are used twice a day, costing £50.27 / day.</w:t>
            </w:r>
          </w:p>
          <w:p w14:paraId="36B644B4" w14:textId="77777777" w:rsidR="000C6493" w:rsidRPr="000C6493" w:rsidRDefault="000C6493" w:rsidP="000C6493">
            <w:pPr>
              <w:tabs>
                <w:tab w:val="clear" w:pos="975"/>
              </w:tabs>
              <w:rPr>
                <w:sz w:val="24"/>
                <w:szCs w:val="24"/>
              </w:rPr>
            </w:pPr>
            <w:r w:rsidRPr="000C6493">
              <w:rPr>
                <w:sz w:val="24"/>
                <w:szCs w:val="24"/>
              </w:rPr>
              <w:t>Budesonide 4mg suppositories are licensed to be used once daily and cost £6.60 / day.</w:t>
            </w:r>
          </w:p>
          <w:p w14:paraId="0B9BD452" w14:textId="77777777" w:rsidR="000C6493" w:rsidRPr="000C6493" w:rsidRDefault="000C6493" w:rsidP="000C6493">
            <w:pPr>
              <w:rPr>
                <w:sz w:val="24"/>
                <w:szCs w:val="24"/>
              </w:rPr>
            </w:pPr>
          </w:p>
        </w:tc>
        <w:tc>
          <w:tcPr>
            <w:tcW w:w="1852" w:type="dxa"/>
            <w:shd w:val="clear" w:color="auto" w:fill="FFFFFF"/>
          </w:tcPr>
          <w:p w14:paraId="742D15F1" w14:textId="2577DE5A" w:rsidR="000C6493" w:rsidRPr="000C6493" w:rsidRDefault="000C6493" w:rsidP="000C6493">
            <w:pPr>
              <w:rPr>
                <w:sz w:val="24"/>
                <w:szCs w:val="24"/>
              </w:rPr>
            </w:pPr>
            <w:r w:rsidRPr="000C6493">
              <w:rPr>
                <w:sz w:val="24"/>
                <w:szCs w:val="24"/>
              </w:rPr>
              <w:t>Approved</w:t>
            </w:r>
          </w:p>
        </w:tc>
      </w:tr>
      <w:tr w:rsidR="004F69A4" w:rsidRPr="000C6493" w14:paraId="335862BD" w14:textId="77777777" w:rsidTr="00B74ECB">
        <w:trPr>
          <w:cantSplit/>
          <w:trHeight w:val="548"/>
        </w:trPr>
        <w:tc>
          <w:tcPr>
            <w:tcW w:w="2830" w:type="dxa"/>
            <w:shd w:val="clear" w:color="auto" w:fill="auto"/>
          </w:tcPr>
          <w:p w14:paraId="2BF28185" w14:textId="77777777" w:rsidR="004F69A4" w:rsidRDefault="004F69A4" w:rsidP="000C6493">
            <w:pPr>
              <w:tabs>
                <w:tab w:val="clear" w:pos="975"/>
              </w:tabs>
              <w:rPr>
                <w:sz w:val="24"/>
                <w:szCs w:val="24"/>
              </w:rPr>
            </w:pPr>
            <w:r>
              <w:rPr>
                <w:b/>
                <w:bCs/>
                <w:sz w:val="24"/>
                <w:szCs w:val="24"/>
              </w:rPr>
              <w:lastRenderedPageBreak/>
              <w:t xml:space="preserve">HNY asthma pathways </w:t>
            </w:r>
            <w:r w:rsidRPr="004F69A4">
              <w:rPr>
                <w:sz w:val="24"/>
                <w:szCs w:val="24"/>
              </w:rPr>
              <w:t xml:space="preserve">for </w:t>
            </w:r>
            <w:r>
              <w:rPr>
                <w:sz w:val="24"/>
                <w:szCs w:val="24"/>
              </w:rPr>
              <w:t xml:space="preserve">2-5 year olds, 5-11 year olds, and 11 years &amp; over. </w:t>
            </w:r>
          </w:p>
          <w:p w14:paraId="1DA9CCD7" w14:textId="65BA764E" w:rsidR="004F69A4" w:rsidRPr="004F69A4" w:rsidRDefault="004F69A4" w:rsidP="000C6493">
            <w:pPr>
              <w:tabs>
                <w:tab w:val="clear" w:pos="975"/>
              </w:tabs>
              <w:rPr>
                <w:b/>
                <w:bCs/>
                <w:sz w:val="24"/>
                <w:szCs w:val="24"/>
              </w:rPr>
            </w:pPr>
          </w:p>
        </w:tc>
        <w:tc>
          <w:tcPr>
            <w:tcW w:w="2835" w:type="dxa"/>
            <w:shd w:val="clear" w:color="auto" w:fill="auto"/>
          </w:tcPr>
          <w:p w14:paraId="16240B55" w14:textId="7F0D0701" w:rsidR="004F69A4" w:rsidRPr="00000614" w:rsidRDefault="00000614" w:rsidP="000C6493">
            <w:pPr>
              <w:rPr>
                <w:rFonts w:eastAsia="Arial"/>
                <w:sz w:val="24"/>
                <w:szCs w:val="24"/>
              </w:rPr>
            </w:pPr>
            <w:r>
              <w:rPr>
                <w:rFonts w:eastAsia="Arial"/>
                <w:sz w:val="24"/>
                <w:szCs w:val="24"/>
              </w:rPr>
              <w:t xml:space="preserve">Published pathways available at </w:t>
            </w:r>
            <w:hyperlink r:id="rId18" w:history="1">
              <w:r w:rsidRPr="00B83DC7">
                <w:rPr>
                  <w:rStyle w:val="Hyperlink"/>
                  <w:rFonts w:eastAsia="Arial" w:cs="Arial"/>
                  <w:sz w:val="24"/>
                  <w:szCs w:val="24"/>
                </w:rPr>
                <w:t>https://humberandnorthyorkshire.org.uk/locations/high-quality-asthma-care/</w:t>
              </w:r>
            </w:hyperlink>
            <w:r>
              <w:rPr>
                <w:rFonts w:eastAsia="Arial"/>
                <w:sz w:val="24"/>
                <w:szCs w:val="24"/>
              </w:rPr>
              <w:t xml:space="preserve">. </w:t>
            </w:r>
          </w:p>
        </w:tc>
        <w:tc>
          <w:tcPr>
            <w:tcW w:w="4395" w:type="dxa"/>
            <w:shd w:val="clear" w:color="auto" w:fill="auto"/>
          </w:tcPr>
          <w:p w14:paraId="543ADF4C" w14:textId="77777777" w:rsidR="004F69A4" w:rsidRDefault="00000614" w:rsidP="000C6493">
            <w:pPr>
              <w:tabs>
                <w:tab w:val="clear" w:pos="975"/>
              </w:tabs>
              <w:rPr>
                <w:sz w:val="24"/>
                <w:szCs w:val="24"/>
              </w:rPr>
            </w:pPr>
            <w:r w:rsidRPr="00000614">
              <w:rPr>
                <w:sz w:val="24"/>
                <w:szCs w:val="24"/>
              </w:rPr>
              <w:t>The asthma guidelines for children and adults have been updated to align with the recently updated NICE guidelines.</w:t>
            </w:r>
          </w:p>
          <w:p w14:paraId="7FD36A55" w14:textId="1393E545" w:rsidR="00000614" w:rsidRPr="000C6493" w:rsidRDefault="00000614" w:rsidP="000C6493">
            <w:pPr>
              <w:tabs>
                <w:tab w:val="clear" w:pos="975"/>
              </w:tabs>
              <w:rPr>
                <w:sz w:val="24"/>
                <w:szCs w:val="24"/>
              </w:rPr>
            </w:pPr>
            <w:r w:rsidRPr="00000614">
              <w:rPr>
                <w:sz w:val="24"/>
                <w:szCs w:val="24"/>
              </w:rPr>
              <w:t>The guidelines have been developed in collaboration with clinicians from primary, secondary and community care across HNY, in addition to ICB Programme Managers.</w:t>
            </w:r>
          </w:p>
        </w:tc>
        <w:tc>
          <w:tcPr>
            <w:tcW w:w="3969" w:type="dxa"/>
          </w:tcPr>
          <w:p w14:paraId="6CA33065" w14:textId="300ED520" w:rsidR="004F69A4" w:rsidRPr="000C6493" w:rsidRDefault="00000614" w:rsidP="000C6493">
            <w:pPr>
              <w:tabs>
                <w:tab w:val="clear" w:pos="975"/>
              </w:tabs>
              <w:rPr>
                <w:sz w:val="24"/>
                <w:szCs w:val="24"/>
              </w:rPr>
            </w:pPr>
            <w:r w:rsidRPr="00000614">
              <w:rPr>
                <w:sz w:val="24"/>
                <w:szCs w:val="24"/>
              </w:rPr>
              <w:t>Long-term savings expected through optimisation of treatment, which is anticipated to reduce exacerbations and healthcare resource utilisation. The revised guideline is fully aligned with the recently published BTS, NICE, SIGN guideline, development of which included former health economic assessment.</w:t>
            </w:r>
          </w:p>
        </w:tc>
        <w:tc>
          <w:tcPr>
            <w:tcW w:w="1852" w:type="dxa"/>
            <w:shd w:val="clear" w:color="auto" w:fill="FFFFFF"/>
          </w:tcPr>
          <w:p w14:paraId="4B8473B9" w14:textId="38BAA51D" w:rsidR="004F69A4" w:rsidRPr="000C6493" w:rsidRDefault="004F69A4" w:rsidP="000C6493">
            <w:pPr>
              <w:rPr>
                <w:sz w:val="24"/>
                <w:szCs w:val="24"/>
              </w:rPr>
            </w:pPr>
            <w:r>
              <w:rPr>
                <w:sz w:val="24"/>
                <w:szCs w:val="24"/>
              </w:rPr>
              <w:t>Approved</w:t>
            </w:r>
          </w:p>
        </w:tc>
      </w:tr>
    </w:tbl>
    <w:p w14:paraId="1F08B6E3" w14:textId="77777777" w:rsidR="00000614" w:rsidRDefault="00000614">
      <w:pPr>
        <w:tabs>
          <w:tab w:val="clear" w:pos="975"/>
        </w:tabs>
        <w:spacing w:before="0" w:after="0"/>
        <w:rPr>
          <w:sz w:val="20"/>
          <w:lang w:val="en-US" w:eastAsia="ja-JP"/>
        </w:rPr>
      </w:pPr>
    </w:p>
    <w:p w14:paraId="5BBCEA6B"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headerReference w:type="even" r:id="rId19"/>
          <w:headerReference w:type="default" r:id="rId20"/>
          <w:footerReference w:type="even" r:id="rId21"/>
          <w:headerReference w:type="first" r:id="rId22"/>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685"/>
        <w:gridCol w:w="3402"/>
        <w:gridCol w:w="3937"/>
        <w:gridCol w:w="8"/>
        <w:gridCol w:w="6"/>
        <w:gridCol w:w="2154"/>
      </w:tblGrid>
      <w:tr w:rsidR="00D37628" w:rsidRPr="000C6493" w14:paraId="0360D02E" w14:textId="77777777" w:rsidTr="00D37628">
        <w:trPr>
          <w:cantSplit/>
          <w:trHeight w:val="548"/>
          <w:tblHeader/>
        </w:trPr>
        <w:tc>
          <w:tcPr>
            <w:tcW w:w="2689" w:type="dxa"/>
            <w:tcBorders>
              <w:bottom w:val="single" w:sz="4" w:space="0" w:color="auto"/>
            </w:tcBorders>
            <w:shd w:val="clear" w:color="auto" w:fill="B6DDE8"/>
          </w:tcPr>
          <w:p w14:paraId="4FE4577D" w14:textId="77777777" w:rsidR="00D37628" w:rsidRPr="000C6493" w:rsidRDefault="00D37628" w:rsidP="00D37628">
            <w:pPr>
              <w:tabs>
                <w:tab w:val="clear" w:pos="975"/>
              </w:tabs>
              <w:rPr>
                <w:rFonts w:eastAsia="Calibri"/>
                <w:b/>
                <w:sz w:val="24"/>
                <w:szCs w:val="24"/>
              </w:rPr>
            </w:pPr>
            <w:r w:rsidRPr="000C6493">
              <w:rPr>
                <w:rFonts w:eastAsia="Calibri"/>
                <w:b/>
                <w:sz w:val="24"/>
                <w:szCs w:val="24"/>
              </w:rPr>
              <w:t xml:space="preserve">Drug and indication </w:t>
            </w:r>
          </w:p>
        </w:tc>
        <w:tc>
          <w:tcPr>
            <w:tcW w:w="3685" w:type="dxa"/>
            <w:tcBorders>
              <w:bottom w:val="single" w:sz="4" w:space="0" w:color="auto"/>
            </w:tcBorders>
            <w:shd w:val="clear" w:color="auto" w:fill="B6DDE8"/>
          </w:tcPr>
          <w:p w14:paraId="05FD2BD5" w14:textId="77777777" w:rsidR="00D37628" w:rsidRPr="000C6493" w:rsidRDefault="00D37628" w:rsidP="00D37628">
            <w:pPr>
              <w:tabs>
                <w:tab w:val="clear" w:pos="975"/>
              </w:tabs>
              <w:rPr>
                <w:rFonts w:eastAsia="Calibri"/>
                <w:b/>
                <w:sz w:val="24"/>
                <w:szCs w:val="24"/>
              </w:rPr>
            </w:pPr>
            <w:r w:rsidRPr="000C6493">
              <w:rPr>
                <w:rFonts w:eastAsia="Calibri"/>
                <w:b/>
                <w:sz w:val="24"/>
                <w:szCs w:val="24"/>
              </w:rPr>
              <w:t>Status and formulary position assigned</w:t>
            </w:r>
          </w:p>
        </w:tc>
        <w:tc>
          <w:tcPr>
            <w:tcW w:w="3402" w:type="dxa"/>
            <w:tcBorders>
              <w:bottom w:val="single" w:sz="4" w:space="0" w:color="auto"/>
            </w:tcBorders>
            <w:shd w:val="clear" w:color="auto" w:fill="B6DDE8"/>
          </w:tcPr>
          <w:p w14:paraId="5C87408D" w14:textId="77777777" w:rsidR="00D37628" w:rsidRPr="000C6493" w:rsidRDefault="00D37628" w:rsidP="00D37628">
            <w:pPr>
              <w:tabs>
                <w:tab w:val="clear" w:pos="975"/>
              </w:tabs>
              <w:rPr>
                <w:rFonts w:eastAsia="Calibri"/>
                <w:b/>
                <w:sz w:val="24"/>
                <w:szCs w:val="24"/>
              </w:rPr>
            </w:pPr>
            <w:r w:rsidRPr="000C6493">
              <w:rPr>
                <w:rFonts w:eastAsia="Calibri"/>
                <w:b/>
                <w:sz w:val="24"/>
                <w:szCs w:val="24"/>
              </w:rPr>
              <w:t>Notes on decision</w:t>
            </w:r>
          </w:p>
        </w:tc>
        <w:tc>
          <w:tcPr>
            <w:tcW w:w="3945" w:type="dxa"/>
            <w:gridSpan w:val="2"/>
            <w:tcBorders>
              <w:bottom w:val="single" w:sz="4" w:space="0" w:color="auto"/>
            </w:tcBorders>
            <w:shd w:val="clear" w:color="auto" w:fill="B6DDE8"/>
          </w:tcPr>
          <w:p w14:paraId="4BC44793" w14:textId="77777777" w:rsidR="00D37628" w:rsidRPr="000C6493" w:rsidRDefault="00D37628" w:rsidP="00D37628">
            <w:pPr>
              <w:tabs>
                <w:tab w:val="clear" w:pos="975"/>
              </w:tabs>
              <w:rPr>
                <w:rFonts w:eastAsia="Calibri"/>
                <w:b/>
                <w:sz w:val="24"/>
                <w:szCs w:val="24"/>
              </w:rPr>
            </w:pPr>
            <w:r w:rsidRPr="000C6493">
              <w:rPr>
                <w:rFonts w:eastAsia="Calibri"/>
                <w:b/>
                <w:sz w:val="24"/>
                <w:szCs w:val="24"/>
              </w:rPr>
              <w:t>Cost impact and commissioning / service implications</w:t>
            </w:r>
          </w:p>
        </w:tc>
        <w:tc>
          <w:tcPr>
            <w:tcW w:w="2160" w:type="dxa"/>
            <w:gridSpan w:val="2"/>
            <w:tcBorders>
              <w:bottom w:val="single" w:sz="4" w:space="0" w:color="auto"/>
            </w:tcBorders>
            <w:shd w:val="clear" w:color="auto" w:fill="B6DDE8"/>
          </w:tcPr>
          <w:p w14:paraId="43FAB0E3" w14:textId="107AD7DC" w:rsidR="00D37628" w:rsidRPr="000C6493" w:rsidRDefault="00D37628" w:rsidP="00D37628">
            <w:pPr>
              <w:tabs>
                <w:tab w:val="clear" w:pos="975"/>
              </w:tabs>
              <w:rPr>
                <w:rFonts w:eastAsia="Calibri"/>
                <w:b/>
                <w:sz w:val="24"/>
                <w:szCs w:val="24"/>
              </w:rPr>
            </w:pPr>
            <w:r w:rsidRPr="000C6493">
              <w:rPr>
                <w:rFonts w:eastAsia="Calibri"/>
                <w:b/>
                <w:sz w:val="24"/>
                <w:szCs w:val="24"/>
              </w:rPr>
              <w:t>APC decision</w:t>
            </w:r>
          </w:p>
        </w:tc>
      </w:tr>
      <w:tr w:rsidR="000C6493" w:rsidRPr="000C6493" w14:paraId="42F2182E" w14:textId="77777777" w:rsidTr="000C6493">
        <w:trPr>
          <w:cantSplit/>
          <w:trHeight w:val="548"/>
        </w:trPr>
        <w:tc>
          <w:tcPr>
            <w:tcW w:w="2689" w:type="dxa"/>
            <w:shd w:val="clear" w:color="auto" w:fill="auto"/>
          </w:tcPr>
          <w:p w14:paraId="7830D843" w14:textId="77777777" w:rsidR="000C6493" w:rsidRPr="000C6493" w:rsidRDefault="000C6493" w:rsidP="009733C4">
            <w:pPr>
              <w:pStyle w:val="paragraph"/>
              <w:spacing w:before="60" w:beforeAutospacing="0" w:after="60" w:afterAutospacing="0"/>
              <w:textAlignment w:val="baseline"/>
              <w:rPr>
                <w:rFonts w:ascii="Arial" w:hAnsi="Arial" w:cs="Arial"/>
              </w:rPr>
            </w:pPr>
            <w:proofErr w:type="spellStart"/>
            <w:r w:rsidRPr="000C6493">
              <w:rPr>
                <w:rStyle w:val="normaltextrun"/>
                <w:rFonts w:ascii="Arial" w:hAnsi="Arial" w:cs="Arial"/>
                <w:b/>
                <w:bCs/>
              </w:rPr>
              <w:t>Fusidic</w:t>
            </w:r>
            <w:proofErr w:type="spellEnd"/>
            <w:r w:rsidRPr="000C6493">
              <w:rPr>
                <w:rStyle w:val="normaltextrun"/>
                <w:rFonts w:ascii="Arial" w:hAnsi="Arial" w:cs="Arial"/>
                <w:b/>
                <w:bCs/>
              </w:rPr>
              <w:t xml:space="preserve"> 2% acid cream (</w:t>
            </w:r>
            <w:proofErr w:type="spellStart"/>
            <w:r w:rsidRPr="000C6493">
              <w:rPr>
                <w:rStyle w:val="normaltextrun"/>
                <w:rFonts w:ascii="Arial" w:hAnsi="Arial" w:cs="Arial"/>
                <w:b/>
                <w:bCs/>
              </w:rPr>
              <w:t>Fucidin</w:t>
            </w:r>
            <w:proofErr w:type="spellEnd"/>
            <w:r w:rsidRPr="000C6493">
              <w:rPr>
                <w:rStyle w:val="normaltextrun"/>
                <w:rFonts w:ascii="Arial" w:hAnsi="Arial" w:cs="Arial"/>
                <w:b/>
                <w:bCs/>
                <w:vertAlign w:val="superscript"/>
              </w:rPr>
              <w:t>®</w:t>
            </w:r>
            <w:r w:rsidRPr="000C6493">
              <w:rPr>
                <w:rStyle w:val="normaltextrun"/>
                <w:rFonts w:ascii="Arial" w:hAnsi="Arial" w:cs="Arial"/>
                <w:b/>
                <w:bCs/>
              </w:rPr>
              <w:t>) </w:t>
            </w:r>
            <w:r w:rsidRPr="000C6493">
              <w:rPr>
                <w:rStyle w:val="eop"/>
                <w:rFonts w:ascii="Arial" w:hAnsi="Arial" w:cs="Arial"/>
              </w:rPr>
              <w:t> </w:t>
            </w:r>
          </w:p>
          <w:p w14:paraId="04E571E9" w14:textId="77777777" w:rsidR="000C6493" w:rsidRPr="000C6493" w:rsidRDefault="000C6493" w:rsidP="009733C4">
            <w:pPr>
              <w:tabs>
                <w:tab w:val="clear" w:pos="975"/>
              </w:tabs>
              <w:rPr>
                <w:b/>
                <w:bCs/>
                <w:sz w:val="24"/>
                <w:szCs w:val="24"/>
              </w:rPr>
            </w:pPr>
            <w:r w:rsidRPr="000C6493">
              <w:rPr>
                <w:rStyle w:val="normaltextrun"/>
                <w:b/>
                <w:bCs/>
                <w:sz w:val="24"/>
                <w:szCs w:val="24"/>
              </w:rPr>
              <w:t>For impetigo</w:t>
            </w:r>
            <w:r w:rsidRPr="000C6493">
              <w:rPr>
                <w:rStyle w:val="eop"/>
                <w:sz w:val="24"/>
                <w:szCs w:val="24"/>
              </w:rPr>
              <w:t> </w:t>
            </w:r>
          </w:p>
        </w:tc>
        <w:tc>
          <w:tcPr>
            <w:tcW w:w="3685" w:type="dxa"/>
            <w:shd w:val="clear" w:color="auto" w:fill="auto"/>
          </w:tcPr>
          <w:p w14:paraId="714FBCF3" w14:textId="77777777" w:rsidR="000C6493" w:rsidRPr="000C6493" w:rsidRDefault="000C6493" w:rsidP="004E0E20">
            <w:pPr>
              <w:pStyle w:val="paragraph"/>
              <w:shd w:val="clear" w:color="auto" w:fill="00B050"/>
              <w:spacing w:before="60" w:beforeAutospacing="0" w:after="60" w:afterAutospacing="0"/>
              <w:textAlignment w:val="baseline"/>
              <w:rPr>
                <w:rFonts w:ascii="Arial" w:hAnsi="Arial" w:cs="Arial"/>
              </w:rPr>
            </w:pPr>
            <w:r w:rsidRPr="000C6493">
              <w:rPr>
                <w:rStyle w:val="normaltextrun"/>
                <w:rFonts w:ascii="Arial" w:hAnsi="Arial" w:cs="Arial"/>
                <w:b/>
                <w:bCs/>
              </w:rPr>
              <w:t>Green with guideline </w:t>
            </w:r>
            <w:r w:rsidRPr="000C6493">
              <w:rPr>
                <w:rStyle w:val="eop"/>
                <w:rFonts w:ascii="Arial" w:hAnsi="Arial" w:cs="Arial"/>
              </w:rPr>
              <w:t> </w:t>
            </w:r>
          </w:p>
          <w:p w14:paraId="1B10B728" w14:textId="77777777" w:rsidR="000C6493" w:rsidRPr="000C6493" w:rsidRDefault="000C6493" w:rsidP="009733C4">
            <w:pPr>
              <w:tabs>
                <w:tab w:val="clear" w:pos="975"/>
              </w:tabs>
              <w:ind w:left="20"/>
              <w:rPr>
                <w:iCs/>
                <w:sz w:val="24"/>
                <w:szCs w:val="24"/>
              </w:rPr>
            </w:pPr>
            <w:r w:rsidRPr="000C6493">
              <w:rPr>
                <w:rStyle w:val="normaltextrun"/>
                <w:sz w:val="24"/>
                <w:szCs w:val="24"/>
              </w:rPr>
              <w:t xml:space="preserve">PCDS </w:t>
            </w:r>
            <w:hyperlink r:id="rId23" w:tgtFrame="_blank" w:history="1">
              <w:r w:rsidRPr="000C6493">
                <w:rPr>
                  <w:rStyle w:val="normaltextrun"/>
                  <w:color w:val="0000FF"/>
                  <w:sz w:val="24"/>
                  <w:szCs w:val="24"/>
                  <w:u w:val="single"/>
                </w:rPr>
                <w:t>Impetigo</w:t>
              </w:r>
            </w:hyperlink>
            <w:r w:rsidRPr="000C6493">
              <w:rPr>
                <w:rStyle w:val="normaltextrun"/>
                <w:sz w:val="24"/>
                <w:szCs w:val="24"/>
              </w:rPr>
              <w:t xml:space="preserve"> guidelines - for use second line after hydrogen peroxide 1% cream</w:t>
            </w:r>
            <w:r w:rsidRPr="000C6493">
              <w:rPr>
                <w:rStyle w:val="eop"/>
                <w:sz w:val="24"/>
                <w:szCs w:val="24"/>
              </w:rPr>
              <w:t> </w:t>
            </w:r>
          </w:p>
        </w:tc>
        <w:tc>
          <w:tcPr>
            <w:tcW w:w="3402" w:type="dxa"/>
            <w:shd w:val="clear" w:color="auto" w:fill="auto"/>
          </w:tcPr>
          <w:p w14:paraId="6B4F3D30" w14:textId="77777777" w:rsidR="000C6493" w:rsidRPr="000C6493" w:rsidRDefault="000C6493" w:rsidP="009733C4">
            <w:pPr>
              <w:tabs>
                <w:tab w:val="clear" w:pos="975"/>
              </w:tabs>
              <w:rPr>
                <w:iCs/>
                <w:sz w:val="24"/>
                <w:szCs w:val="24"/>
              </w:rPr>
            </w:pPr>
            <w:r w:rsidRPr="000C6493">
              <w:rPr>
                <w:rStyle w:val="normaltextrun"/>
                <w:sz w:val="24"/>
                <w:szCs w:val="24"/>
              </w:rPr>
              <w:t>Formulary alignment across ICB</w:t>
            </w:r>
            <w:r w:rsidRPr="000C6493">
              <w:rPr>
                <w:rStyle w:val="eop"/>
                <w:sz w:val="24"/>
                <w:szCs w:val="24"/>
              </w:rPr>
              <w:t> </w:t>
            </w:r>
          </w:p>
        </w:tc>
        <w:tc>
          <w:tcPr>
            <w:tcW w:w="3951" w:type="dxa"/>
            <w:gridSpan w:val="3"/>
          </w:tcPr>
          <w:p w14:paraId="59EB5B76" w14:textId="77777777" w:rsidR="000C6493" w:rsidRPr="000C6493" w:rsidRDefault="000C6493" w:rsidP="009733C4">
            <w:pPr>
              <w:rPr>
                <w:sz w:val="24"/>
                <w:szCs w:val="24"/>
              </w:rPr>
            </w:pPr>
            <w:r w:rsidRPr="000C6493">
              <w:rPr>
                <w:sz w:val="24"/>
                <w:szCs w:val="24"/>
              </w:rPr>
              <w:t>None</w:t>
            </w:r>
          </w:p>
        </w:tc>
        <w:tc>
          <w:tcPr>
            <w:tcW w:w="2154" w:type="dxa"/>
            <w:shd w:val="clear" w:color="auto" w:fill="FFFFFF"/>
          </w:tcPr>
          <w:p w14:paraId="3520B5FA" w14:textId="77777777" w:rsidR="000C6493" w:rsidRPr="000C6493" w:rsidRDefault="000C6493" w:rsidP="009733C4">
            <w:pPr>
              <w:rPr>
                <w:iCs/>
                <w:sz w:val="24"/>
                <w:szCs w:val="24"/>
                <w:lang w:val="en-US"/>
              </w:rPr>
            </w:pPr>
            <w:r w:rsidRPr="000C6493">
              <w:rPr>
                <w:sz w:val="24"/>
                <w:szCs w:val="24"/>
              </w:rPr>
              <w:t>Approved</w:t>
            </w:r>
          </w:p>
        </w:tc>
      </w:tr>
      <w:tr w:rsidR="000C6493" w:rsidRPr="000C6493" w14:paraId="3680F36E" w14:textId="77777777" w:rsidTr="000C6493">
        <w:trPr>
          <w:cantSplit/>
          <w:trHeight w:val="548"/>
        </w:trPr>
        <w:tc>
          <w:tcPr>
            <w:tcW w:w="2689" w:type="dxa"/>
            <w:shd w:val="clear" w:color="auto" w:fill="auto"/>
          </w:tcPr>
          <w:p w14:paraId="5C9666D0"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t xml:space="preserve">Hydrocortisone acetate 1% / </w:t>
            </w:r>
            <w:proofErr w:type="spellStart"/>
            <w:r w:rsidRPr="000C6493">
              <w:rPr>
                <w:rStyle w:val="normaltextrun"/>
                <w:rFonts w:ascii="Arial" w:hAnsi="Arial" w:cs="Arial"/>
                <w:b/>
                <w:bCs/>
              </w:rPr>
              <w:t>Fusidic</w:t>
            </w:r>
            <w:proofErr w:type="spellEnd"/>
            <w:r w:rsidRPr="000C6493">
              <w:rPr>
                <w:rStyle w:val="normaltextrun"/>
                <w:rFonts w:ascii="Arial" w:hAnsi="Arial" w:cs="Arial"/>
                <w:b/>
                <w:bCs/>
              </w:rPr>
              <w:t xml:space="preserve"> acid 2% cream (</w:t>
            </w:r>
            <w:proofErr w:type="spellStart"/>
            <w:r w:rsidRPr="000C6493">
              <w:rPr>
                <w:rStyle w:val="normaltextrun"/>
                <w:rFonts w:ascii="Arial" w:hAnsi="Arial" w:cs="Arial"/>
                <w:b/>
                <w:bCs/>
              </w:rPr>
              <w:t>Fucidin</w:t>
            </w:r>
            <w:proofErr w:type="spellEnd"/>
            <w:r w:rsidRPr="000C6493">
              <w:rPr>
                <w:rStyle w:val="normaltextrun"/>
                <w:rFonts w:ascii="Arial" w:hAnsi="Arial" w:cs="Arial"/>
                <w:b/>
                <w:bCs/>
              </w:rPr>
              <w:t xml:space="preserve"> H</w:t>
            </w:r>
            <w:r w:rsidRPr="000C6493">
              <w:rPr>
                <w:rStyle w:val="normaltextrun"/>
                <w:rFonts w:ascii="Arial" w:hAnsi="Arial" w:cs="Arial"/>
                <w:b/>
                <w:bCs/>
                <w:vertAlign w:val="superscript"/>
              </w:rPr>
              <w:t>®</w:t>
            </w:r>
            <w:r w:rsidRPr="000C6493">
              <w:rPr>
                <w:rStyle w:val="normaltextrun"/>
                <w:rFonts w:ascii="Arial" w:hAnsi="Arial" w:cs="Arial"/>
                <w:b/>
                <w:bCs/>
              </w:rPr>
              <w:t>) </w:t>
            </w:r>
            <w:r w:rsidRPr="000C6493">
              <w:rPr>
                <w:rStyle w:val="eop"/>
                <w:rFonts w:ascii="Arial" w:hAnsi="Arial" w:cs="Arial"/>
              </w:rPr>
              <w:t> </w:t>
            </w:r>
          </w:p>
          <w:p w14:paraId="10F32C0E"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normaltextrun"/>
                <w:rFonts w:ascii="Arial" w:hAnsi="Arial" w:cs="Arial"/>
                <w:b/>
                <w:bCs/>
              </w:rPr>
              <w:t>For use in infected eczema</w:t>
            </w:r>
            <w:r w:rsidRPr="000C6493">
              <w:rPr>
                <w:rStyle w:val="eop"/>
                <w:rFonts w:ascii="Arial" w:hAnsi="Arial" w:cs="Arial"/>
              </w:rPr>
              <w:t> </w:t>
            </w:r>
          </w:p>
        </w:tc>
        <w:tc>
          <w:tcPr>
            <w:tcW w:w="3685" w:type="dxa"/>
            <w:shd w:val="clear" w:color="auto" w:fill="auto"/>
          </w:tcPr>
          <w:p w14:paraId="5BEDDD8A" w14:textId="50519A9C" w:rsidR="000C6493" w:rsidRPr="000C6493" w:rsidRDefault="000C6493" w:rsidP="004E0E20">
            <w:pPr>
              <w:pStyle w:val="paragraph"/>
              <w:shd w:val="clear" w:color="auto" w:fill="00B050"/>
              <w:spacing w:before="60" w:beforeAutospacing="0" w:after="60" w:afterAutospacing="0"/>
              <w:textAlignment w:val="baseline"/>
              <w:rPr>
                <w:rFonts w:ascii="Arial" w:hAnsi="Arial" w:cs="Arial"/>
              </w:rPr>
            </w:pPr>
            <w:r w:rsidRPr="000C6493">
              <w:rPr>
                <w:rStyle w:val="normaltextrun"/>
                <w:rFonts w:ascii="Arial" w:hAnsi="Arial" w:cs="Arial"/>
                <w:b/>
                <w:bCs/>
              </w:rPr>
              <w:t>Green with guideline</w:t>
            </w:r>
          </w:p>
          <w:p w14:paraId="4F58E9C6"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rPr>
              <w:t>Hydrocortisone is classed as a mild corticosteroid. A single treatment course should not normally exceed 2 weeks.</w:t>
            </w:r>
            <w:r w:rsidRPr="000C6493">
              <w:rPr>
                <w:rStyle w:val="eop"/>
                <w:rFonts w:ascii="Arial" w:hAnsi="Arial" w:cs="Arial"/>
              </w:rPr>
              <w:t> </w:t>
            </w:r>
          </w:p>
          <w:p w14:paraId="210D2753"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eop"/>
                <w:rFonts w:ascii="Arial" w:hAnsi="Arial" w:cs="Arial"/>
              </w:rPr>
              <w:t> </w:t>
            </w:r>
          </w:p>
        </w:tc>
        <w:tc>
          <w:tcPr>
            <w:tcW w:w="3402" w:type="dxa"/>
            <w:shd w:val="clear" w:color="auto" w:fill="auto"/>
          </w:tcPr>
          <w:p w14:paraId="10AA5F31" w14:textId="77777777" w:rsidR="000C6493" w:rsidRPr="000C6493" w:rsidRDefault="000C6493" w:rsidP="009733C4">
            <w:pPr>
              <w:tabs>
                <w:tab w:val="clear" w:pos="975"/>
              </w:tabs>
              <w:rPr>
                <w:sz w:val="24"/>
                <w:szCs w:val="24"/>
              </w:rPr>
            </w:pPr>
            <w:r w:rsidRPr="000C6493">
              <w:rPr>
                <w:sz w:val="24"/>
                <w:szCs w:val="24"/>
              </w:rPr>
              <w:t>Formulary alignment across ICB.</w:t>
            </w:r>
          </w:p>
          <w:p w14:paraId="73128B94" w14:textId="77777777" w:rsidR="000C6493" w:rsidRPr="000C6493" w:rsidRDefault="000C6493" w:rsidP="009733C4">
            <w:pPr>
              <w:tabs>
                <w:tab w:val="clear" w:pos="975"/>
              </w:tabs>
              <w:rPr>
                <w:rStyle w:val="normaltextrun"/>
                <w:sz w:val="24"/>
                <w:szCs w:val="24"/>
              </w:rPr>
            </w:pPr>
            <w:r w:rsidRPr="000C6493">
              <w:rPr>
                <w:sz w:val="24"/>
                <w:szCs w:val="24"/>
              </w:rPr>
              <w:t xml:space="preserve">When used in infected eczema, PCDS </w:t>
            </w:r>
            <w:hyperlink r:id="rId24" w:tgtFrame="_blank" w:history="1">
              <w:r w:rsidRPr="000C6493">
                <w:rPr>
                  <w:rStyle w:val="Hyperlink"/>
                  <w:rFonts w:cs="Arial"/>
                  <w:sz w:val="24"/>
                  <w:szCs w:val="24"/>
                </w:rPr>
                <w:t>Atopic eczema</w:t>
              </w:r>
            </w:hyperlink>
            <w:r w:rsidRPr="000C6493">
              <w:rPr>
                <w:sz w:val="24"/>
                <w:szCs w:val="24"/>
              </w:rPr>
              <w:t xml:space="preserve"> advises combined steroid/antibiotic preparations are not used on a regular basis, and the strength of steroid should be determined by the age of the patient, site and severity. </w:t>
            </w:r>
          </w:p>
        </w:tc>
        <w:tc>
          <w:tcPr>
            <w:tcW w:w="3951" w:type="dxa"/>
            <w:gridSpan w:val="3"/>
          </w:tcPr>
          <w:p w14:paraId="2981901F" w14:textId="77777777" w:rsidR="000C6493" w:rsidRPr="000C6493" w:rsidRDefault="000C6493" w:rsidP="009733C4">
            <w:pPr>
              <w:rPr>
                <w:sz w:val="24"/>
                <w:szCs w:val="24"/>
              </w:rPr>
            </w:pPr>
            <w:r w:rsidRPr="000C6493">
              <w:rPr>
                <w:sz w:val="24"/>
                <w:szCs w:val="24"/>
              </w:rPr>
              <w:t>None</w:t>
            </w:r>
          </w:p>
        </w:tc>
        <w:tc>
          <w:tcPr>
            <w:tcW w:w="2154" w:type="dxa"/>
            <w:shd w:val="clear" w:color="auto" w:fill="FFFFFF"/>
          </w:tcPr>
          <w:p w14:paraId="6A82C9B4" w14:textId="77777777" w:rsidR="000C6493" w:rsidRPr="000C6493" w:rsidRDefault="000C6493" w:rsidP="009733C4">
            <w:pPr>
              <w:rPr>
                <w:iCs/>
                <w:sz w:val="24"/>
                <w:szCs w:val="24"/>
                <w:lang w:val="en-US"/>
              </w:rPr>
            </w:pPr>
            <w:r w:rsidRPr="000C6493">
              <w:rPr>
                <w:sz w:val="24"/>
                <w:szCs w:val="24"/>
              </w:rPr>
              <w:t>Approved</w:t>
            </w:r>
          </w:p>
        </w:tc>
      </w:tr>
      <w:tr w:rsidR="000C6493" w:rsidRPr="000C6493" w14:paraId="3DDEE20F" w14:textId="77777777" w:rsidTr="000C6493">
        <w:trPr>
          <w:cantSplit/>
          <w:trHeight w:val="548"/>
        </w:trPr>
        <w:tc>
          <w:tcPr>
            <w:tcW w:w="2689" w:type="dxa"/>
            <w:shd w:val="clear" w:color="auto" w:fill="auto"/>
          </w:tcPr>
          <w:p w14:paraId="0C07922A"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lastRenderedPageBreak/>
              <w:t xml:space="preserve">Betamethasone </w:t>
            </w:r>
            <w:proofErr w:type="spellStart"/>
            <w:r w:rsidRPr="000C6493">
              <w:rPr>
                <w:rStyle w:val="normaltextrun"/>
                <w:rFonts w:ascii="Arial" w:hAnsi="Arial" w:cs="Arial"/>
                <w:b/>
                <w:bCs/>
              </w:rPr>
              <w:t>valerate</w:t>
            </w:r>
            <w:proofErr w:type="spellEnd"/>
            <w:r w:rsidRPr="000C6493">
              <w:rPr>
                <w:rStyle w:val="normaltextrun"/>
                <w:rFonts w:ascii="Arial" w:hAnsi="Arial" w:cs="Arial"/>
                <w:b/>
                <w:bCs/>
              </w:rPr>
              <w:t xml:space="preserve"> 0.1% / </w:t>
            </w:r>
            <w:proofErr w:type="spellStart"/>
            <w:r w:rsidRPr="000C6493">
              <w:rPr>
                <w:rStyle w:val="normaltextrun"/>
                <w:rFonts w:ascii="Arial" w:hAnsi="Arial" w:cs="Arial"/>
                <w:b/>
                <w:bCs/>
              </w:rPr>
              <w:t>Fusidic</w:t>
            </w:r>
            <w:proofErr w:type="spellEnd"/>
            <w:r w:rsidRPr="000C6493">
              <w:rPr>
                <w:rStyle w:val="normaltextrun"/>
                <w:rFonts w:ascii="Arial" w:hAnsi="Arial" w:cs="Arial"/>
                <w:b/>
                <w:bCs/>
              </w:rPr>
              <w:t xml:space="preserve"> acid 2% cream  (</w:t>
            </w:r>
            <w:proofErr w:type="spellStart"/>
            <w:r w:rsidRPr="000C6493">
              <w:rPr>
                <w:rStyle w:val="normaltextrun"/>
                <w:rFonts w:ascii="Arial" w:hAnsi="Arial" w:cs="Arial"/>
                <w:b/>
                <w:bCs/>
              </w:rPr>
              <w:t>Fucibet</w:t>
            </w:r>
            <w:proofErr w:type="spellEnd"/>
            <w:r w:rsidRPr="000C6493">
              <w:rPr>
                <w:rStyle w:val="normaltextrun"/>
                <w:rFonts w:ascii="Arial" w:hAnsi="Arial" w:cs="Arial"/>
                <w:b/>
                <w:bCs/>
                <w:vertAlign w:val="superscript"/>
              </w:rPr>
              <w:t>®</w:t>
            </w:r>
            <w:r w:rsidRPr="000C6493">
              <w:rPr>
                <w:rStyle w:val="normaltextrun"/>
                <w:rFonts w:ascii="Arial" w:hAnsi="Arial" w:cs="Arial"/>
                <w:b/>
                <w:bCs/>
              </w:rPr>
              <w:t>) </w:t>
            </w:r>
            <w:r w:rsidRPr="000C6493">
              <w:rPr>
                <w:rStyle w:val="eop"/>
                <w:rFonts w:ascii="Arial" w:hAnsi="Arial" w:cs="Arial"/>
              </w:rPr>
              <w:t> </w:t>
            </w:r>
          </w:p>
          <w:p w14:paraId="197F0883"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normaltextrun"/>
                <w:rFonts w:ascii="Arial" w:hAnsi="Arial" w:cs="Arial"/>
                <w:b/>
                <w:bCs/>
              </w:rPr>
              <w:t>For use in infected eczema</w:t>
            </w:r>
            <w:r w:rsidRPr="000C6493">
              <w:rPr>
                <w:rStyle w:val="eop"/>
                <w:rFonts w:ascii="Arial" w:hAnsi="Arial" w:cs="Arial"/>
              </w:rPr>
              <w:t> </w:t>
            </w:r>
          </w:p>
        </w:tc>
        <w:tc>
          <w:tcPr>
            <w:tcW w:w="3685" w:type="dxa"/>
            <w:shd w:val="clear" w:color="auto" w:fill="auto"/>
          </w:tcPr>
          <w:p w14:paraId="3976465B" w14:textId="7C6C44AB" w:rsidR="000C6493" w:rsidRPr="000C6493" w:rsidRDefault="000C6493" w:rsidP="004E0E20">
            <w:pPr>
              <w:pStyle w:val="paragraph"/>
              <w:shd w:val="clear" w:color="auto" w:fill="00B050"/>
              <w:spacing w:before="60" w:beforeAutospacing="0" w:after="60" w:afterAutospacing="0"/>
              <w:textAlignment w:val="baseline"/>
              <w:rPr>
                <w:rFonts w:ascii="Arial" w:hAnsi="Arial" w:cs="Arial"/>
              </w:rPr>
            </w:pPr>
            <w:r w:rsidRPr="004E0E20">
              <w:rPr>
                <w:rStyle w:val="normaltextrun"/>
                <w:rFonts w:ascii="Arial" w:hAnsi="Arial" w:cs="Arial"/>
                <w:b/>
                <w:bCs/>
                <w:shd w:val="clear" w:color="auto" w:fill="00B050"/>
              </w:rPr>
              <w:t>Green with guideline</w:t>
            </w:r>
          </w:p>
          <w:p w14:paraId="0975F6D1"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normaltextrun"/>
                <w:rFonts w:ascii="Arial" w:hAnsi="Arial" w:cs="Arial"/>
              </w:rPr>
              <w:t>Betamethasone is classed as a potent corticosteroid. A single treatment course should not normally exceed 2 weeks</w:t>
            </w:r>
            <w:r w:rsidRPr="000C6493">
              <w:rPr>
                <w:rStyle w:val="eop"/>
                <w:rFonts w:ascii="Arial" w:hAnsi="Arial" w:cs="Arial"/>
              </w:rPr>
              <w:t> </w:t>
            </w:r>
          </w:p>
        </w:tc>
        <w:tc>
          <w:tcPr>
            <w:tcW w:w="3402" w:type="dxa"/>
            <w:shd w:val="clear" w:color="auto" w:fill="auto"/>
          </w:tcPr>
          <w:p w14:paraId="0D8A56AB" w14:textId="77777777" w:rsidR="000C6493" w:rsidRPr="000C6493" w:rsidRDefault="000C6493" w:rsidP="009733C4">
            <w:pPr>
              <w:tabs>
                <w:tab w:val="clear" w:pos="975"/>
              </w:tabs>
              <w:rPr>
                <w:sz w:val="24"/>
                <w:szCs w:val="24"/>
              </w:rPr>
            </w:pPr>
            <w:r w:rsidRPr="000C6493">
              <w:rPr>
                <w:sz w:val="24"/>
                <w:szCs w:val="24"/>
              </w:rPr>
              <w:t>Formulary alignment across ICB.</w:t>
            </w:r>
          </w:p>
          <w:p w14:paraId="0F2B8E14" w14:textId="77777777" w:rsidR="000C6493" w:rsidRPr="000C6493" w:rsidRDefault="000C6493" w:rsidP="009733C4">
            <w:pPr>
              <w:tabs>
                <w:tab w:val="clear" w:pos="975"/>
              </w:tabs>
              <w:rPr>
                <w:rStyle w:val="normaltextrun"/>
                <w:sz w:val="24"/>
                <w:szCs w:val="24"/>
              </w:rPr>
            </w:pPr>
            <w:r w:rsidRPr="000C6493">
              <w:rPr>
                <w:sz w:val="24"/>
                <w:szCs w:val="24"/>
              </w:rPr>
              <w:t xml:space="preserve">When used in infected eczema, PCDS </w:t>
            </w:r>
            <w:hyperlink r:id="rId25" w:tgtFrame="_blank" w:history="1">
              <w:r w:rsidRPr="000C6493">
                <w:rPr>
                  <w:rStyle w:val="Hyperlink"/>
                  <w:rFonts w:cs="Arial"/>
                  <w:sz w:val="24"/>
                  <w:szCs w:val="24"/>
                </w:rPr>
                <w:t>Atopic eczema</w:t>
              </w:r>
            </w:hyperlink>
            <w:r w:rsidRPr="000C6493">
              <w:rPr>
                <w:sz w:val="24"/>
                <w:szCs w:val="24"/>
              </w:rPr>
              <w:t xml:space="preserve"> advises combined steroid/antibiotic preparations are not used on a regular basis, and the strength of steroid should be determined by the age of the patient, site and severity. </w:t>
            </w:r>
          </w:p>
        </w:tc>
        <w:tc>
          <w:tcPr>
            <w:tcW w:w="3951" w:type="dxa"/>
            <w:gridSpan w:val="3"/>
          </w:tcPr>
          <w:p w14:paraId="14F65256" w14:textId="77777777" w:rsidR="000C6493" w:rsidRPr="000C6493" w:rsidRDefault="000C6493" w:rsidP="009733C4">
            <w:pPr>
              <w:rPr>
                <w:sz w:val="24"/>
                <w:szCs w:val="24"/>
              </w:rPr>
            </w:pPr>
            <w:r w:rsidRPr="000C6493">
              <w:rPr>
                <w:sz w:val="24"/>
                <w:szCs w:val="24"/>
              </w:rPr>
              <w:t>None</w:t>
            </w:r>
          </w:p>
        </w:tc>
        <w:tc>
          <w:tcPr>
            <w:tcW w:w="2154" w:type="dxa"/>
            <w:shd w:val="clear" w:color="auto" w:fill="FFFFFF"/>
          </w:tcPr>
          <w:p w14:paraId="48C16224" w14:textId="77777777" w:rsidR="000C6493" w:rsidRPr="000C6493" w:rsidRDefault="000C6493" w:rsidP="009733C4">
            <w:pPr>
              <w:rPr>
                <w:iCs/>
                <w:sz w:val="24"/>
                <w:szCs w:val="24"/>
                <w:lang w:val="en-US"/>
              </w:rPr>
            </w:pPr>
            <w:r w:rsidRPr="000C6493">
              <w:rPr>
                <w:sz w:val="24"/>
                <w:szCs w:val="24"/>
              </w:rPr>
              <w:t>Approved</w:t>
            </w:r>
          </w:p>
        </w:tc>
      </w:tr>
      <w:tr w:rsidR="000C6493" w:rsidRPr="000C6493" w14:paraId="0634E5DA" w14:textId="77777777" w:rsidTr="000C6493">
        <w:trPr>
          <w:cantSplit/>
          <w:trHeight w:val="548"/>
        </w:trPr>
        <w:tc>
          <w:tcPr>
            <w:tcW w:w="2689" w:type="dxa"/>
            <w:shd w:val="clear" w:color="auto" w:fill="auto"/>
          </w:tcPr>
          <w:p w14:paraId="2A933144" w14:textId="77777777" w:rsidR="000C6493" w:rsidRPr="000C6493" w:rsidRDefault="000C6493" w:rsidP="009733C4">
            <w:pPr>
              <w:pStyle w:val="paragraph"/>
              <w:spacing w:before="60" w:beforeAutospacing="0" w:after="60" w:afterAutospacing="0"/>
              <w:textAlignment w:val="baseline"/>
              <w:rPr>
                <w:rFonts w:ascii="Arial" w:hAnsi="Arial" w:cs="Arial"/>
              </w:rPr>
            </w:pPr>
            <w:proofErr w:type="spellStart"/>
            <w:r w:rsidRPr="000C6493">
              <w:rPr>
                <w:rStyle w:val="normaltextrun"/>
                <w:rFonts w:ascii="Arial" w:hAnsi="Arial" w:cs="Arial"/>
                <w:b/>
                <w:bCs/>
              </w:rPr>
              <w:t>Lymecycline</w:t>
            </w:r>
            <w:proofErr w:type="spellEnd"/>
            <w:r w:rsidRPr="000C6493">
              <w:rPr>
                <w:rStyle w:val="normaltextrun"/>
                <w:rFonts w:ascii="Arial" w:hAnsi="Arial" w:cs="Arial"/>
                <w:b/>
                <w:bCs/>
              </w:rPr>
              <w:t xml:space="preserve"> 408mg capsules</w:t>
            </w:r>
            <w:r w:rsidRPr="000C6493">
              <w:rPr>
                <w:rStyle w:val="eop"/>
                <w:rFonts w:ascii="Arial" w:hAnsi="Arial" w:cs="Arial"/>
              </w:rPr>
              <w:t> </w:t>
            </w:r>
          </w:p>
          <w:p w14:paraId="6BD5D30B"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t xml:space="preserve">Each capsule contains 408 mg of </w:t>
            </w:r>
            <w:proofErr w:type="spellStart"/>
            <w:r w:rsidRPr="000C6493">
              <w:rPr>
                <w:rStyle w:val="normaltextrun"/>
                <w:rFonts w:ascii="Arial" w:hAnsi="Arial" w:cs="Arial"/>
                <w:b/>
                <w:bCs/>
              </w:rPr>
              <w:t>Lymecycline</w:t>
            </w:r>
            <w:proofErr w:type="spellEnd"/>
            <w:r w:rsidRPr="000C6493">
              <w:rPr>
                <w:rStyle w:val="normaltextrun"/>
                <w:rFonts w:ascii="Arial" w:hAnsi="Arial" w:cs="Arial"/>
                <w:b/>
                <w:bCs/>
              </w:rPr>
              <w:t xml:space="preserve"> equivalent to 300 mg tetracycline base</w:t>
            </w:r>
            <w:r w:rsidRPr="000C6493">
              <w:rPr>
                <w:rStyle w:val="eop"/>
                <w:rFonts w:ascii="Arial" w:hAnsi="Arial" w:cs="Arial"/>
              </w:rPr>
              <w:t> </w:t>
            </w:r>
          </w:p>
          <w:p w14:paraId="050E48EE"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eop"/>
                <w:rFonts w:ascii="Arial" w:hAnsi="Arial" w:cs="Arial"/>
              </w:rPr>
              <w:t> </w:t>
            </w:r>
          </w:p>
          <w:p w14:paraId="101096B9"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normaltextrun"/>
                <w:rFonts w:ascii="Arial" w:hAnsi="Arial" w:cs="Arial"/>
                <w:b/>
                <w:bCs/>
              </w:rPr>
              <w:t>For rosacea and acne</w:t>
            </w:r>
            <w:r w:rsidRPr="000C6493">
              <w:rPr>
                <w:rStyle w:val="eop"/>
                <w:rFonts w:ascii="Arial" w:hAnsi="Arial" w:cs="Arial"/>
              </w:rPr>
              <w:t> </w:t>
            </w:r>
          </w:p>
        </w:tc>
        <w:tc>
          <w:tcPr>
            <w:tcW w:w="3685" w:type="dxa"/>
            <w:shd w:val="clear" w:color="auto" w:fill="auto"/>
          </w:tcPr>
          <w:p w14:paraId="6772FCE3" w14:textId="4CC069AD" w:rsidR="000C6493" w:rsidRPr="000C6493" w:rsidRDefault="000C6493" w:rsidP="004E0E20">
            <w:pPr>
              <w:pStyle w:val="paragraph"/>
              <w:shd w:val="clear" w:color="auto" w:fill="00B050"/>
              <w:spacing w:before="60" w:beforeAutospacing="0" w:after="60" w:afterAutospacing="0"/>
              <w:textAlignment w:val="baseline"/>
              <w:rPr>
                <w:rFonts w:ascii="Arial" w:hAnsi="Arial" w:cs="Arial"/>
              </w:rPr>
            </w:pPr>
            <w:r w:rsidRPr="000C6493">
              <w:rPr>
                <w:rStyle w:val="normaltextrun"/>
                <w:rFonts w:ascii="Arial" w:hAnsi="Arial" w:cs="Arial"/>
                <w:b/>
                <w:bCs/>
              </w:rPr>
              <w:t>Green with guideline</w:t>
            </w:r>
          </w:p>
          <w:p w14:paraId="415C8DD2"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eop"/>
                <w:rFonts w:ascii="Arial" w:hAnsi="Arial" w:cs="Arial"/>
              </w:rPr>
              <w:t> </w:t>
            </w:r>
          </w:p>
          <w:p w14:paraId="16B986B6"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t>Rosacea </w:t>
            </w:r>
            <w:r w:rsidRPr="000C6493">
              <w:rPr>
                <w:rStyle w:val="eop"/>
                <w:rFonts w:ascii="Arial" w:hAnsi="Arial" w:cs="Arial"/>
              </w:rPr>
              <w:t> </w:t>
            </w:r>
          </w:p>
          <w:p w14:paraId="6671AA4A"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rPr>
              <w:t xml:space="preserve">Primary Care Dermatology Society </w:t>
            </w:r>
            <w:hyperlink r:id="rId26" w:tgtFrame="_blank" w:history="1">
              <w:r w:rsidRPr="000C6493">
                <w:rPr>
                  <w:rStyle w:val="normaltextrun"/>
                  <w:rFonts w:ascii="Arial" w:hAnsi="Arial" w:cs="Arial"/>
                  <w:color w:val="0000FF"/>
                  <w:u w:val="single"/>
                </w:rPr>
                <w:t>ttps://www.pcds.org.uk/files/general/Rosacea_Treatment_2019-web.pdf</w:t>
              </w:r>
            </w:hyperlink>
            <w:r w:rsidRPr="000C6493">
              <w:rPr>
                <w:rStyle w:val="normaltextrun"/>
                <w:rFonts w:ascii="Arial" w:hAnsi="Arial" w:cs="Arial"/>
              </w:rPr>
              <w:t xml:space="preserve"> </w:t>
            </w:r>
            <w:r w:rsidRPr="000C6493">
              <w:rPr>
                <w:rStyle w:val="scxw146526445"/>
                <w:rFonts w:ascii="Arial" w:hAnsi="Arial" w:cs="Arial"/>
              </w:rPr>
              <w:t> </w:t>
            </w:r>
            <w:r w:rsidRPr="000C6493">
              <w:rPr>
                <w:rFonts w:ascii="Arial" w:hAnsi="Arial" w:cs="Arial"/>
              </w:rPr>
              <w:br/>
            </w:r>
            <w:r w:rsidRPr="000C6493">
              <w:rPr>
                <w:rStyle w:val="normaltextrun"/>
                <w:rFonts w:ascii="Arial" w:hAnsi="Arial" w:cs="Arial"/>
              </w:rPr>
              <w:t xml:space="preserve">Inflammatory Rosacea: Doxycycline 40mg listed as first line tetracycline, with </w:t>
            </w:r>
            <w:proofErr w:type="spellStart"/>
            <w:r w:rsidRPr="000C6493">
              <w:rPr>
                <w:rStyle w:val="normaltextrun"/>
                <w:rFonts w:ascii="Arial" w:hAnsi="Arial" w:cs="Arial"/>
              </w:rPr>
              <w:t>lymecycline</w:t>
            </w:r>
            <w:proofErr w:type="spellEnd"/>
            <w:r w:rsidRPr="000C6493">
              <w:rPr>
                <w:rStyle w:val="normaltextrun"/>
                <w:rFonts w:ascii="Arial" w:hAnsi="Arial" w:cs="Arial"/>
              </w:rPr>
              <w:t xml:space="preserve"> as an alternative.</w:t>
            </w:r>
            <w:r w:rsidRPr="000C6493">
              <w:rPr>
                <w:rStyle w:val="eop"/>
                <w:rFonts w:ascii="Arial" w:hAnsi="Arial" w:cs="Arial"/>
              </w:rPr>
              <w:t> </w:t>
            </w:r>
          </w:p>
          <w:p w14:paraId="319EBF3C"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eop"/>
                <w:rFonts w:ascii="Arial" w:hAnsi="Arial" w:cs="Arial"/>
              </w:rPr>
              <w:t> </w:t>
            </w:r>
          </w:p>
          <w:p w14:paraId="321B3F48" w14:textId="77777777" w:rsidR="000C6493" w:rsidRPr="000C6493" w:rsidRDefault="000C6493" w:rsidP="009733C4">
            <w:pPr>
              <w:pStyle w:val="paragraph"/>
              <w:spacing w:before="60" w:beforeAutospacing="0" w:after="60" w:afterAutospacing="0"/>
              <w:textAlignment w:val="baseline"/>
              <w:rPr>
                <w:rFonts w:ascii="Arial" w:hAnsi="Arial" w:cs="Arial"/>
              </w:rPr>
            </w:pPr>
            <w:r w:rsidRPr="000C6493">
              <w:rPr>
                <w:rStyle w:val="normaltextrun"/>
                <w:rFonts w:ascii="Arial" w:hAnsi="Arial" w:cs="Arial"/>
                <w:b/>
                <w:bCs/>
              </w:rPr>
              <w:t>Acne</w:t>
            </w:r>
            <w:r w:rsidRPr="000C6493">
              <w:rPr>
                <w:rStyle w:val="eop"/>
                <w:rFonts w:ascii="Arial" w:hAnsi="Arial" w:cs="Arial"/>
              </w:rPr>
              <w:t> </w:t>
            </w:r>
          </w:p>
          <w:p w14:paraId="5A5788DE" w14:textId="77777777" w:rsidR="000C6493" w:rsidRPr="000C6493" w:rsidRDefault="000C6493" w:rsidP="009733C4">
            <w:pPr>
              <w:pStyle w:val="paragraph"/>
              <w:spacing w:before="60" w:beforeAutospacing="0" w:after="60" w:afterAutospacing="0"/>
              <w:textAlignment w:val="baseline"/>
              <w:rPr>
                <w:rStyle w:val="normaltextrun"/>
                <w:rFonts w:ascii="Arial" w:hAnsi="Arial" w:cs="Arial"/>
                <w:b/>
                <w:bCs/>
              </w:rPr>
            </w:pPr>
            <w:r w:rsidRPr="000C6493">
              <w:rPr>
                <w:rStyle w:val="normaltextrun"/>
                <w:rFonts w:ascii="Arial" w:hAnsi="Arial" w:cs="Arial"/>
              </w:rPr>
              <w:t xml:space="preserve">NICE </w:t>
            </w:r>
            <w:hyperlink r:id="rId27" w:tgtFrame="_blank" w:history="1">
              <w:r w:rsidRPr="000C6493">
                <w:rPr>
                  <w:rStyle w:val="normaltextrun"/>
                  <w:rFonts w:ascii="Arial" w:hAnsi="Arial" w:cs="Arial"/>
                  <w:color w:val="0000FF"/>
                  <w:u w:val="single"/>
                </w:rPr>
                <w:t>Scenario: Primary care management | Management | Acne vulgaris | CKS | NICE;</w:t>
              </w:r>
            </w:hyperlink>
            <w:r w:rsidRPr="000C6493">
              <w:rPr>
                <w:rStyle w:val="eop"/>
                <w:rFonts w:ascii="Arial" w:hAnsi="Arial" w:cs="Arial"/>
              </w:rPr>
              <w:t> </w:t>
            </w:r>
          </w:p>
        </w:tc>
        <w:tc>
          <w:tcPr>
            <w:tcW w:w="3402" w:type="dxa"/>
            <w:shd w:val="clear" w:color="auto" w:fill="auto"/>
          </w:tcPr>
          <w:p w14:paraId="6B2A9313" w14:textId="77777777" w:rsidR="000C6493" w:rsidRPr="000C6493" w:rsidRDefault="000C6493" w:rsidP="009733C4">
            <w:pPr>
              <w:tabs>
                <w:tab w:val="clear" w:pos="975"/>
              </w:tabs>
              <w:rPr>
                <w:sz w:val="24"/>
                <w:szCs w:val="24"/>
              </w:rPr>
            </w:pPr>
            <w:r w:rsidRPr="000C6493">
              <w:rPr>
                <w:rStyle w:val="normaltextrun"/>
                <w:sz w:val="24"/>
                <w:szCs w:val="24"/>
              </w:rPr>
              <w:t>Formulary alignment across ICB</w:t>
            </w:r>
            <w:r w:rsidRPr="000C6493">
              <w:rPr>
                <w:rStyle w:val="eop"/>
                <w:sz w:val="24"/>
                <w:szCs w:val="24"/>
              </w:rPr>
              <w:t> </w:t>
            </w:r>
          </w:p>
        </w:tc>
        <w:tc>
          <w:tcPr>
            <w:tcW w:w="3951" w:type="dxa"/>
            <w:gridSpan w:val="3"/>
          </w:tcPr>
          <w:p w14:paraId="5B59255B" w14:textId="77777777" w:rsidR="000C6493" w:rsidRPr="000C6493" w:rsidRDefault="000C6493" w:rsidP="009733C4">
            <w:pPr>
              <w:rPr>
                <w:sz w:val="24"/>
                <w:szCs w:val="24"/>
              </w:rPr>
            </w:pPr>
            <w:r w:rsidRPr="000C6493">
              <w:rPr>
                <w:sz w:val="24"/>
                <w:szCs w:val="24"/>
              </w:rPr>
              <w:t>None</w:t>
            </w:r>
          </w:p>
        </w:tc>
        <w:tc>
          <w:tcPr>
            <w:tcW w:w="2154" w:type="dxa"/>
            <w:shd w:val="clear" w:color="auto" w:fill="FFFFFF"/>
          </w:tcPr>
          <w:p w14:paraId="05FAEBCE" w14:textId="77777777" w:rsidR="000C6493" w:rsidRPr="000C6493" w:rsidRDefault="000C6493" w:rsidP="009733C4">
            <w:pPr>
              <w:rPr>
                <w:sz w:val="24"/>
                <w:szCs w:val="24"/>
              </w:rPr>
            </w:pPr>
            <w:r w:rsidRPr="000C6493">
              <w:rPr>
                <w:sz w:val="24"/>
                <w:szCs w:val="24"/>
              </w:rPr>
              <w:t>Approved</w:t>
            </w:r>
          </w:p>
        </w:tc>
      </w:tr>
      <w:tr w:rsidR="000C6493" w:rsidRPr="000C6493" w14:paraId="0CED6A8B" w14:textId="77777777" w:rsidTr="000C6493">
        <w:trPr>
          <w:cantSplit/>
          <w:trHeight w:val="548"/>
        </w:trPr>
        <w:tc>
          <w:tcPr>
            <w:tcW w:w="2689" w:type="dxa"/>
            <w:shd w:val="clear" w:color="auto" w:fill="auto"/>
          </w:tcPr>
          <w:p w14:paraId="0080080B" w14:textId="77777777" w:rsidR="000C6493" w:rsidRPr="000C6493" w:rsidRDefault="000C6493" w:rsidP="007B020B">
            <w:pPr>
              <w:pStyle w:val="paragraph"/>
              <w:spacing w:before="60" w:beforeAutospacing="0" w:after="60" w:afterAutospacing="0"/>
              <w:textAlignment w:val="baseline"/>
              <w:rPr>
                <w:rStyle w:val="normaltextrun"/>
                <w:rFonts w:ascii="Arial" w:hAnsi="Arial" w:cs="Arial"/>
                <w:b/>
                <w:bCs/>
              </w:rPr>
            </w:pPr>
            <w:r w:rsidRPr="000C6493">
              <w:rPr>
                <w:rFonts w:ascii="Arial" w:hAnsi="Arial" w:cs="Arial"/>
                <w:b/>
                <w:bCs/>
              </w:rPr>
              <w:lastRenderedPageBreak/>
              <w:t>Pregabalin MR (</w:t>
            </w:r>
            <w:proofErr w:type="spellStart"/>
            <w:r w:rsidRPr="000C6493">
              <w:rPr>
                <w:rFonts w:ascii="Arial" w:hAnsi="Arial" w:cs="Arial"/>
                <w:b/>
                <w:bCs/>
              </w:rPr>
              <w:t>Misabri</w:t>
            </w:r>
            <w:proofErr w:type="spellEnd"/>
            <w:r w:rsidRPr="000C6493">
              <w:rPr>
                <w:rFonts w:ascii="Arial" w:hAnsi="Arial" w:cs="Arial"/>
                <w:b/>
                <w:bCs/>
              </w:rPr>
              <w:t xml:space="preserve"> PR) for neuropathic pain</w:t>
            </w:r>
          </w:p>
        </w:tc>
        <w:tc>
          <w:tcPr>
            <w:tcW w:w="3685" w:type="dxa"/>
            <w:shd w:val="clear" w:color="auto" w:fill="auto"/>
          </w:tcPr>
          <w:p w14:paraId="3C115461" w14:textId="77777777" w:rsidR="004E0E20" w:rsidRDefault="000C6493" w:rsidP="007B020B">
            <w:pPr>
              <w:pStyle w:val="paragraph"/>
              <w:spacing w:before="60" w:beforeAutospacing="0" w:after="60" w:afterAutospacing="0"/>
              <w:textAlignment w:val="baseline"/>
              <w:rPr>
                <w:rFonts w:ascii="Arial" w:hAnsi="Arial" w:cs="Arial"/>
                <w:b/>
                <w:bCs/>
              </w:rPr>
            </w:pPr>
            <w:r w:rsidRPr="000C6493">
              <w:rPr>
                <w:rFonts w:ascii="Arial" w:hAnsi="Arial" w:cs="Arial"/>
                <w:b/>
                <w:bCs/>
              </w:rPr>
              <w:t>Not routinely commissioned</w:t>
            </w:r>
          </w:p>
          <w:p w14:paraId="4AC1472B" w14:textId="5067E036" w:rsidR="000C6493" w:rsidRPr="000C6493" w:rsidRDefault="000C6493" w:rsidP="007B020B">
            <w:pPr>
              <w:pStyle w:val="paragraph"/>
              <w:spacing w:before="60" w:beforeAutospacing="0" w:after="60" w:afterAutospacing="0"/>
              <w:textAlignment w:val="baseline"/>
              <w:rPr>
                <w:rStyle w:val="normaltextrun"/>
                <w:rFonts w:ascii="Arial" w:hAnsi="Arial" w:cs="Arial"/>
                <w:b/>
                <w:bCs/>
              </w:rPr>
            </w:pPr>
            <w:r w:rsidRPr="000C6493">
              <w:rPr>
                <w:rFonts w:ascii="Arial" w:hAnsi="Arial" w:cs="Arial"/>
              </w:rPr>
              <w:t>These drugs have been formally considered by the APC and are not recommended for prescribing due to, e.g. safety/cost.</w:t>
            </w:r>
          </w:p>
        </w:tc>
        <w:tc>
          <w:tcPr>
            <w:tcW w:w="3402" w:type="dxa"/>
            <w:shd w:val="clear" w:color="auto" w:fill="auto"/>
          </w:tcPr>
          <w:p w14:paraId="73D406CC" w14:textId="77777777" w:rsidR="000C6493" w:rsidRPr="000C6493" w:rsidRDefault="000C6493" w:rsidP="007B020B">
            <w:pPr>
              <w:tabs>
                <w:tab w:val="clear" w:pos="975"/>
              </w:tabs>
              <w:ind w:left="20"/>
              <w:rPr>
                <w:rStyle w:val="normaltextrun"/>
                <w:sz w:val="24"/>
                <w:szCs w:val="24"/>
              </w:rPr>
            </w:pPr>
            <w:r w:rsidRPr="000C6493">
              <w:rPr>
                <w:sz w:val="24"/>
                <w:szCs w:val="24"/>
              </w:rPr>
              <w:t>High cost compared to immediate-release preparations with minimal clinical advantage over immediate-release preparations, therefore considered less suitable for prescribing.</w:t>
            </w:r>
          </w:p>
        </w:tc>
        <w:tc>
          <w:tcPr>
            <w:tcW w:w="3937" w:type="dxa"/>
          </w:tcPr>
          <w:p w14:paraId="2815C509" w14:textId="77777777" w:rsidR="000C6493" w:rsidRPr="000C6493" w:rsidRDefault="000C6493" w:rsidP="007B020B">
            <w:pPr>
              <w:rPr>
                <w:sz w:val="24"/>
                <w:szCs w:val="24"/>
              </w:rPr>
            </w:pPr>
            <w:r w:rsidRPr="000C6493">
              <w:rPr>
                <w:sz w:val="24"/>
                <w:szCs w:val="24"/>
              </w:rPr>
              <w:t xml:space="preserve">High cost compared to immediate-release preparations. Assigning a not commissioned status is expected to prevent inappropriate prescribing. </w:t>
            </w:r>
          </w:p>
        </w:tc>
        <w:tc>
          <w:tcPr>
            <w:tcW w:w="2168" w:type="dxa"/>
            <w:gridSpan w:val="3"/>
            <w:shd w:val="clear" w:color="auto" w:fill="FFFFFF"/>
          </w:tcPr>
          <w:p w14:paraId="6634A6BC" w14:textId="77777777" w:rsidR="000C6493" w:rsidRPr="000C6493" w:rsidRDefault="000C6493" w:rsidP="007B020B">
            <w:pPr>
              <w:rPr>
                <w:sz w:val="24"/>
                <w:szCs w:val="24"/>
              </w:rPr>
            </w:pPr>
            <w:r w:rsidRPr="000C6493">
              <w:rPr>
                <w:sz w:val="24"/>
                <w:szCs w:val="24"/>
              </w:rPr>
              <w:t>Approved</w:t>
            </w:r>
          </w:p>
        </w:tc>
      </w:tr>
    </w:tbl>
    <w:p w14:paraId="4BE899CD" w14:textId="77777777" w:rsidR="001C7976" w:rsidRDefault="001C7976" w:rsidP="00E73516">
      <w:pPr>
        <w:pStyle w:val="BodyText"/>
        <w:tabs>
          <w:tab w:val="clear" w:pos="975"/>
        </w:tabs>
        <w:spacing w:before="68" w:after="0"/>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119"/>
        <w:gridCol w:w="2976"/>
        <w:gridCol w:w="3969"/>
        <w:gridCol w:w="3402"/>
      </w:tblGrid>
      <w:tr w:rsidR="00436283" w:rsidRPr="00172933" w14:paraId="0DE7E7FD" w14:textId="77777777" w:rsidTr="00D37628">
        <w:trPr>
          <w:cantSplit/>
          <w:trHeight w:val="548"/>
          <w:tblHeader/>
        </w:trPr>
        <w:tc>
          <w:tcPr>
            <w:tcW w:w="2405" w:type="dxa"/>
            <w:tcBorders>
              <w:bottom w:val="single" w:sz="4" w:space="0" w:color="auto"/>
            </w:tcBorders>
            <w:shd w:val="clear" w:color="auto" w:fill="B6DDE8"/>
          </w:tcPr>
          <w:p w14:paraId="6AC9A8D3" w14:textId="77777777" w:rsidR="00436283" w:rsidRPr="00172933" w:rsidRDefault="00436283" w:rsidP="00D05BAD">
            <w:pPr>
              <w:tabs>
                <w:tab w:val="clear" w:pos="975"/>
              </w:tabs>
              <w:rPr>
                <w:rFonts w:eastAsia="Calibri"/>
                <w:b/>
                <w:sz w:val="24"/>
                <w:szCs w:val="24"/>
              </w:rPr>
            </w:pPr>
            <w:r w:rsidRPr="00172933">
              <w:rPr>
                <w:rFonts w:eastAsia="Calibri"/>
                <w:b/>
                <w:sz w:val="24"/>
                <w:szCs w:val="24"/>
              </w:rPr>
              <w:t xml:space="preserve">Drug and indication </w:t>
            </w:r>
          </w:p>
        </w:tc>
        <w:tc>
          <w:tcPr>
            <w:tcW w:w="3119" w:type="dxa"/>
            <w:tcBorders>
              <w:bottom w:val="single" w:sz="4" w:space="0" w:color="auto"/>
            </w:tcBorders>
            <w:shd w:val="clear" w:color="auto" w:fill="B6DDE8"/>
          </w:tcPr>
          <w:p w14:paraId="555E9971" w14:textId="77777777" w:rsidR="00436283" w:rsidRPr="00172933" w:rsidRDefault="00436283" w:rsidP="00D05BAD">
            <w:pPr>
              <w:tabs>
                <w:tab w:val="clear" w:pos="975"/>
              </w:tabs>
              <w:rPr>
                <w:rFonts w:eastAsia="Calibri"/>
                <w:b/>
                <w:sz w:val="24"/>
                <w:szCs w:val="24"/>
              </w:rPr>
            </w:pPr>
            <w:r w:rsidRPr="00172933">
              <w:rPr>
                <w:rFonts w:eastAsia="Calibri"/>
                <w:b/>
                <w:sz w:val="24"/>
                <w:szCs w:val="24"/>
              </w:rPr>
              <w:t>Rationale / criteria</w:t>
            </w:r>
          </w:p>
        </w:tc>
        <w:tc>
          <w:tcPr>
            <w:tcW w:w="2976" w:type="dxa"/>
            <w:tcBorders>
              <w:bottom w:val="single" w:sz="4" w:space="0" w:color="auto"/>
            </w:tcBorders>
            <w:shd w:val="clear" w:color="auto" w:fill="B6DDE8"/>
          </w:tcPr>
          <w:p w14:paraId="29316862" w14:textId="77777777" w:rsidR="00436283" w:rsidRPr="00172933" w:rsidRDefault="00436283" w:rsidP="00D05BAD">
            <w:pPr>
              <w:tabs>
                <w:tab w:val="clear" w:pos="975"/>
              </w:tabs>
              <w:rPr>
                <w:rFonts w:eastAsia="Calibri"/>
                <w:b/>
                <w:sz w:val="24"/>
                <w:szCs w:val="24"/>
              </w:rPr>
            </w:pPr>
            <w:r w:rsidRPr="00172933">
              <w:rPr>
                <w:rFonts w:eastAsia="Calibri"/>
                <w:b/>
                <w:sz w:val="24"/>
                <w:szCs w:val="24"/>
              </w:rPr>
              <w:t>Status and formulary position assigned</w:t>
            </w:r>
          </w:p>
        </w:tc>
        <w:tc>
          <w:tcPr>
            <w:tcW w:w="3969" w:type="dxa"/>
            <w:tcBorders>
              <w:bottom w:val="single" w:sz="4" w:space="0" w:color="auto"/>
            </w:tcBorders>
            <w:shd w:val="clear" w:color="auto" w:fill="B6DDE8"/>
          </w:tcPr>
          <w:p w14:paraId="677E336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Notes on decision</w:t>
            </w:r>
          </w:p>
        </w:tc>
        <w:tc>
          <w:tcPr>
            <w:tcW w:w="3402" w:type="dxa"/>
            <w:tcBorders>
              <w:bottom w:val="single" w:sz="4" w:space="0" w:color="auto"/>
            </w:tcBorders>
            <w:shd w:val="clear" w:color="auto" w:fill="B6DDE8"/>
          </w:tcPr>
          <w:p w14:paraId="6F86819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Cost impact</w:t>
            </w:r>
          </w:p>
        </w:tc>
      </w:tr>
      <w:tr w:rsidR="009C1AA0" w:rsidRPr="00172933" w14:paraId="78777BDC" w14:textId="77777777" w:rsidTr="00D37628">
        <w:trPr>
          <w:cantSplit/>
          <w:trHeight w:val="548"/>
        </w:trPr>
        <w:tc>
          <w:tcPr>
            <w:tcW w:w="2405" w:type="dxa"/>
            <w:shd w:val="clear" w:color="auto" w:fill="auto"/>
          </w:tcPr>
          <w:p w14:paraId="5689ED38" w14:textId="5760606C" w:rsidR="009C1AA0" w:rsidRDefault="009C1AA0" w:rsidP="009C1AA0">
            <w:pPr>
              <w:rPr>
                <w:bCs/>
                <w:color w:val="000000"/>
                <w:sz w:val="24"/>
                <w:szCs w:val="24"/>
              </w:rPr>
            </w:pPr>
            <w:r w:rsidRPr="00172933">
              <w:rPr>
                <w:bCs/>
                <w:color w:val="000000"/>
                <w:sz w:val="24"/>
                <w:szCs w:val="24"/>
              </w:rPr>
              <w:t xml:space="preserve">HNY APC minutes – </w:t>
            </w:r>
            <w:r w:rsidR="000C6493">
              <w:rPr>
                <w:bCs/>
                <w:color w:val="000000"/>
                <w:sz w:val="24"/>
                <w:szCs w:val="24"/>
              </w:rPr>
              <w:t>May</w:t>
            </w:r>
            <w:r w:rsidRPr="00172933">
              <w:rPr>
                <w:bCs/>
                <w:color w:val="000000"/>
                <w:sz w:val="24"/>
                <w:szCs w:val="24"/>
              </w:rPr>
              <w:t xml:space="preserve"> 202</w:t>
            </w:r>
            <w:r w:rsidR="00E73516" w:rsidRPr="00172933">
              <w:rPr>
                <w:bCs/>
                <w:color w:val="000000"/>
                <w:sz w:val="24"/>
                <w:szCs w:val="24"/>
              </w:rPr>
              <w:t>5</w:t>
            </w:r>
          </w:p>
          <w:p w14:paraId="0898B4A9" w14:textId="3EA78FA0" w:rsidR="00B801EC" w:rsidRPr="00172933" w:rsidRDefault="00B801EC" w:rsidP="009C1AA0">
            <w:pPr>
              <w:rPr>
                <w:bCs/>
                <w:color w:val="000000"/>
                <w:sz w:val="24"/>
                <w:szCs w:val="24"/>
              </w:rPr>
            </w:pPr>
          </w:p>
        </w:tc>
        <w:tc>
          <w:tcPr>
            <w:tcW w:w="3119" w:type="dxa"/>
          </w:tcPr>
          <w:p w14:paraId="65575D15" w14:textId="77777777" w:rsidR="009C1AA0" w:rsidRPr="00172933" w:rsidRDefault="009C1AA0" w:rsidP="009C1AA0">
            <w:pPr>
              <w:rPr>
                <w:sz w:val="24"/>
                <w:szCs w:val="24"/>
              </w:rPr>
            </w:pPr>
          </w:p>
        </w:tc>
        <w:tc>
          <w:tcPr>
            <w:tcW w:w="2976" w:type="dxa"/>
            <w:shd w:val="clear" w:color="auto" w:fill="auto"/>
          </w:tcPr>
          <w:p w14:paraId="639AD67A" w14:textId="77777777" w:rsidR="009C1AA0" w:rsidRPr="00172933" w:rsidRDefault="009C1AA0" w:rsidP="009C1AA0">
            <w:pPr>
              <w:rPr>
                <w:iCs/>
                <w:sz w:val="24"/>
                <w:szCs w:val="24"/>
              </w:rPr>
            </w:pPr>
          </w:p>
        </w:tc>
        <w:tc>
          <w:tcPr>
            <w:tcW w:w="3969" w:type="dxa"/>
            <w:shd w:val="clear" w:color="auto" w:fill="auto"/>
          </w:tcPr>
          <w:p w14:paraId="4622FD15" w14:textId="02C0CF99" w:rsidR="009C1AA0" w:rsidRPr="00172933" w:rsidRDefault="009C1AA0" w:rsidP="009C1AA0">
            <w:pPr>
              <w:rPr>
                <w:sz w:val="24"/>
                <w:szCs w:val="24"/>
              </w:rPr>
            </w:pPr>
            <w:r w:rsidRPr="00172933">
              <w:rPr>
                <w:sz w:val="24"/>
                <w:szCs w:val="24"/>
              </w:rPr>
              <w:t>Approved</w:t>
            </w:r>
          </w:p>
        </w:tc>
        <w:tc>
          <w:tcPr>
            <w:tcW w:w="3402" w:type="dxa"/>
          </w:tcPr>
          <w:p w14:paraId="21C1C9A6" w14:textId="77777777" w:rsidR="009C1AA0" w:rsidRDefault="009C1AA0" w:rsidP="009C1AA0">
            <w:pPr>
              <w:rPr>
                <w:sz w:val="24"/>
                <w:szCs w:val="24"/>
              </w:rPr>
            </w:pPr>
          </w:p>
          <w:p w14:paraId="1A1FC96D" w14:textId="77777777" w:rsidR="001B3D7C" w:rsidRPr="001B3D7C" w:rsidRDefault="001B3D7C" w:rsidP="001B3D7C">
            <w:pPr>
              <w:rPr>
                <w:sz w:val="24"/>
                <w:szCs w:val="24"/>
              </w:rPr>
            </w:pPr>
          </w:p>
          <w:p w14:paraId="397350B9" w14:textId="77777777" w:rsidR="001B3D7C" w:rsidRPr="001B3D7C" w:rsidRDefault="001B3D7C" w:rsidP="001B3D7C">
            <w:pPr>
              <w:rPr>
                <w:sz w:val="24"/>
                <w:szCs w:val="24"/>
              </w:rPr>
            </w:pPr>
          </w:p>
          <w:p w14:paraId="4753E4A5" w14:textId="77777777" w:rsidR="001B3D7C" w:rsidRPr="001B3D7C" w:rsidRDefault="001B3D7C" w:rsidP="001B3D7C">
            <w:pPr>
              <w:rPr>
                <w:sz w:val="24"/>
                <w:szCs w:val="24"/>
              </w:rPr>
            </w:pPr>
          </w:p>
        </w:tc>
      </w:tr>
      <w:tr w:rsidR="00B40050" w:rsidRPr="00172933" w14:paraId="58C8F1C8" w14:textId="77777777" w:rsidTr="000A1F10">
        <w:trPr>
          <w:cantSplit/>
          <w:trHeight w:val="548"/>
        </w:trPr>
        <w:tc>
          <w:tcPr>
            <w:tcW w:w="15871" w:type="dxa"/>
            <w:gridSpan w:val="5"/>
            <w:shd w:val="clear" w:color="auto" w:fill="auto"/>
          </w:tcPr>
          <w:p w14:paraId="33653B56" w14:textId="77777777" w:rsidR="00B40050" w:rsidRPr="00172933" w:rsidRDefault="00B40050" w:rsidP="00B40050">
            <w:pPr>
              <w:tabs>
                <w:tab w:val="clear" w:pos="975"/>
              </w:tabs>
              <w:rPr>
                <w:rFonts w:eastAsia="Calibri"/>
                <w:bCs/>
                <w:sz w:val="24"/>
                <w:szCs w:val="24"/>
              </w:rPr>
            </w:pPr>
            <w:r w:rsidRPr="00172933">
              <w:rPr>
                <w:rFonts w:eastAsia="Calibri"/>
                <w:bCs/>
                <w:sz w:val="24"/>
                <w:szCs w:val="24"/>
                <w:lang w:val="en-US"/>
              </w:rPr>
              <w:lastRenderedPageBreak/>
              <w:t>The following NHSE-commissioned medicines received positive NICE appraisals. They will be assessed by provider trusts once all necessary information is available, and if added to the HNY formulary they will have a status of RED </w:t>
            </w:r>
            <w:r w:rsidRPr="00172933">
              <w:rPr>
                <w:rFonts w:eastAsia="Calibri"/>
                <w:bCs/>
                <w:sz w:val="24"/>
                <w:szCs w:val="24"/>
              </w:rPr>
              <w:t> </w:t>
            </w:r>
          </w:p>
          <w:p w14:paraId="34B01400" w14:textId="77777777" w:rsidR="00D52FE5" w:rsidRPr="00D52FE5" w:rsidRDefault="00D52FE5" w:rsidP="00D52FE5">
            <w:pPr>
              <w:numPr>
                <w:ilvl w:val="0"/>
                <w:numId w:val="9"/>
              </w:numPr>
              <w:tabs>
                <w:tab w:val="clear" w:pos="975"/>
              </w:tabs>
              <w:rPr>
                <w:sz w:val="24"/>
                <w:szCs w:val="24"/>
              </w:rPr>
            </w:pPr>
            <w:r w:rsidRPr="00D52FE5">
              <w:rPr>
                <w:sz w:val="24"/>
                <w:szCs w:val="24"/>
              </w:rPr>
              <w:t xml:space="preserve">TA1036: </w:t>
            </w:r>
            <w:proofErr w:type="spellStart"/>
            <w:r w:rsidRPr="00D52FE5">
              <w:rPr>
                <w:sz w:val="24"/>
                <w:szCs w:val="24"/>
              </w:rPr>
              <w:t>Elacestrant</w:t>
            </w:r>
            <w:proofErr w:type="spellEnd"/>
            <w:r w:rsidRPr="00D52FE5">
              <w:rPr>
                <w:sz w:val="24"/>
                <w:szCs w:val="24"/>
              </w:rPr>
              <w:t xml:space="preserve"> for treating oestrogen receptor-positive HER2-negative advanced breast cancer with an ESR1 mutation after endocrine treatment</w:t>
            </w:r>
          </w:p>
          <w:p w14:paraId="61FC1705" w14:textId="77777777" w:rsidR="00D52FE5" w:rsidRPr="00D52FE5" w:rsidRDefault="00D52FE5" w:rsidP="00D52FE5">
            <w:pPr>
              <w:numPr>
                <w:ilvl w:val="0"/>
                <w:numId w:val="9"/>
              </w:numPr>
              <w:tabs>
                <w:tab w:val="clear" w:pos="975"/>
              </w:tabs>
              <w:rPr>
                <w:sz w:val="24"/>
                <w:szCs w:val="24"/>
              </w:rPr>
            </w:pPr>
            <w:r w:rsidRPr="00D52FE5">
              <w:rPr>
                <w:sz w:val="24"/>
                <w:szCs w:val="24"/>
              </w:rPr>
              <w:t>TA1037: Pembrolizumab for adjuvant treatment of resected non-small-cell lung cancer</w:t>
            </w:r>
          </w:p>
          <w:p w14:paraId="1F0BFE8C" w14:textId="77777777" w:rsidR="00D52FE5" w:rsidRPr="00D52FE5" w:rsidRDefault="00D52FE5" w:rsidP="00D52FE5">
            <w:pPr>
              <w:numPr>
                <w:ilvl w:val="0"/>
                <w:numId w:val="9"/>
              </w:numPr>
              <w:tabs>
                <w:tab w:val="clear" w:pos="975"/>
              </w:tabs>
              <w:rPr>
                <w:sz w:val="24"/>
                <w:szCs w:val="24"/>
              </w:rPr>
            </w:pPr>
            <w:r w:rsidRPr="00D52FE5">
              <w:rPr>
                <w:sz w:val="24"/>
                <w:szCs w:val="24"/>
              </w:rPr>
              <w:t>TA1038: Selpercatinib for advanced thyroid cancer with RET alterations after treatment with a targeted cancer drug in people 12 years and over</w:t>
            </w:r>
          </w:p>
          <w:p w14:paraId="2A3111A2" w14:textId="77777777" w:rsidR="00D52FE5" w:rsidRPr="00D52FE5" w:rsidRDefault="00D52FE5" w:rsidP="00D52FE5">
            <w:pPr>
              <w:numPr>
                <w:ilvl w:val="0"/>
                <w:numId w:val="9"/>
              </w:numPr>
              <w:tabs>
                <w:tab w:val="clear" w:pos="975"/>
              </w:tabs>
              <w:rPr>
                <w:sz w:val="24"/>
                <w:szCs w:val="24"/>
              </w:rPr>
            </w:pPr>
            <w:r w:rsidRPr="00D52FE5">
              <w:rPr>
                <w:sz w:val="24"/>
                <w:szCs w:val="24"/>
              </w:rPr>
              <w:t>TA1039: Selpercatinib for advanced thyroid cancer with RET alterations untreated with a targeted cancer drug in people 12 years and over</w:t>
            </w:r>
          </w:p>
          <w:p w14:paraId="377E4659" w14:textId="77777777" w:rsidR="00D52FE5" w:rsidRPr="00D52FE5" w:rsidRDefault="00D52FE5" w:rsidP="00D52FE5">
            <w:pPr>
              <w:numPr>
                <w:ilvl w:val="0"/>
                <w:numId w:val="9"/>
              </w:numPr>
              <w:tabs>
                <w:tab w:val="clear" w:pos="975"/>
              </w:tabs>
              <w:rPr>
                <w:sz w:val="24"/>
                <w:szCs w:val="24"/>
              </w:rPr>
            </w:pPr>
            <w:r w:rsidRPr="00D52FE5">
              <w:rPr>
                <w:sz w:val="24"/>
                <w:szCs w:val="24"/>
              </w:rPr>
              <w:t>TA1040: Olaparib for treating BRCA mutation-positive HER2-negative advanced breast cancer after chemotherapy</w:t>
            </w:r>
          </w:p>
          <w:p w14:paraId="025D9DA7" w14:textId="77777777" w:rsidR="00D52FE5" w:rsidRPr="00D52FE5" w:rsidRDefault="00D52FE5" w:rsidP="00D52FE5">
            <w:pPr>
              <w:numPr>
                <w:ilvl w:val="0"/>
                <w:numId w:val="9"/>
              </w:numPr>
              <w:tabs>
                <w:tab w:val="clear" w:pos="975"/>
              </w:tabs>
              <w:rPr>
                <w:sz w:val="24"/>
                <w:szCs w:val="24"/>
              </w:rPr>
            </w:pPr>
            <w:r w:rsidRPr="00D52FE5">
              <w:rPr>
                <w:sz w:val="24"/>
                <w:szCs w:val="24"/>
              </w:rPr>
              <w:t>TA1041: Durvalumab with etoposide and either carboplatin or cisplatin for untreated extensive-stage small-cell lung cancer</w:t>
            </w:r>
          </w:p>
          <w:p w14:paraId="5C75B08F" w14:textId="77777777" w:rsidR="00D52FE5" w:rsidRPr="00D52FE5" w:rsidRDefault="00D52FE5" w:rsidP="00D52FE5">
            <w:pPr>
              <w:numPr>
                <w:ilvl w:val="0"/>
                <w:numId w:val="9"/>
              </w:numPr>
              <w:tabs>
                <w:tab w:val="clear" w:pos="975"/>
              </w:tabs>
              <w:rPr>
                <w:sz w:val="24"/>
                <w:szCs w:val="24"/>
              </w:rPr>
            </w:pPr>
            <w:r w:rsidRPr="00D52FE5">
              <w:rPr>
                <w:sz w:val="24"/>
                <w:szCs w:val="24"/>
              </w:rPr>
              <w:t>TA1042: Selpercatinib for previously treated RET fusion-positive advanced non-small-cell lung cancer</w:t>
            </w:r>
          </w:p>
          <w:p w14:paraId="2A035431" w14:textId="77777777" w:rsidR="00D52FE5" w:rsidRPr="00D52FE5" w:rsidRDefault="00D52FE5" w:rsidP="00D52FE5">
            <w:pPr>
              <w:numPr>
                <w:ilvl w:val="0"/>
                <w:numId w:val="9"/>
              </w:numPr>
              <w:tabs>
                <w:tab w:val="clear" w:pos="975"/>
              </w:tabs>
              <w:rPr>
                <w:sz w:val="24"/>
                <w:szCs w:val="24"/>
              </w:rPr>
            </w:pPr>
            <w:r w:rsidRPr="00D52FE5">
              <w:rPr>
                <w:sz w:val="24"/>
                <w:szCs w:val="24"/>
              </w:rPr>
              <w:t>TA1043: Osimertinib for adjuvant treatment of EGFR mutation-positive non-small-cell lung cancer after complete tumour resection</w:t>
            </w:r>
          </w:p>
          <w:p w14:paraId="5CC1980B" w14:textId="77777777" w:rsidR="00D52FE5" w:rsidRPr="00D52FE5" w:rsidRDefault="00D52FE5" w:rsidP="00D52FE5">
            <w:pPr>
              <w:numPr>
                <w:ilvl w:val="0"/>
                <w:numId w:val="9"/>
              </w:numPr>
              <w:tabs>
                <w:tab w:val="clear" w:pos="975"/>
              </w:tabs>
              <w:rPr>
                <w:sz w:val="24"/>
                <w:szCs w:val="24"/>
              </w:rPr>
            </w:pPr>
            <w:r w:rsidRPr="00D52FE5">
              <w:rPr>
                <w:sz w:val="24"/>
                <w:szCs w:val="24"/>
              </w:rPr>
              <w:t xml:space="preserve">TA1044: </w:t>
            </w:r>
            <w:proofErr w:type="spellStart"/>
            <w:r w:rsidRPr="00D52FE5">
              <w:rPr>
                <w:sz w:val="24"/>
                <w:szCs w:val="24"/>
              </w:rPr>
              <w:t>Exagamglogene</w:t>
            </w:r>
            <w:proofErr w:type="spellEnd"/>
            <w:r w:rsidRPr="00D52FE5">
              <w:rPr>
                <w:sz w:val="24"/>
                <w:szCs w:val="24"/>
              </w:rPr>
              <w:t xml:space="preserve"> </w:t>
            </w:r>
            <w:proofErr w:type="spellStart"/>
            <w:r w:rsidRPr="00D52FE5">
              <w:rPr>
                <w:sz w:val="24"/>
                <w:szCs w:val="24"/>
              </w:rPr>
              <w:t>autotemcel</w:t>
            </w:r>
            <w:proofErr w:type="spellEnd"/>
            <w:r w:rsidRPr="00D52FE5">
              <w:rPr>
                <w:sz w:val="24"/>
                <w:szCs w:val="24"/>
              </w:rPr>
              <w:t xml:space="preserve"> for treating severe sickle cell disease in people 12 years and over</w:t>
            </w:r>
          </w:p>
          <w:p w14:paraId="09F2B956" w14:textId="77777777" w:rsidR="00D52FE5" w:rsidRPr="00D52FE5" w:rsidRDefault="00D52FE5" w:rsidP="00D52FE5">
            <w:pPr>
              <w:numPr>
                <w:ilvl w:val="0"/>
                <w:numId w:val="9"/>
              </w:numPr>
              <w:tabs>
                <w:tab w:val="clear" w:pos="975"/>
              </w:tabs>
              <w:rPr>
                <w:sz w:val="24"/>
                <w:szCs w:val="24"/>
              </w:rPr>
            </w:pPr>
            <w:r w:rsidRPr="00D52FE5">
              <w:rPr>
                <w:sz w:val="24"/>
                <w:szCs w:val="24"/>
              </w:rPr>
              <w:t xml:space="preserve">TA1048: Lisocabtagene </w:t>
            </w:r>
            <w:proofErr w:type="spellStart"/>
            <w:r w:rsidRPr="00D52FE5">
              <w:rPr>
                <w:sz w:val="24"/>
                <w:szCs w:val="24"/>
              </w:rPr>
              <w:t>maraleucel</w:t>
            </w:r>
            <w:proofErr w:type="spellEnd"/>
            <w:r w:rsidRPr="00D52FE5">
              <w:rPr>
                <w:sz w:val="24"/>
                <w:szCs w:val="24"/>
              </w:rPr>
              <w:t xml:space="preserve"> for treating relapsed or refractory large B-cell lymphoma after first-line </w:t>
            </w:r>
            <w:proofErr w:type="spellStart"/>
            <w:r w:rsidRPr="00D52FE5">
              <w:rPr>
                <w:sz w:val="24"/>
                <w:szCs w:val="24"/>
              </w:rPr>
              <w:t>chemoimmunotherapy</w:t>
            </w:r>
            <w:proofErr w:type="spellEnd"/>
            <w:r w:rsidRPr="00D52FE5">
              <w:rPr>
                <w:sz w:val="24"/>
                <w:szCs w:val="24"/>
              </w:rPr>
              <w:t xml:space="preserve"> when a stem cell transplant is suitable </w:t>
            </w:r>
          </w:p>
          <w:p w14:paraId="3FBCDBD4" w14:textId="77777777" w:rsidR="00D52FE5" w:rsidRPr="00D52FE5" w:rsidRDefault="00D52FE5" w:rsidP="00D52FE5">
            <w:pPr>
              <w:numPr>
                <w:ilvl w:val="0"/>
                <w:numId w:val="9"/>
              </w:numPr>
              <w:tabs>
                <w:tab w:val="clear" w:pos="975"/>
              </w:tabs>
              <w:rPr>
                <w:sz w:val="24"/>
                <w:szCs w:val="24"/>
              </w:rPr>
            </w:pPr>
            <w:r w:rsidRPr="00D52FE5">
              <w:rPr>
                <w:sz w:val="24"/>
                <w:szCs w:val="24"/>
              </w:rPr>
              <w:t xml:space="preserve">TA1049: </w:t>
            </w:r>
            <w:proofErr w:type="spellStart"/>
            <w:r w:rsidRPr="00D52FE5">
              <w:rPr>
                <w:sz w:val="24"/>
                <w:szCs w:val="24"/>
              </w:rPr>
              <w:t>Blinatumomab</w:t>
            </w:r>
            <w:proofErr w:type="spellEnd"/>
            <w:r w:rsidRPr="00D52FE5">
              <w:rPr>
                <w:sz w:val="24"/>
                <w:szCs w:val="24"/>
              </w:rPr>
              <w:t xml:space="preserve"> with chemotherapy for consolidation treatment of Philadelphia-chromosome-negative CD19-positive minimal residual disease-negative B-cell precursor acute lymphoblastic leukaemia </w:t>
            </w:r>
          </w:p>
          <w:p w14:paraId="5A2F0468" w14:textId="4B4A27B6" w:rsidR="00B40050" w:rsidRPr="00172933" w:rsidRDefault="00D52FE5" w:rsidP="00D52FE5">
            <w:pPr>
              <w:numPr>
                <w:ilvl w:val="0"/>
                <w:numId w:val="9"/>
              </w:numPr>
              <w:tabs>
                <w:tab w:val="clear" w:pos="975"/>
              </w:tabs>
              <w:rPr>
                <w:sz w:val="24"/>
                <w:szCs w:val="24"/>
              </w:rPr>
            </w:pPr>
            <w:r w:rsidRPr="00D52FE5">
              <w:rPr>
                <w:sz w:val="24"/>
                <w:szCs w:val="24"/>
              </w:rPr>
              <w:t xml:space="preserve">TA1050: </w:t>
            </w:r>
            <w:proofErr w:type="spellStart"/>
            <w:r w:rsidRPr="00D52FE5">
              <w:rPr>
                <w:sz w:val="24"/>
                <w:szCs w:val="24"/>
              </w:rPr>
              <w:t>Fenfluramine</w:t>
            </w:r>
            <w:proofErr w:type="spellEnd"/>
            <w:r w:rsidRPr="00D52FE5">
              <w:rPr>
                <w:sz w:val="24"/>
                <w:szCs w:val="24"/>
              </w:rPr>
              <w:t xml:space="preserve"> for treating seizures associated with Lennox–</w:t>
            </w:r>
            <w:proofErr w:type="spellStart"/>
            <w:r w:rsidRPr="00D52FE5">
              <w:rPr>
                <w:sz w:val="24"/>
                <w:szCs w:val="24"/>
              </w:rPr>
              <w:t>Gastaut</w:t>
            </w:r>
            <w:proofErr w:type="spellEnd"/>
            <w:r w:rsidRPr="00D52FE5">
              <w:rPr>
                <w:sz w:val="24"/>
                <w:szCs w:val="24"/>
              </w:rPr>
              <w:t xml:space="preserve"> syndrome in people 2 years and over</w:t>
            </w:r>
          </w:p>
        </w:tc>
      </w:tr>
      <w:tr w:rsidR="00B40050" w:rsidRPr="00172933" w14:paraId="6520CA2D" w14:textId="77777777" w:rsidTr="00376D53">
        <w:trPr>
          <w:cantSplit/>
        </w:trPr>
        <w:tc>
          <w:tcPr>
            <w:tcW w:w="15871" w:type="dxa"/>
            <w:gridSpan w:val="5"/>
            <w:shd w:val="clear" w:color="auto" w:fill="auto"/>
          </w:tcPr>
          <w:p w14:paraId="0487B469" w14:textId="77777777" w:rsidR="00B40050" w:rsidRPr="00172933" w:rsidRDefault="00B40050" w:rsidP="00B40050">
            <w:pPr>
              <w:jc w:val="center"/>
              <w:rPr>
                <w:iCs/>
                <w:sz w:val="24"/>
                <w:szCs w:val="24"/>
              </w:rPr>
            </w:pPr>
            <w:r w:rsidRPr="00172933">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71EC0B50" w14:textId="77777777" w:rsidR="00493A22" w:rsidRDefault="00493A22" w:rsidP="001C7976">
      <w:pPr>
        <w:pStyle w:val="BodyText"/>
        <w:spacing w:before="68"/>
        <w:ind w:left="1"/>
        <w:jc w:val="center"/>
        <w:rPr>
          <w:color w:val="4C4D4F"/>
        </w:rPr>
      </w:pPr>
    </w:p>
    <w:p w14:paraId="6BF63F97" w14:textId="383204B9" w:rsidR="001C7976" w:rsidRDefault="001C7976" w:rsidP="001C7976">
      <w:pPr>
        <w:pStyle w:val="BodyText"/>
        <w:spacing w:before="68"/>
        <w:ind w:left="1"/>
        <w:jc w:val="center"/>
        <w:rPr>
          <w:color w:val="4C4D4F"/>
        </w:rPr>
      </w:pPr>
      <w:r>
        <w:rPr>
          <w:color w:val="4C4D4F"/>
        </w:rPr>
        <w:t>HNY APC Professional Secretariat Provided by:</w:t>
      </w:r>
    </w:p>
    <w:p w14:paraId="60F27020" w14:textId="77777777" w:rsidR="001C7976" w:rsidRDefault="001C7976" w:rsidP="001C7976">
      <w:pPr>
        <w:pStyle w:val="BodyText"/>
        <w:spacing w:before="68"/>
        <w:ind w:left="1"/>
        <w:jc w:val="center"/>
      </w:pPr>
      <w:r>
        <w:rPr>
          <w:color w:val="4C4D4F"/>
        </w:rPr>
        <w:t>Regional Drug and Therapeutics Centre</w:t>
      </w:r>
    </w:p>
    <w:p w14:paraId="4FC46799" w14:textId="77777777" w:rsidR="001C7976" w:rsidRDefault="001C7976" w:rsidP="001C7976">
      <w:pPr>
        <w:pStyle w:val="BodyText"/>
        <w:spacing w:before="4"/>
        <w:ind w:left="1"/>
        <w:jc w:val="center"/>
      </w:pPr>
      <w:r>
        <w:rPr>
          <w:color w:val="4C4D4F"/>
        </w:rPr>
        <w:t>16/17 Framlington Place, Newcastle upon Tyne, NE2 4AB</w:t>
      </w:r>
    </w:p>
    <w:p w14:paraId="3CC7289B" w14:textId="456F80FD" w:rsidR="001C7976" w:rsidRDefault="001C7976" w:rsidP="001C7976">
      <w:pPr>
        <w:tabs>
          <w:tab w:val="left" w:pos="1770"/>
          <w:tab w:val="left" w:pos="3611"/>
          <w:tab w:val="left" w:pos="6712"/>
        </w:tabs>
        <w:spacing w:before="3"/>
        <w:jc w:val="center"/>
        <w:rPr>
          <w:sz w:val="15"/>
        </w:rPr>
      </w:pPr>
      <w:bookmarkStart w:id="1"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28" w:history="1">
        <w:r w:rsidR="007D5B59" w:rsidRPr="008F730E">
          <w:rPr>
            <w:rStyle w:val="Hyperlink"/>
            <w:rFonts w:cs="Arial"/>
          </w:rPr>
          <w:t>nuth.hnyapc@nhs.net</w:t>
        </w:r>
      </w:hyperlink>
      <w:r w:rsidR="007D5B59">
        <w:rPr>
          <w:color w:val="4C4D4F"/>
        </w:rPr>
        <w:t xml:space="preserve">  </w:t>
      </w:r>
      <w:r>
        <w:rPr>
          <w:color w:val="4C4D4F"/>
          <w:spacing w:val="19"/>
        </w:rPr>
        <w:t xml:space="preserve">  </w:t>
      </w:r>
      <w:r>
        <w:rPr>
          <w:color w:val="4C4D4F"/>
        </w:rPr>
        <w:t>visit:</w:t>
      </w:r>
      <w:r>
        <w:rPr>
          <w:color w:val="4C4D4F"/>
          <w:spacing w:val="4"/>
        </w:rPr>
        <w:t xml:space="preserve"> </w:t>
      </w:r>
      <w:hyperlink r:id="rId29" w:history="1">
        <w:r w:rsidRPr="00EF6157">
          <w:rPr>
            <w:rStyle w:val="Hyperlink"/>
            <w:rFonts w:cs="Arial"/>
          </w:rPr>
          <w:t>https://humberandnorthyorkshire.org.uk/area-prescribing-committee-apc/</w:t>
        </w:r>
      </w:hyperlink>
      <w:r>
        <w:t xml:space="preserve"> </w:t>
      </w:r>
    </w:p>
    <w:bookmarkEnd w:id="1"/>
    <w:p w14:paraId="3F6D9BD9" w14:textId="77777777" w:rsidR="001C7976" w:rsidRDefault="001C7976" w:rsidP="001C7976">
      <w:pPr>
        <w:ind w:left="12"/>
        <w:jc w:val="center"/>
      </w:pPr>
      <w:r>
        <w:rPr>
          <w:noProof/>
          <w:position w:val="-15"/>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0"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31">
        <w:r>
          <w:rPr>
            <w:color w:val="456DA9"/>
          </w:rPr>
          <w:t>@</w:t>
        </w:r>
        <w:proofErr w:type="spellStart"/>
        <w:r>
          <w:rPr>
            <w:color w:val="456DA9"/>
          </w:rPr>
          <w:t>RDTC_Rx</w:t>
        </w:r>
        <w:proofErr w:type="spellEnd"/>
      </w:hyperlink>
    </w:p>
    <w:p w14:paraId="0C19F98F" w14:textId="7835C9A3" w:rsidR="00560ADF" w:rsidRPr="00E73516" w:rsidRDefault="001C7976" w:rsidP="00E73516">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sectPr w:rsidR="00560ADF" w:rsidRPr="00E73516"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442185357" name="Picture 44218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r w:rsidR="003A0939">
      <w:tab/>
    </w:r>
    <w:r w:rsidRPr="00B47BFE">
      <w:t xml:space="preserve">  </w:t>
    </w:r>
    <w:r w:rsidR="00CC2256">
      <w:t>December</w:t>
    </w:r>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FD0" w14:textId="49003F46"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715799634" name="Picture 171579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0C6493">
      <w:t>June</w:t>
    </w:r>
    <w:r w:rsidR="00040A7D">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C280" w14:textId="2533325C"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1796720444" name="Picture 17967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493A22">
      <w:t>April</w:t>
    </w:r>
    <w:r w:rsidR="00040A7D">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1216140623" name="Picture 121614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48E" w14:textId="2BB2C131" w:rsidR="009440BC" w:rsidRDefault="009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065C" w14:textId="03AA2F19" w:rsidR="009440BC" w:rsidRDefault="009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28FF" w14:textId="507B77E1" w:rsidR="009440BC" w:rsidRDefault="009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761"/>
    <w:multiLevelType w:val="hybridMultilevel"/>
    <w:tmpl w:val="5162AF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194"/>
    <w:multiLevelType w:val="hybridMultilevel"/>
    <w:tmpl w:val="08FE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C135D"/>
    <w:multiLevelType w:val="hybridMultilevel"/>
    <w:tmpl w:val="12E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797D"/>
    <w:multiLevelType w:val="multilevel"/>
    <w:tmpl w:val="04C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744259"/>
    <w:multiLevelType w:val="hybridMultilevel"/>
    <w:tmpl w:val="4546F0D0"/>
    <w:lvl w:ilvl="0" w:tplc="7AFECBD6">
      <w:numFmt w:val="bullet"/>
      <w:lvlText w:val="-"/>
      <w:lvlJc w:val="left"/>
      <w:pPr>
        <w:ind w:left="410" w:hanging="360"/>
      </w:pPr>
      <w:rPr>
        <w:rFonts w:ascii="Arial" w:eastAsia="Helvetica" w:hAnsi="Arial"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30795D11"/>
    <w:multiLevelType w:val="hybridMultilevel"/>
    <w:tmpl w:val="3CACE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A939A9"/>
    <w:multiLevelType w:val="multilevel"/>
    <w:tmpl w:val="2F9006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E6941"/>
    <w:multiLevelType w:val="hybridMultilevel"/>
    <w:tmpl w:val="5BA6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22612"/>
    <w:multiLevelType w:val="hybridMultilevel"/>
    <w:tmpl w:val="6494ED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45BDC"/>
    <w:multiLevelType w:val="multilevel"/>
    <w:tmpl w:val="B3C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45BE9"/>
    <w:multiLevelType w:val="hybridMultilevel"/>
    <w:tmpl w:val="8B52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E40BAB"/>
    <w:multiLevelType w:val="hybridMultilevel"/>
    <w:tmpl w:val="C480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E2E50"/>
    <w:multiLevelType w:val="multilevel"/>
    <w:tmpl w:val="D8B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82B5B"/>
    <w:multiLevelType w:val="hybridMultilevel"/>
    <w:tmpl w:val="12D2829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5C673365"/>
    <w:multiLevelType w:val="multilevel"/>
    <w:tmpl w:val="DC0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AD0E4C"/>
    <w:multiLevelType w:val="multilevel"/>
    <w:tmpl w:val="4A3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D85395"/>
    <w:multiLevelType w:val="multilevel"/>
    <w:tmpl w:val="95BE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1"/>
  </w:num>
  <w:num w:numId="4">
    <w:abstractNumId w:val="13"/>
  </w:num>
  <w:num w:numId="5">
    <w:abstractNumId w:val="10"/>
  </w:num>
  <w:num w:numId="6">
    <w:abstractNumId w:val="17"/>
  </w:num>
  <w:num w:numId="7">
    <w:abstractNumId w:val="15"/>
  </w:num>
  <w:num w:numId="8">
    <w:abstractNumId w:val="16"/>
  </w:num>
  <w:num w:numId="9">
    <w:abstractNumId w:val="3"/>
  </w:num>
  <w:num w:numId="10">
    <w:abstractNumId w:val="12"/>
  </w:num>
  <w:num w:numId="11">
    <w:abstractNumId w:val="8"/>
  </w:num>
  <w:num w:numId="12">
    <w:abstractNumId w:val="9"/>
  </w:num>
  <w:num w:numId="13">
    <w:abstractNumId w:val="2"/>
  </w:num>
  <w:num w:numId="14">
    <w:abstractNumId w:val="1"/>
  </w:num>
  <w:num w:numId="15">
    <w:abstractNumId w:val="0"/>
  </w:num>
  <w:num w:numId="16">
    <w:abstractNumId w:val="14"/>
  </w:num>
  <w:num w:numId="17">
    <w:abstractNumId w:val="5"/>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F"/>
    <w:rsid w:val="00000614"/>
    <w:rsid w:val="0003501F"/>
    <w:rsid w:val="00040A7D"/>
    <w:rsid w:val="000445EA"/>
    <w:rsid w:val="00051DB8"/>
    <w:rsid w:val="00052D53"/>
    <w:rsid w:val="00053A7D"/>
    <w:rsid w:val="000676AA"/>
    <w:rsid w:val="0007607C"/>
    <w:rsid w:val="00087638"/>
    <w:rsid w:val="000919D1"/>
    <w:rsid w:val="000A1DB8"/>
    <w:rsid w:val="000A1EB8"/>
    <w:rsid w:val="000A4068"/>
    <w:rsid w:val="000C4518"/>
    <w:rsid w:val="000C6200"/>
    <w:rsid w:val="000C6493"/>
    <w:rsid w:val="001438C0"/>
    <w:rsid w:val="00151934"/>
    <w:rsid w:val="001573FC"/>
    <w:rsid w:val="00163CC8"/>
    <w:rsid w:val="00164BE9"/>
    <w:rsid w:val="00172933"/>
    <w:rsid w:val="001849DB"/>
    <w:rsid w:val="001B3D7C"/>
    <w:rsid w:val="001B7451"/>
    <w:rsid w:val="001C291E"/>
    <w:rsid w:val="001C7976"/>
    <w:rsid w:val="001D1284"/>
    <w:rsid w:val="001F0421"/>
    <w:rsid w:val="001F28EB"/>
    <w:rsid w:val="00212556"/>
    <w:rsid w:val="002243E0"/>
    <w:rsid w:val="00231E30"/>
    <w:rsid w:val="00245872"/>
    <w:rsid w:val="00270030"/>
    <w:rsid w:val="0028057F"/>
    <w:rsid w:val="0028306A"/>
    <w:rsid w:val="00284386"/>
    <w:rsid w:val="00286647"/>
    <w:rsid w:val="00287462"/>
    <w:rsid w:val="00291455"/>
    <w:rsid w:val="00293208"/>
    <w:rsid w:val="00297D20"/>
    <w:rsid w:val="002B7031"/>
    <w:rsid w:val="002C038B"/>
    <w:rsid w:val="002D44AD"/>
    <w:rsid w:val="002D5A93"/>
    <w:rsid w:val="002D6A78"/>
    <w:rsid w:val="002D6B55"/>
    <w:rsid w:val="00310A03"/>
    <w:rsid w:val="00311322"/>
    <w:rsid w:val="00317A38"/>
    <w:rsid w:val="00341777"/>
    <w:rsid w:val="00364888"/>
    <w:rsid w:val="003662FE"/>
    <w:rsid w:val="003675E8"/>
    <w:rsid w:val="003679C5"/>
    <w:rsid w:val="003721C9"/>
    <w:rsid w:val="00376D53"/>
    <w:rsid w:val="00383A54"/>
    <w:rsid w:val="00384BD6"/>
    <w:rsid w:val="003A0834"/>
    <w:rsid w:val="003A0939"/>
    <w:rsid w:val="003A0AA7"/>
    <w:rsid w:val="003A3E0B"/>
    <w:rsid w:val="003B1091"/>
    <w:rsid w:val="003B42C3"/>
    <w:rsid w:val="003F10F1"/>
    <w:rsid w:val="003F1A3A"/>
    <w:rsid w:val="00432265"/>
    <w:rsid w:val="00433C32"/>
    <w:rsid w:val="00436283"/>
    <w:rsid w:val="00447DF4"/>
    <w:rsid w:val="00472798"/>
    <w:rsid w:val="00493A22"/>
    <w:rsid w:val="004A08AE"/>
    <w:rsid w:val="004B3656"/>
    <w:rsid w:val="004C6BED"/>
    <w:rsid w:val="004D2801"/>
    <w:rsid w:val="004E0E20"/>
    <w:rsid w:val="004E452C"/>
    <w:rsid w:val="004E5F2D"/>
    <w:rsid w:val="004F4F2C"/>
    <w:rsid w:val="004F69A4"/>
    <w:rsid w:val="00521D47"/>
    <w:rsid w:val="00534740"/>
    <w:rsid w:val="00560ADF"/>
    <w:rsid w:val="005617A9"/>
    <w:rsid w:val="00562B5A"/>
    <w:rsid w:val="00566C50"/>
    <w:rsid w:val="005B1A2C"/>
    <w:rsid w:val="005B4E08"/>
    <w:rsid w:val="005B6E51"/>
    <w:rsid w:val="005C0229"/>
    <w:rsid w:val="005C3CE2"/>
    <w:rsid w:val="005F23BE"/>
    <w:rsid w:val="005F5C08"/>
    <w:rsid w:val="00623832"/>
    <w:rsid w:val="00630CB4"/>
    <w:rsid w:val="00646CBD"/>
    <w:rsid w:val="0067124F"/>
    <w:rsid w:val="00674875"/>
    <w:rsid w:val="0068542C"/>
    <w:rsid w:val="00686FE4"/>
    <w:rsid w:val="006B4F2B"/>
    <w:rsid w:val="006C1D50"/>
    <w:rsid w:val="006D4B89"/>
    <w:rsid w:val="006E3D7B"/>
    <w:rsid w:val="006E665B"/>
    <w:rsid w:val="006F093A"/>
    <w:rsid w:val="00712AD4"/>
    <w:rsid w:val="00726EEF"/>
    <w:rsid w:val="00732CE6"/>
    <w:rsid w:val="00734652"/>
    <w:rsid w:val="0079078F"/>
    <w:rsid w:val="007909C3"/>
    <w:rsid w:val="007A31AE"/>
    <w:rsid w:val="007A6E02"/>
    <w:rsid w:val="007D5B59"/>
    <w:rsid w:val="007F044F"/>
    <w:rsid w:val="007F1855"/>
    <w:rsid w:val="008072D2"/>
    <w:rsid w:val="00830A05"/>
    <w:rsid w:val="00842E14"/>
    <w:rsid w:val="008606FE"/>
    <w:rsid w:val="00862815"/>
    <w:rsid w:val="00885EE2"/>
    <w:rsid w:val="00894352"/>
    <w:rsid w:val="00897F5D"/>
    <w:rsid w:val="008C0B9E"/>
    <w:rsid w:val="008D6DE1"/>
    <w:rsid w:val="009108ED"/>
    <w:rsid w:val="00922D21"/>
    <w:rsid w:val="00931096"/>
    <w:rsid w:val="009440BC"/>
    <w:rsid w:val="0095030D"/>
    <w:rsid w:val="00967047"/>
    <w:rsid w:val="00983E23"/>
    <w:rsid w:val="009846C4"/>
    <w:rsid w:val="00985184"/>
    <w:rsid w:val="009A721C"/>
    <w:rsid w:val="009C1AA0"/>
    <w:rsid w:val="009C318B"/>
    <w:rsid w:val="009E5F4F"/>
    <w:rsid w:val="009F1555"/>
    <w:rsid w:val="00A01100"/>
    <w:rsid w:val="00A12F07"/>
    <w:rsid w:val="00A17C46"/>
    <w:rsid w:val="00A3020A"/>
    <w:rsid w:val="00A550E2"/>
    <w:rsid w:val="00A55F26"/>
    <w:rsid w:val="00A90878"/>
    <w:rsid w:val="00A9155E"/>
    <w:rsid w:val="00AA2250"/>
    <w:rsid w:val="00AA7BB9"/>
    <w:rsid w:val="00AB66B9"/>
    <w:rsid w:val="00AC6922"/>
    <w:rsid w:val="00AF1D87"/>
    <w:rsid w:val="00AF7C38"/>
    <w:rsid w:val="00AF7FFC"/>
    <w:rsid w:val="00B16D53"/>
    <w:rsid w:val="00B221D6"/>
    <w:rsid w:val="00B3576A"/>
    <w:rsid w:val="00B40050"/>
    <w:rsid w:val="00B4247C"/>
    <w:rsid w:val="00B43BEE"/>
    <w:rsid w:val="00B47BFE"/>
    <w:rsid w:val="00B53501"/>
    <w:rsid w:val="00B6100A"/>
    <w:rsid w:val="00B624BB"/>
    <w:rsid w:val="00B65BEA"/>
    <w:rsid w:val="00B73289"/>
    <w:rsid w:val="00B74ECB"/>
    <w:rsid w:val="00B801EC"/>
    <w:rsid w:val="00B83148"/>
    <w:rsid w:val="00B900B4"/>
    <w:rsid w:val="00BB4FF3"/>
    <w:rsid w:val="00BC02E9"/>
    <w:rsid w:val="00BC5B4D"/>
    <w:rsid w:val="00BC7C04"/>
    <w:rsid w:val="00BF1D6B"/>
    <w:rsid w:val="00C00E0A"/>
    <w:rsid w:val="00C02D41"/>
    <w:rsid w:val="00C05997"/>
    <w:rsid w:val="00C13E92"/>
    <w:rsid w:val="00C20E88"/>
    <w:rsid w:val="00C4153E"/>
    <w:rsid w:val="00C43079"/>
    <w:rsid w:val="00C84BB0"/>
    <w:rsid w:val="00C8733F"/>
    <w:rsid w:val="00C87597"/>
    <w:rsid w:val="00C966D9"/>
    <w:rsid w:val="00C97823"/>
    <w:rsid w:val="00CA13FA"/>
    <w:rsid w:val="00CA6426"/>
    <w:rsid w:val="00CC2256"/>
    <w:rsid w:val="00CC4392"/>
    <w:rsid w:val="00CD18E2"/>
    <w:rsid w:val="00CE2F6D"/>
    <w:rsid w:val="00D23196"/>
    <w:rsid w:val="00D37628"/>
    <w:rsid w:val="00D41C86"/>
    <w:rsid w:val="00D52FE5"/>
    <w:rsid w:val="00D56C5C"/>
    <w:rsid w:val="00D771F7"/>
    <w:rsid w:val="00D77342"/>
    <w:rsid w:val="00DE1560"/>
    <w:rsid w:val="00DF6DD1"/>
    <w:rsid w:val="00E11EB4"/>
    <w:rsid w:val="00E13745"/>
    <w:rsid w:val="00E348EA"/>
    <w:rsid w:val="00E364E4"/>
    <w:rsid w:val="00E36C52"/>
    <w:rsid w:val="00E55444"/>
    <w:rsid w:val="00E7173A"/>
    <w:rsid w:val="00E73516"/>
    <w:rsid w:val="00E80933"/>
    <w:rsid w:val="00E83736"/>
    <w:rsid w:val="00E94048"/>
    <w:rsid w:val="00EA5257"/>
    <w:rsid w:val="00EB2F2B"/>
    <w:rsid w:val="00EB7C56"/>
    <w:rsid w:val="00EC091D"/>
    <w:rsid w:val="00EC48E4"/>
    <w:rsid w:val="00ED412F"/>
    <w:rsid w:val="00ED4F43"/>
    <w:rsid w:val="00ED7717"/>
    <w:rsid w:val="00EF6D1B"/>
    <w:rsid w:val="00EF74D1"/>
    <w:rsid w:val="00F07C92"/>
    <w:rsid w:val="00F1389B"/>
    <w:rsid w:val="00F13B08"/>
    <w:rsid w:val="00F52BBA"/>
    <w:rsid w:val="00F53774"/>
    <w:rsid w:val="00F54CB1"/>
    <w:rsid w:val="00F81187"/>
    <w:rsid w:val="00FB2049"/>
    <w:rsid w:val="00FC005D"/>
    <w:rsid w:val="00FD45B9"/>
    <w:rsid w:val="00FE2842"/>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76"/>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7D5B59"/>
    <w:rPr>
      <w:color w:val="605E5C"/>
      <w:shd w:val="clear" w:color="auto" w:fill="E1DFDD"/>
    </w:rPr>
  </w:style>
  <w:style w:type="character" w:customStyle="1" w:styleId="normaltextrun">
    <w:name w:val="normaltextrun"/>
    <w:basedOn w:val="DefaultParagraphFont"/>
    <w:rsid w:val="00493A22"/>
  </w:style>
  <w:style w:type="character" w:customStyle="1" w:styleId="eop">
    <w:name w:val="eop"/>
    <w:basedOn w:val="DefaultParagraphFont"/>
    <w:rsid w:val="00493A22"/>
  </w:style>
  <w:style w:type="paragraph" w:customStyle="1" w:styleId="paragraph">
    <w:name w:val="paragraph"/>
    <w:basedOn w:val="Normal"/>
    <w:rsid w:val="00493A22"/>
    <w:pPr>
      <w:widowControl/>
      <w:tabs>
        <w:tab w:val="clear" w:pos="975"/>
      </w:tabs>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37628"/>
    <w:rPr>
      <w:color w:val="605E5C"/>
      <w:shd w:val="clear" w:color="auto" w:fill="E1DFDD"/>
    </w:rPr>
  </w:style>
  <w:style w:type="character" w:customStyle="1" w:styleId="Style1">
    <w:name w:val="Style1"/>
    <w:uiPriority w:val="1"/>
    <w:rsid w:val="000C6493"/>
    <w:rPr>
      <w:sz w:val="32"/>
    </w:rPr>
  </w:style>
  <w:style w:type="character" w:customStyle="1" w:styleId="scxw146526445">
    <w:name w:val="scxw146526445"/>
    <w:basedOn w:val="DefaultParagraphFont"/>
    <w:rsid w:val="000C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5448">
      <w:bodyDiv w:val="1"/>
      <w:marLeft w:val="0"/>
      <w:marRight w:val="0"/>
      <w:marTop w:val="0"/>
      <w:marBottom w:val="0"/>
      <w:divBdr>
        <w:top w:val="none" w:sz="0" w:space="0" w:color="auto"/>
        <w:left w:val="none" w:sz="0" w:space="0" w:color="auto"/>
        <w:bottom w:val="none" w:sz="0" w:space="0" w:color="auto"/>
        <w:right w:val="none" w:sz="0" w:space="0" w:color="auto"/>
      </w:divBdr>
    </w:div>
    <w:div w:id="197579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humberandnorthyorkshire.org.uk/locations/high-quality-asthma-care/" TargetMode="External"/><Relationship Id="rId26" Type="http://schemas.openxmlformats.org/officeDocument/2006/relationships/hyperlink" Target="https://www.pcds.org.uk/files/general/Rosacea_Treatment_2019-web.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umberandnorthyorkshire.icb.nhs.uk/wp-content/uploads/2023/07/Continuous-Glucose-Monitoring-Policy-003.pdf" TargetMode="External"/><Relationship Id="rId25" Type="http://schemas.openxmlformats.org/officeDocument/2006/relationships/hyperlink" Target="https://www.pcds.org.uk/clinical-guidance/atopic-eczem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ng28/" TargetMode="External"/><Relationship Id="rId20" Type="http://schemas.openxmlformats.org/officeDocument/2006/relationships/header" Target="header2.xml"/><Relationship Id="rId29" Type="http://schemas.openxmlformats.org/officeDocument/2006/relationships/hyperlink" Target="https://humberandnorthyorkshire.org.uk/area-prescribing-committee-a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cds.org.uk/clinical-guidance/atopic-ecze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ng97/" TargetMode="External"/><Relationship Id="rId23" Type="http://schemas.openxmlformats.org/officeDocument/2006/relationships/hyperlink" Target="https://www.pcds.org.uk/clinical-guidance/impetigo" TargetMode="External"/><Relationship Id="rId28" Type="http://schemas.openxmlformats.org/officeDocument/2006/relationships/hyperlink" Target="mailto:nuth.hnyapc@nhs.net" TargetMode="External"/><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header" Target="header1.xml"/><Relationship Id="rId31" Type="http://schemas.openxmlformats.org/officeDocument/2006/relationships/hyperlink" Target="https://twitter.com/RDTC_R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cds.org.uk/clinical-guidance/scabies" TargetMode="External"/><Relationship Id="rId22" Type="http://schemas.openxmlformats.org/officeDocument/2006/relationships/header" Target="header3.xml"/><Relationship Id="rId27" Type="http://schemas.openxmlformats.org/officeDocument/2006/relationships/hyperlink" Target="https://cks.nice.org.uk/topics/acne-vulgaris/management/primary-care-management/" TargetMode="External"/><Relationship Id="rId30" Type="http://schemas.openxmlformats.org/officeDocument/2006/relationships/image" Target="media/image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4B87-F026-4EE7-8B88-BC52E610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cp:lastModifiedBy>
  <cp:revision>45</cp:revision>
  <dcterms:created xsi:type="dcterms:W3CDTF">2024-12-16T11:58:00Z</dcterms:created>
  <dcterms:modified xsi:type="dcterms:W3CDTF">2025-07-17T10:00:00Z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