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E989C" w14:textId="77777777" w:rsidR="00785081" w:rsidRDefault="00785081">
      <w:pPr>
        <w:rPr>
          <w:rFonts w:ascii="Verdana" w:hAnsi="Verdana"/>
          <w:lang w:val="en-US"/>
        </w:rPr>
      </w:pPr>
    </w:p>
    <w:p w14:paraId="1272C734" w14:textId="77777777" w:rsidR="006B1DCF" w:rsidRDefault="006B1DCF" w:rsidP="001F7E47">
      <w:pPr>
        <w:rPr>
          <w:rFonts w:ascii="Verdana" w:hAnsi="Verdana"/>
          <w:lang w:val="en-GB"/>
        </w:rPr>
      </w:pPr>
    </w:p>
    <w:p w14:paraId="06D8B02E" w14:textId="77777777" w:rsidR="007A679B" w:rsidRDefault="007A679B" w:rsidP="001F7E47">
      <w:pPr>
        <w:rPr>
          <w:rFonts w:ascii="Verdana" w:hAnsi="Verdana"/>
          <w:lang w:val="en-GB"/>
        </w:rPr>
      </w:pPr>
    </w:p>
    <w:p w14:paraId="054A1A4D" w14:textId="13078D25" w:rsidR="007A679B" w:rsidRDefault="00730D1E" w:rsidP="00A4673C">
      <w:pPr>
        <w:jc w:val="center"/>
        <w:rPr>
          <w:rFonts w:ascii="Verdana" w:hAnsi="Verdana"/>
          <w:lang w:val="en-GB"/>
        </w:rPr>
      </w:pPr>
      <w:r>
        <w:rPr>
          <w:rFonts w:ascii="Verdana" w:hAnsi="Verdana"/>
          <w:lang w:val="en-GB"/>
        </w:rPr>
        <w:t>Nikki Anderson</w:t>
      </w:r>
      <w:r w:rsidR="0024400F">
        <w:rPr>
          <w:rFonts w:ascii="Verdana" w:hAnsi="Verdana"/>
          <w:lang w:val="en-GB"/>
        </w:rPr>
        <w:t xml:space="preserve"> </w:t>
      </w:r>
    </w:p>
    <w:p w14:paraId="7971BBD8" w14:textId="21808EFB" w:rsidR="00730D1E" w:rsidRDefault="00730D1E" w:rsidP="00A4673C">
      <w:pPr>
        <w:jc w:val="center"/>
        <w:rPr>
          <w:rFonts w:ascii="Verdana" w:hAnsi="Verdana"/>
          <w:lang w:val="en-GB"/>
        </w:rPr>
      </w:pPr>
      <w:r>
        <w:rPr>
          <w:rFonts w:ascii="Verdana" w:hAnsi="Verdana"/>
          <w:lang w:val="en-GB"/>
        </w:rPr>
        <w:t>Humber and North Yorkshire Health and Care Partnership Fellow</w:t>
      </w:r>
    </w:p>
    <w:p w14:paraId="3129CBB7" w14:textId="301617EA" w:rsidR="006B1DCF" w:rsidRDefault="00730D1E" w:rsidP="00A4673C">
      <w:pPr>
        <w:jc w:val="center"/>
        <w:rPr>
          <w:rFonts w:ascii="Verdana" w:hAnsi="Verdana"/>
          <w:lang w:val="en-US"/>
        </w:rPr>
      </w:pPr>
      <w:r>
        <w:rPr>
          <w:rFonts w:ascii="Verdana" w:hAnsi="Verdana"/>
          <w:lang w:val="en-GB"/>
        </w:rPr>
        <w:t xml:space="preserve">Project </w:t>
      </w:r>
      <w:r w:rsidR="002C5E56">
        <w:rPr>
          <w:rFonts w:ascii="Verdana" w:hAnsi="Verdana"/>
          <w:lang w:val="en-GB"/>
        </w:rPr>
        <w:t>–</w:t>
      </w:r>
      <w:r>
        <w:rPr>
          <w:rFonts w:ascii="Verdana" w:hAnsi="Verdana"/>
          <w:lang w:val="en-GB"/>
        </w:rPr>
        <w:t xml:space="preserve"> </w:t>
      </w:r>
      <w:r w:rsidR="002C5E56">
        <w:rPr>
          <w:rFonts w:ascii="Verdana" w:hAnsi="Verdana"/>
          <w:lang w:val="en-US"/>
        </w:rPr>
        <w:t xml:space="preserve">Can </w:t>
      </w:r>
      <w:r w:rsidR="00AD41DD">
        <w:rPr>
          <w:rFonts w:ascii="Verdana" w:hAnsi="Verdana"/>
          <w:lang w:val="en-US"/>
        </w:rPr>
        <w:t xml:space="preserve">the pathway </w:t>
      </w:r>
      <w:r w:rsidR="002C5E56" w:rsidRPr="00925E1D">
        <w:rPr>
          <w:rFonts w:ascii="Verdana" w:hAnsi="Verdana"/>
          <w:lang w:val="en-US"/>
        </w:rPr>
        <w:t xml:space="preserve">for people who are experiencing cognitive impairment </w:t>
      </w:r>
      <w:r w:rsidR="002C5E56">
        <w:rPr>
          <w:rFonts w:ascii="Verdana" w:hAnsi="Verdana"/>
          <w:lang w:val="en-US"/>
        </w:rPr>
        <w:t>due to A</w:t>
      </w:r>
      <w:r w:rsidR="00053251">
        <w:rPr>
          <w:rFonts w:ascii="Verdana" w:hAnsi="Verdana"/>
          <w:lang w:val="en-US"/>
        </w:rPr>
        <w:t xml:space="preserve">lcohol </w:t>
      </w:r>
      <w:r w:rsidR="002C5E56">
        <w:rPr>
          <w:rFonts w:ascii="Verdana" w:hAnsi="Verdana"/>
          <w:lang w:val="en-US"/>
        </w:rPr>
        <w:t>U</w:t>
      </w:r>
      <w:r w:rsidR="00A4673C">
        <w:rPr>
          <w:rFonts w:ascii="Verdana" w:hAnsi="Verdana"/>
          <w:lang w:val="en-US"/>
        </w:rPr>
        <w:t xml:space="preserve">se Disorder </w:t>
      </w:r>
      <w:r w:rsidR="0013042A">
        <w:rPr>
          <w:rFonts w:ascii="Verdana" w:hAnsi="Verdana"/>
          <w:lang w:val="en-US"/>
        </w:rPr>
        <w:t xml:space="preserve">be improved, to facilitate access to </w:t>
      </w:r>
      <w:r w:rsidR="002C5E56" w:rsidRPr="00925E1D">
        <w:rPr>
          <w:rFonts w:ascii="Verdana" w:hAnsi="Verdana"/>
          <w:lang w:val="en-US"/>
        </w:rPr>
        <w:t>diagnosis</w:t>
      </w:r>
      <w:r w:rsidR="0013042A">
        <w:rPr>
          <w:rFonts w:ascii="Verdana" w:hAnsi="Verdana"/>
          <w:lang w:val="en-US"/>
        </w:rPr>
        <w:t xml:space="preserve">, treatment and support. </w:t>
      </w:r>
    </w:p>
    <w:p w14:paraId="0762B401" w14:textId="38280FAA" w:rsidR="00D17FE4" w:rsidRDefault="00D17FE4" w:rsidP="00A4673C">
      <w:pPr>
        <w:jc w:val="center"/>
        <w:rPr>
          <w:rFonts w:ascii="Verdana" w:hAnsi="Verdana"/>
          <w:lang w:val="en-US"/>
        </w:rPr>
      </w:pPr>
      <w:r>
        <w:rPr>
          <w:rFonts w:ascii="Verdana" w:hAnsi="Verdana"/>
          <w:lang w:val="en-US"/>
        </w:rPr>
        <w:t xml:space="preserve">The need for a new specialist Alcohol Related Brain Injury Pathway. </w:t>
      </w:r>
    </w:p>
    <w:p w14:paraId="7A6CF8FD" w14:textId="77777777" w:rsidR="00A4673C" w:rsidRDefault="00A4673C" w:rsidP="00A4673C">
      <w:pPr>
        <w:jc w:val="center"/>
        <w:rPr>
          <w:rFonts w:ascii="Verdana" w:hAnsi="Verdana"/>
          <w:lang w:val="en-GB"/>
        </w:rPr>
      </w:pPr>
    </w:p>
    <w:p w14:paraId="3CC97D54" w14:textId="305C8CE4" w:rsidR="00C13BC5" w:rsidRDefault="00954DEF" w:rsidP="001F7E47">
      <w:pPr>
        <w:rPr>
          <w:rFonts w:ascii="Verdana" w:hAnsi="Verdana"/>
          <w:lang w:val="en-GB"/>
        </w:rPr>
      </w:pPr>
      <w:r>
        <w:rPr>
          <w:rFonts w:ascii="Verdana" w:hAnsi="Verdana"/>
          <w:lang w:val="en-GB"/>
        </w:rPr>
        <w:t>For centuries, a</w:t>
      </w:r>
      <w:r w:rsidR="006B48CB">
        <w:rPr>
          <w:rFonts w:ascii="Verdana" w:hAnsi="Verdana"/>
          <w:lang w:val="en-GB"/>
        </w:rPr>
        <w:t>lcohol</w:t>
      </w:r>
      <w:r w:rsidR="00E167E5">
        <w:rPr>
          <w:rFonts w:ascii="Verdana" w:hAnsi="Verdana"/>
          <w:lang w:val="en-GB"/>
        </w:rPr>
        <w:t xml:space="preserve"> and alcoholic beverages have been </w:t>
      </w:r>
      <w:r>
        <w:rPr>
          <w:rFonts w:ascii="Verdana" w:hAnsi="Verdana"/>
          <w:lang w:val="en-GB"/>
        </w:rPr>
        <w:t>widely used in many cultures (WHO,</w:t>
      </w:r>
      <w:r w:rsidR="00D8785D">
        <w:rPr>
          <w:rFonts w:ascii="Verdana" w:hAnsi="Verdana"/>
          <w:lang w:val="en-GB"/>
        </w:rPr>
        <w:t xml:space="preserve"> 2024)</w:t>
      </w:r>
      <w:r>
        <w:rPr>
          <w:rFonts w:ascii="Verdana" w:hAnsi="Verdana"/>
          <w:lang w:val="en-GB"/>
        </w:rPr>
        <w:t xml:space="preserve"> and is still today</w:t>
      </w:r>
      <w:r w:rsidR="0080774F">
        <w:rPr>
          <w:rFonts w:ascii="Verdana" w:hAnsi="Verdana"/>
          <w:lang w:val="en-GB"/>
        </w:rPr>
        <w:t>,</w:t>
      </w:r>
      <w:r>
        <w:rPr>
          <w:rFonts w:ascii="Verdana" w:hAnsi="Verdana"/>
          <w:lang w:val="en-GB"/>
        </w:rPr>
        <w:t xml:space="preserve"> one</w:t>
      </w:r>
      <w:r w:rsidR="00C13BC5">
        <w:rPr>
          <w:rFonts w:ascii="Verdana" w:hAnsi="Verdana"/>
          <w:lang w:val="en-GB"/>
        </w:rPr>
        <w:t xml:space="preserve"> of the </w:t>
      </w:r>
      <w:r w:rsidR="0085341F">
        <w:rPr>
          <w:rFonts w:ascii="Verdana" w:hAnsi="Verdana"/>
          <w:lang w:val="en-GB"/>
        </w:rPr>
        <w:t xml:space="preserve">most </w:t>
      </w:r>
      <w:r w:rsidR="001652BF">
        <w:rPr>
          <w:rFonts w:ascii="Verdana" w:hAnsi="Verdana"/>
          <w:lang w:val="en-GB"/>
        </w:rPr>
        <w:t>utilised</w:t>
      </w:r>
      <w:r w:rsidR="00C13BC5">
        <w:rPr>
          <w:rFonts w:ascii="Verdana" w:hAnsi="Verdana"/>
          <w:lang w:val="en-GB"/>
        </w:rPr>
        <w:t xml:space="preserve"> </w:t>
      </w:r>
      <w:r w:rsidR="006B48CB">
        <w:rPr>
          <w:rFonts w:ascii="Verdana" w:hAnsi="Verdana"/>
          <w:lang w:val="en-GB"/>
        </w:rPr>
        <w:t xml:space="preserve">legal </w:t>
      </w:r>
      <w:r w:rsidR="00C13BC5">
        <w:rPr>
          <w:rFonts w:ascii="Verdana" w:hAnsi="Verdana"/>
          <w:lang w:val="en-GB"/>
        </w:rPr>
        <w:t xml:space="preserve">substances </w:t>
      </w:r>
      <w:r>
        <w:rPr>
          <w:rFonts w:ascii="Verdana" w:hAnsi="Verdana"/>
          <w:lang w:val="en-GB"/>
        </w:rPr>
        <w:t>(</w:t>
      </w:r>
      <w:r w:rsidR="00A0150D">
        <w:rPr>
          <w:rFonts w:ascii="Verdana" w:hAnsi="Verdana"/>
          <w:lang w:val="en-GB"/>
        </w:rPr>
        <w:t>Da</w:t>
      </w:r>
      <w:r w:rsidR="00D8785D">
        <w:rPr>
          <w:rFonts w:ascii="Verdana" w:hAnsi="Verdana"/>
          <w:lang w:val="en-GB"/>
        </w:rPr>
        <w:t>v</w:t>
      </w:r>
      <w:r w:rsidR="00A0150D">
        <w:rPr>
          <w:rFonts w:ascii="Verdana" w:hAnsi="Verdana"/>
          <w:lang w:val="en-GB"/>
        </w:rPr>
        <w:t>ey, 2017)</w:t>
      </w:r>
      <w:r w:rsidR="00CB08CD">
        <w:rPr>
          <w:rFonts w:ascii="Verdana" w:hAnsi="Verdana"/>
          <w:lang w:val="en-GB"/>
        </w:rPr>
        <w:t xml:space="preserve">. </w:t>
      </w:r>
    </w:p>
    <w:p w14:paraId="1092A04A" w14:textId="356E002F" w:rsidR="00A91ACB" w:rsidRDefault="00786098" w:rsidP="001F7E47">
      <w:pPr>
        <w:rPr>
          <w:rFonts w:ascii="Verdana" w:hAnsi="Verdana"/>
        </w:rPr>
      </w:pPr>
      <w:r>
        <w:rPr>
          <w:rFonts w:ascii="Verdana" w:hAnsi="Verdana"/>
          <w:lang w:val="en-GB"/>
        </w:rPr>
        <w:t xml:space="preserve">Alcohol </w:t>
      </w:r>
      <w:r w:rsidR="004C03ED">
        <w:rPr>
          <w:rFonts w:ascii="Verdana" w:hAnsi="Verdana"/>
          <w:lang w:val="en-GB"/>
        </w:rPr>
        <w:t>can</w:t>
      </w:r>
      <w:r>
        <w:rPr>
          <w:rFonts w:ascii="Verdana" w:hAnsi="Verdana"/>
          <w:lang w:val="en-GB"/>
        </w:rPr>
        <w:t xml:space="preserve"> offer positive psychological effects</w:t>
      </w:r>
      <w:r w:rsidR="004C03ED">
        <w:rPr>
          <w:rFonts w:ascii="Verdana" w:hAnsi="Verdana"/>
          <w:lang w:val="en-GB"/>
        </w:rPr>
        <w:t xml:space="preserve">, commonly perceived as a stress coping </w:t>
      </w:r>
      <w:r w:rsidR="00C552E5">
        <w:rPr>
          <w:rFonts w:ascii="Verdana" w:hAnsi="Verdana"/>
          <w:lang w:val="en-GB"/>
        </w:rPr>
        <w:t>and relaxa</w:t>
      </w:r>
      <w:r w:rsidR="00214C7B">
        <w:rPr>
          <w:rFonts w:ascii="Verdana" w:hAnsi="Verdana"/>
          <w:lang w:val="en-GB"/>
        </w:rPr>
        <w:t>nt</w:t>
      </w:r>
      <w:r w:rsidR="00C552E5">
        <w:rPr>
          <w:rFonts w:ascii="Verdana" w:hAnsi="Verdana"/>
          <w:lang w:val="en-GB"/>
        </w:rPr>
        <w:t xml:space="preserve"> </w:t>
      </w:r>
      <w:r w:rsidR="004C03ED">
        <w:rPr>
          <w:rFonts w:ascii="Verdana" w:hAnsi="Verdana"/>
          <w:lang w:val="en-GB"/>
        </w:rPr>
        <w:t>mechanism</w:t>
      </w:r>
      <w:r w:rsidR="005D58FB">
        <w:rPr>
          <w:rFonts w:ascii="Verdana" w:hAnsi="Verdana"/>
          <w:lang w:val="en-GB"/>
        </w:rPr>
        <w:t xml:space="preserve">, </w:t>
      </w:r>
      <w:r w:rsidR="00DA0B9F">
        <w:rPr>
          <w:rFonts w:ascii="Verdana" w:hAnsi="Verdana"/>
          <w:lang w:val="en-GB"/>
        </w:rPr>
        <w:t>although</w:t>
      </w:r>
      <w:r w:rsidR="00603D30">
        <w:rPr>
          <w:rFonts w:ascii="Verdana" w:hAnsi="Verdana"/>
          <w:lang w:val="en-GB"/>
        </w:rPr>
        <w:t xml:space="preserve"> over time, </w:t>
      </w:r>
      <w:r w:rsidR="00DA0B9F">
        <w:rPr>
          <w:rFonts w:ascii="Verdana" w:hAnsi="Verdana"/>
          <w:lang w:val="en-GB"/>
        </w:rPr>
        <w:t>with</w:t>
      </w:r>
      <w:r w:rsidR="00345F90">
        <w:rPr>
          <w:rFonts w:ascii="Verdana" w:hAnsi="Verdana"/>
          <w:lang w:val="en-GB"/>
        </w:rPr>
        <w:t xml:space="preserve"> increased</w:t>
      </w:r>
      <w:r w:rsidR="00291B6D">
        <w:rPr>
          <w:rFonts w:ascii="Verdana" w:hAnsi="Verdana"/>
          <w:lang w:val="en-GB"/>
        </w:rPr>
        <w:t xml:space="preserve"> </w:t>
      </w:r>
      <w:r w:rsidR="00345F90">
        <w:rPr>
          <w:rFonts w:ascii="Verdana" w:hAnsi="Verdana"/>
          <w:lang w:val="en-GB"/>
        </w:rPr>
        <w:t>and dangerous levels of</w:t>
      </w:r>
      <w:r w:rsidR="00291B6D">
        <w:rPr>
          <w:rFonts w:ascii="Verdana" w:hAnsi="Verdana"/>
          <w:lang w:val="en-GB"/>
        </w:rPr>
        <w:t xml:space="preserve"> alcohol </w:t>
      </w:r>
      <w:r w:rsidR="00345F90">
        <w:rPr>
          <w:rFonts w:ascii="Verdana" w:hAnsi="Verdana"/>
          <w:lang w:val="en-GB"/>
        </w:rPr>
        <w:t>use</w:t>
      </w:r>
      <w:r w:rsidR="00291B6D">
        <w:rPr>
          <w:rFonts w:ascii="Verdana" w:hAnsi="Verdana"/>
          <w:lang w:val="en-GB"/>
        </w:rPr>
        <w:t>, can</w:t>
      </w:r>
      <w:r w:rsidR="00345F90">
        <w:rPr>
          <w:rFonts w:ascii="Verdana" w:hAnsi="Verdana"/>
          <w:lang w:val="en-GB"/>
        </w:rPr>
        <w:t xml:space="preserve"> </w:t>
      </w:r>
      <w:r w:rsidR="00291B6D">
        <w:rPr>
          <w:rFonts w:ascii="Verdana" w:hAnsi="Verdana"/>
          <w:lang w:val="en-GB"/>
        </w:rPr>
        <w:t xml:space="preserve">lead to serious health consequences </w:t>
      </w:r>
      <w:r w:rsidR="00210FBC">
        <w:rPr>
          <w:rFonts w:ascii="Verdana" w:hAnsi="Verdana"/>
          <w:lang w:val="en-GB"/>
        </w:rPr>
        <w:t>(Karunarathna</w:t>
      </w:r>
      <w:r w:rsidR="005D58FB" w:rsidRPr="005D58FB">
        <w:rPr>
          <w:rFonts w:ascii="Verdana" w:hAnsi="Verdana"/>
          <w:lang w:val="en-GB"/>
        </w:rPr>
        <w:t>, De Alvis,</w:t>
      </w:r>
      <w:r w:rsidR="00210FBC">
        <w:rPr>
          <w:rFonts w:ascii="Verdana" w:hAnsi="Verdana"/>
          <w:lang w:val="en-GB"/>
        </w:rPr>
        <w:t xml:space="preserve"> </w:t>
      </w:r>
      <w:proofErr w:type="spellStart"/>
      <w:r w:rsidR="005D58FB" w:rsidRPr="005D58FB">
        <w:rPr>
          <w:rFonts w:ascii="Verdana" w:hAnsi="Verdana"/>
          <w:lang w:val="en-GB"/>
        </w:rPr>
        <w:t>Gunasena</w:t>
      </w:r>
      <w:proofErr w:type="spellEnd"/>
      <w:r w:rsidR="00210FBC">
        <w:rPr>
          <w:rFonts w:ascii="Verdana" w:hAnsi="Verdana"/>
          <w:lang w:val="en-GB"/>
        </w:rPr>
        <w:t xml:space="preserve"> </w:t>
      </w:r>
      <w:r w:rsidR="005D58FB" w:rsidRPr="005D58FB">
        <w:rPr>
          <w:rFonts w:ascii="Verdana" w:hAnsi="Verdana"/>
          <w:lang w:val="en-GB"/>
        </w:rPr>
        <w:t>and Jayawardana,</w:t>
      </w:r>
      <w:r w:rsidR="00210FBC">
        <w:rPr>
          <w:rFonts w:ascii="Verdana" w:hAnsi="Verdana"/>
          <w:lang w:val="en-GB"/>
        </w:rPr>
        <w:t xml:space="preserve"> </w:t>
      </w:r>
      <w:r w:rsidR="005D58FB" w:rsidRPr="005D58FB">
        <w:rPr>
          <w:rFonts w:ascii="Verdana" w:hAnsi="Verdana"/>
          <w:lang w:val="en-GB"/>
        </w:rPr>
        <w:t>2024</w:t>
      </w:r>
      <w:r w:rsidR="00470034">
        <w:rPr>
          <w:rFonts w:ascii="Verdana" w:hAnsi="Verdana"/>
          <w:lang w:val="en-GB"/>
        </w:rPr>
        <w:t>)</w:t>
      </w:r>
      <w:r w:rsidR="005D58FB" w:rsidRPr="005D58FB">
        <w:rPr>
          <w:rFonts w:ascii="Verdana" w:hAnsi="Verdana"/>
          <w:lang w:val="en-GB"/>
        </w:rPr>
        <w:t xml:space="preserve">. </w:t>
      </w:r>
      <w:r w:rsidR="00E2413E">
        <w:rPr>
          <w:rFonts w:ascii="Verdana" w:hAnsi="Verdana"/>
          <w:lang w:val="en-GB"/>
        </w:rPr>
        <w:t xml:space="preserve">with a </w:t>
      </w:r>
      <w:r w:rsidR="00E2413E" w:rsidRPr="00B524CC">
        <w:rPr>
          <w:rFonts w:ascii="Verdana" w:hAnsi="Verdana"/>
          <w:lang w:val="en-GB"/>
        </w:rPr>
        <w:t>cost of over £2</w:t>
      </w:r>
      <w:r w:rsidR="00CE711D" w:rsidRPr="00B524CC">
        <w:rPr>
          <w:rFonts w:ascii="Verdana" w:hAnsi="Verdana"/>
          <w:lang w:val="en-GB"/>
        </w:rPr>
        <w:t>9</w:t>
      </w:r>
      <w:r w:rsidR="00470034" w:rsidRPr="00B524CC">
        <w:rPr>
          <w:rFonts w:ascii="Verdana" w:hAnsi="Verdana"/>
          <w:lang w:val="en-GB"/>
        </w:rPr>
        <w:t xml:space="preserve"> </w:t>
      </w:r>
      <w:r w:rsidR="00E2413E" w:rsidRPr="00B524CC">
        <w:rPr>
          <w:rFonts w:ascii="Verdana" w:hAnsi="Verdana"/>
          <w:lang w:val="en-GB"/>
        </w:rPr>
        <w:t>bil</w:t>
      </w:r>
      <w:r w:rsidR="003B4D9F" w:rsidRPr="00B524CC">
        <w:rPr>
          <w:rFonts w:ascii="Verdana" w:hAnsi="Verdana"/>
          <w:lang w:val="en-GB"/>
        </w:rPr>
        <w:t>l</w:t>
      </w:r>
      <w:r w:rsidR="00E2413E" w:rsidRPr="00B524CC">
        <w:rPr>
          <w:rFonts w:ascii="Verdana" w:hAnsi="Verdana"/>
          <w:lang w:val="en-GB"/>
        </w:rPr>
        <w:t xml:space="preserve">ion to the </w:t>
      </w:r>
      <w:r w:rsidR="00CE711D" w:rsidRPr="00B524CC">
        <w:rPr>
          <w:rFonts w:ascii="Verdana" w:hAnsi="Verdana"/>
          <w:lang w:val="en-GB"/>
        </w:rPr>
        <w:t>UK</w:t>
      </w:r>
      <w:r w:rsidR="009C0C8D" w:rsidRPr="00B524CC">
        <w:rPr>
          <w:rFonts w:ascii="Verdana" w:hAnsi="Verdana"/>
          <w:lang w:val="en-GB"/>
        </w:rPr>
        <w:t xml:space="preserve"> economy</w:t>
      </w:r>
      <w:r w:rsidR="006839E3" w:rsidRPr="00B524CC">
        <w:rPr>
          <w:rFonts w:ascii="Verdana" w:hAnsi="Verdana"/>
          <w:lang w:val="en-GB"/>
        </w:rPr>
        <w:t xml:space="preserve">. </w:t>
      </w:r>
      <w:r w:rsidR="002F6571" w:rsidRPr="00B524CC">
        <w:rPr>
          <w:rFonts w:ascii="Verdana" w:hAnsi="Verdana"/>
        </w:rPr>
        <w:t>In Yorkshire and the Humber, the cost of alcohol-related harm is estimated at £524 per person. Notably, Hull ranks 12th highest in the country for alcohol-related expenditure, with a cost of £659 per head</w:t>
      </w:r>
      <w:r w:rsidR="00CC3DF7" w:rsidRPr="00B524CC">
        <w:rPr>
          <w:rFonts w:ascii="Verdana" w:hAnsi="Verdana"/>
          <w:lang w:val="en-GB"/>
        </w:rPr>
        <w:t>.</w:t>
      </w:r>
      <w:r w:rsidR="00121B1F" w:rsidRPr="00121B1F">
        <w:rPr>
          <w:rFonts w:ascii="Verdana" w:hAnsi="Verdana"/>
          <w:lang w:val="en-GB"/>
        </w:rPr>
        <w:t xml:space="preserve"> </w:t>
      </w:r>
      <w:r w:rsidR="00121B1F">
        <w:rPr>
          <w:rFonts w:ascii="Verdana" w:hAnsi="Verdana"/>
          <w:lang w:val="en-GB"/>
        </w:rPr>
        <w:t xml:space="preserve">( </w:t>
      </w:r>
      <w:hyperlink r:id="rId5" w:history="1">
        <w:r w:rsidR="00121B1F" w:rsidRPr="006C72C0">
          <w:rPr>
            <w:rStyle w:val="Hyperlink"/>
            <w:rFonts w:ascii="Verdana" w:hAnsi="Verdana"/>
            <w:lang w:val="en-GB"/>
          </w:rPr>
          <w:t>www.ias.org.uk</w:t>
        </w:r>
      </w:hyperlink>
      <w:r w:rsidR="00121B1F">
        <w:rPr>
          <w:rFonts w:ascii="Verdana" w:hAnsi="Verdana"/>
          <w:lang w:val="en-GB"/>
        </w:rPr>
        <w:t>).</w:t>
      </w:r>
    </w:p>
    <w:p w14:paraId="1B48EE57" w14:textId="178A9E5E" w:rsidR="005D1C00" w:rsidRPr="004C6EC1" w:rsidRDefault="003F0E81" w:rsidP="001F7E47">
      <w:pPr>
        <w:rPr>
          <w:rFonts w:ascii="Verdana" w:hAnsi="Verdana"/>
          <w:b/>
          <w:bCs/>
        </w:rPr>
      </w:pPr>
      <w:r w:rsidRPr="004C6EC1">
        <w:rPr>
          <w:rFonts w:ascii="Verdana" w:hAnsi="Verdana"/>
          <w:b/>
          <w:bCs/>
        </w:rPr>
        <w:t xml:space="preserve">Total </w:t>
      </w:r>
      <w:r w:rsidR="00C61B7C" w:rsidRPr="004C6EC1">
        <w:rPr>
          <w:rFonts w:ascii="Verdana" w:hAnsi="Verdana"/>
          <w:b/>
          <w:bCs/>
        </w:rPr>
        <w:t xml:space="preserve">Cost Breakdown </w:t>
      </w:r>
      <w:r w:rsidR="004C6EC1">
        <w:rPr>
          <w:rFonts w:ascii="Verdana" w:hAnsi="Verdana"/>
          <w:b/>
          <w:bCs/>
        </w:rPr>
        <w:t xml:space="preserve">of Alcohol Harm </w:t>
      </w:r>
      <w:r w:rsidR="00C61B7C" w:rsidRPr="004C6EC1">
        <w:rPr>
          <w:rFonts w:ascii="Verdana" w:hAnsi="Verdana"/>
          <w:b/>
          <w:bCs/>
        </w:rPr>
        <w:t>for England</w:t>
      </w:r>
    </w:p>
    <w:p w14:paraId="30A5A79D" w14:textId="564CA1C3" w:rsidR="003B4D9F" w:rsidRDefault="003B4D9F" w:rsidP="001F7E47">
      <w:pPr>
        <w:rPr>
          <w:rFonts w:ascii="Verdana" w:hAnsi="Verdana"/>
          <w:lang w:val="en-GB"/>
        </w:rPr>
      </w:pPr>
      <w:r>
        <w:rPr>
          <w:noProof/>
        </w:rPr>
        <w:drawing>
          <wp:inline distT="0" distB="0" distL="0" distR="0" wp14:anchorId="54E6875C" wp14:editId="1DD70C10">
            <wp:extent cx="5276137" cy="2047440"/>
            <wp:effectExtent l="0" t="0" r="1270" b="0"/>
            <wp:docPr id="69655581"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55581" name="Picture 1" descr="A screenshot of a computer screen&#10;&#10;AI-generated content may be incorrect."/>
                    <pic:cNvPicPr/>
                  </pic:nvPicPr>
                  <pic:blipFill rotWithShape="1">
                    <a:blip r:embed="rId6"/>
                    <a:srcRect l="2306" t="28673" r="5544" b="7752"/>
                    <a:stretch/>
                  </pic:blipFill>
                  <pic:spPr bwMode="auto">
                    <a:xfrm>
                      <a:off x="0" y="0"/>
                      <a:ext cx="5281616" cy="2049566"/>
                    </a:xfrm>
                    <a:prstGeom prst="rect">
                      <a:avLst/>
                    </a:prstGeom>
                    <a:ln>
                      <a:noFill/>
                    </a:ln>
                    <a:extLst>
                      <a:ext uri="{53640926-AAD7-44D8-BBD7-CCE9431645EC}">
                        <a14:shadowObscured xmlns:a14="http://schemas.microsoft.com/office/drawing/2010/main"/>
                      </a:ext>
                    </a:extLst>
                  </pic:spPr>
                </pic:pic>
              </a:graphicData>
            </a:graphic>
          </wp:inline>
        </w:drawing>
      </w:r>
    </w:p>
    <w:p w14:paraId="4BB7D8FF" w14:textId="3BD96CE4" w:rsidR="005D43F8" w:rsidRPr="002F6571" w:rsidRDefault="005D43F8" w:rsidP="001F7E47">
      <w:pPr>
        <w:rPr>
          <w:rFonts w:ascii="Verdana" w:hAnsi="Verdana"/>
          <w:sz w:val="16"/>
          <w:szCs w:val="16"/>
          <w:lang w:val="en-GB"/>
        </w:rPr>
      </w:pPr>
      <w:r w:rsidRPr="002F6571">
        <w:rPr>
          <w:rFonts w:ascii="Verdana" w:hAnsi="Verdana"/>
          <w:sz w:val="16"/>
          <w:szCs w:val="16"/>
          <w:lang w:val="en-GB"/>
        </w:rPr>
        <w:t xml:space="preserve">Graph source </w:t>
      </w:r>
      <w:hyperlink r:id="rId7" w:history="1">
        <w:r w:rsidR="00C61B7C" w:rsidRPr="002F6571">
          <w:rPr>
            <w:rStyle w:val="Hyperlink"/>
            <w:rFonts w:ascii="Verdana" w:hAnsi="Verdana"/>
            <w:sz w:val="16"/>
            <w:szCs w:val="16"/>
            <w:lang w:val="en-GB"/>
          </w:rPr>
          <w:t>https://www.ias.org.uk/factsheet/economy/</w:t>
        </w:r>
      </w:hyperlink>
    </w:p>
    <w:p w14:paraId="558F3492" w14:textId="567AFDCF" w:rsidR="00C61B7C" w:rsidRPr="004C6EC1" w:rsidRDefault="003F0E81" w:rsidP="00C61B7C">
      <w:pPr>
        <w:tabs>
          <w:tab w:val="left" w:pos="2949"/>
        </w:tabs>
        <w:rPr>
          <w:rFonts w:ascii="Verdana" w:hAnsi="Verdana"/>
          <w:b/>
          <w:bCs/>
          <w:lang w:val="en-GB"/>
        </w:rPr>
      </w:pPr>
      <w:r w:rsidRPr="004C6EC1">
        <w:rPr>
          <w:rFonts w:ascii="Verdana" w:hAnsi="Verdana"/>
          <w:b/>
          <w:bCs/>
          <w:lang w:val="en-GB"/>
        </w:rPr>
        <w:t>Total Cost Breakdown</w:t>
      </w:r>
      <w:r w:rsidR="004C6EC1">
        <w:rPr>
          <w:rFonts w:ascii="Verdana" w:hAnsi="Verdana"/>
          <w:b/>
          <w:bCs/>
          <w:lang w:val="en-GB"/>
        </w:rPr>
        <w:t xml:space="preserve"> of Alcohol Harm</w:t>
      </w:r>
      <w:r w:rsidRPr="004C6EC1">
        <w:rPr>
          <w:rFonts w:ascii="Verdana" w:hAnsi="Verdana"/>
          <w:b/>
          <w:bCs/>
          <w:lang w:val="en-GB"/>
        </w:rPr>
        <w:t xml:space="preserve"> for </w:t>
      </w:r>
      <w:proofErr w:type="gramStart"/>
      <w:r w:rsidR="00C61B7C" w:rsidRPr="004C6EC1">
        <w:rPr>
          <w:rFonts w:ascii="Verdana" w:hAnsi="Verdana"/>
          <w:b/>
          <w:bCs/>
          <w:lang w:val="en-GB"/>
        </w:rPr>
        <w:t>Hull :</w:t>
      </w:r>
      <w:proofErr w:type="gramEnd"/>
      <w:r w:rsidR="00C61B7C" w:rsidRPr="004C6EC1">
        <w:rPr>
          <w:rFonts w:ascii="Verdana" w:hAnsi="Verdana"/>
          <w:b/>
          <w:bCs/>
          <w:lang w:val="en-GB"/>
        </w:rPr>
        <w:t>-</w:t>
      </w:r>
      <w:r w:rsidR="00C61B7C" w:rsidRPr="004C6EC1">
        <w:rPr>
          <w:rFonts w:ascii="Verdana" w:hAnsi="Verdana"/>
          <w:b/>
          <w:bCs/>
          <w:lang w:val="en-GB"/>
        </w:rPr>
        <w:tab/>
      </w:r>
    </w:p>
    <w:p w14:paraId="32B1FD33" w14:textId="76FC8013" w:rsidR="00C61B7C" w:rsidRDefault="00C61B7C" w:rsidP="001F7E47">
      <w:pPr>
        <w:rPr>
          <w:rFonts w:ascii="Verdana" w:hAnsi="Verdana"/>
          <w:lang w:val="en-GB"/>
        </w:rPr>
      </w:pPr>
      <w:r>
        <w:rPr>
          <w:noProof/>
        </w:rPr>
        <w:lastRenderedPageBreak/>
        <w:drawing>
          <wp:inline distT="0" distB="0" distL="0" distR="0" wp14:anchorId="4FCA4B3E" wp14:editId="02736D69">
            <wp:extent cx="5300523" cy="2400300"/>
            <wp:effectExtent l="0" t="0" r="0" b="0"/>
            <wp:docPr id="26643186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431862" name="Picture 1" descr="A screenshot of a computer&#10;&#10;AI-generated content may be incorrect."/>
                    <pic:cNvPicPr/>
                  </pic:nvPicPr>
                  <pic:blipFill rotWithShape="1">
                    <a:blip r:embed="rId8"/>
                    <a:srcRect l="3243" t="16232" r="4256" b="9299"/>
                    <a:stretch/>
                  </pic:blipFill>
                  <pic:spPr bwMode="auto">
                    <a:xfrm>
                      <a:off x="0" y="0"/>
                      <a:ext cx="5301643" cy="2400807"/>
                    </a:xfrm>
                    <a:prstGeom prst="rect">
                      <a:avLst/>
                    </a:prstGeom>
                    <a:ln>
                      <a:noFill/>
                    </a:ln>
                    <a:extLst>
                      <a:ext uri="{53640926-AAD7-44D8-BBD7-CCE9431645EC}">
                        <a14:shadowObscured xmlns:a14="http://schemas.microsoft.com/office/drawing/2010/main"/>
                      </a:ext>
                    </a:extLst>
                  </pic:spPr>
                </pic:pic>
              </a:graphicData>
            </a:graphic>
          </wp:inline>
        </w:drawing>
      </w:r>
    </w:p>
    <w:p w14:paraId="2A0996DC" w14:textId="7135965A" w:rsidR="002F6571" w:rsidRPr="002F6571" w:rsidRDefault="002F6571" w:rsidP="001F7E47">
      <w:pPr>
        <w:rPr>
          <w:rFonts w:ascii="Verdana" w:hAnsi="Verdana"/>
          <w:sz w:val="16"/>
          <w:szCs w:val="16"/>
          <w:lang w:val="en-GB"/>
        </w:rPr>
      </w:pPr>
      <w:r w:rsidRPr="002F6571">
        <w:rPr>
          <w:rFonts w:ascii="Verdana" w:hAnsi="Verdana"/>
          <w:sz w:val="16"/>
          <w:szCs w:val="16"/>
          <w:lang w:val="en-GB"/>
        </w:rPr>
        <w:t xml:space="preserve">Graph source </w:t>
      </w:r>
      <w:hyperlink r:id="rId9" w:history="1">
        <w:r w:rsidRPr="002F6571">
          <w:rPr>
            <w:rStyle w:val="Hyperlink"/>
            <w:rFonts w:ascii="Verdana" w:hAnsi="Verdana"/>
            <w:sz w:val="16"/>
            <w:szCs w:val="16"/>
            <w:lang w:val="en-GB"/>
          </w:rPr>
          <w:t>https://www.ias.org.uk/factsheet/economy/</w:t>
        </w:r>
      </w:hyperlink>
    </w:p>
    <w:p w14:paraId="6BDF96FB" w14:textId="170ECA0B" w:rsidR="00362AE6" w:rsidRDefault="002E7FA4" w:rsidP="00362AE6">
      <w:pPr>
        <w:rPr>
          <w:rFonts w:ascii="Verdana" w:hAnsi="Verdana"/>
          <w:lang w:val="en-GB"/>
        </w:rPr>
      </w:pPr>
      <w:r>
        <w:rPr>
          <w:rFonts w:ascii="Verdana" w:hAnsi="Verdana"/>
          <w:lang w:val="en-GB"/>
        </w:rPr>
        <w:t xml:space="preserve">Excessive use of alcohol can lead to </w:t>
      </w:r>
      <w:r w:rsidR="001148BC" w:rsidRPr="001F7E47">
        <w:rPr>
          <w:rFonts w:ascii="Verdana" w:hAnsi="Verdana"/>
          <w:lang w:val="en-GB"/>
        </w:rPr>
        <w:t xml:space="preserve">Alcohol dependency, </w:t>
      </w:r>
      <w:r w:rsidR="00A73FFC">
        <w:rPr>
          <w:rFonts w:ascii="Verdana" w:hAnsi="Verdana"/>
          <w:lang w:val="en-GB"/>
        </w:rPr>
        <w:t xml:space="preserve">otherwise know clinically </w:t>
      </w:r>
      <w:r w:rsidR="001148BC" w:rsidRPr="001F7E47">
        <w:rPr>
          <w:rFonts w:ascii="Verdana" w:hAnsi="Verdana"/>
          <w:lang w:val="en-GB"/>
        </w:rPr>
        <w:t xml:space="preserve">as </w:t>
      </w:r>
      <w:r w:rsidR="00592072">
        <w:rPr>
          <w:rFonts w:ascii="Verdana" w:hAnsi="Verdana"/>
          <w:lang w:val="en-GB"/>
        </w:rPr>
        <w:t>A</w:t>
      </w:r>
      <w:r w:rsidR="001148BC" w:rsidRPr="001F7E47">
        <w:rPr>
          <w:rFonts w:ascii="Verdana" w:hAnsi="Verdana"/>
          <w:lang w:val="en-GB"/>
        </w:rPr>
        <w:t xml:space="preserve">lcohol </w:t>
      </w:r>
      <w:r w:rsidR="00592072">
        <w:rPr>
          <w:rFonts w:ascii="Verdana" w:hAnsi="Verdana"/>
          <w:lang w:val="en-GB"/>
        </w:rPr>
        <w:t>U</w:t>
      </w:r>
      <w:r w:rsidR="001148BC" w:rsidRPr="001F7E47">
        <w:rPr>
          <w:rFonts w:ascii="Verdana" w:hAnsi="Verdana"/>
          <w:lang w:val="en-GB"/>
        </w:rPr>
        <w:t xml:space="preserve">se </w:t>
      </w:r>
      <w:r w:rsidR="00592072">
        <w:rPr>
          <w:rFonts w:ascii="Verdana" w:hAnsi="Verdana"/>
          <w:lang w:val="en-GB"/>
        </w:rPr>
        <w:t>D</w:t>
      </w:r>
      <w:r w:rsidR="001148BC" w:rsidRPr="001F7E47">
        <w:rPr>
          <w:rFonts w:ascii="Verdana" w:hAnsi="Verdana"/>
          <w:lang w:val="en-GB"/>
        </w:rPr>
        <w:t>isorder (AUD),</w:t>
      </w:r>
      <w:r>
        <w:rPr>
          <w:rFonts w:ascii="Verdana" w:hAnsi="Verdana"/>
          <w:lang w:val="en-GB"/>
        </w:rPr>
        <w:t xml:space="preserve"> </w:t>
      </w:r>
      <w:r w:rsidR="001148BC" w:rsidRPr="001F7E47">
        <w:rPr>
          <w:rFonts w:ascii="Verdana" w:hAnsi="Verdana"/>
          <w:lang w:val="en-GB"/>
        </w:rPr>
        <w:t>a medical condition characteri</w:t>
      </w:r>
      <w:r w:rsidR="001148BC">
        <w:rPr>
          <w:rFonts w:ascii="Verdana" w:hAnsi="Verdana"/>
          <w:lang w:val="en-GB"/>
        </w:rPr>
        <w:t>s</w:t>
      </w:r>
      <w:r w:rsidR="001148BC" w:rsidRPr="001F7E47">
        <w:rPr>
          <w:rFonts w:ascii="Verdana" w:hAnsi="Verdana"/>
          <w:lang w:val="en-GB"/>
        </w:rPr>
        <w:t>ed by an impaired ability to stop or control alcohol consumption despite negative consequences on health, relationships, or daily functioning. It can range from mild to severe and often involves both physical and psychological aspects.</w:t>
      </w:r>
      <w:r w:rsidR="00512D80">
        <w:rPr>
          <w:rFonts w:ascii="Verdana" w:hAnsi="Verdana"/>
          <w:lang w:val="en-GB"/>
        </w:rPr>
        <w:t xml:space="preserve"> </w:t>
      </w:r>
      <w:r w:rsidR="00A73FFC">
        <w:rPr>
          <w:rFonts w:ascii="Verdana" w:hAnsi="Verdana"/>
          <w:lang w:val="en-GB"/>
        </w:rPr>
        <w:t>AUD increases a person</w:t>
      </w:r>
      <w:r w:rsidR="00011563">
        <w:rPr>
          <w:rFonts w:ascii="Verdana" w:hAnsi="Verdana"/>
          <w:lang w:val="en-GB"/>
        </w:rPr>
        <w:t>’s</w:t>
      </w:r>
      <w:r w:rsidR="00A73FFC">
        <w:rPr>
          <w:rFonts w:ascii="Verdana" w:hAnsi="Verdana"/>
          <w:lang w:val="en-GB"/>
        </w:rPr>
        <w:t xml:space="preserve"> risk of developing </w:t>
      </w:r>
      <w:r w:rsidR="00362AE6" w:rsidRPr="00D2152E">
        <w:rPr>
          <w:rFonts w:ascii="Verdana" w:hAnsi="Verdana"/>
          <w:lang w:val="en-GB"/>
        </w:rPr>
        <w:t>Alcohol-Related Brain Injury (ARBI)</w:t>
      </w:r>
      <w:r w:rsidR="00592072">
        <w:rPr>
          <w:rFonts w:ascii="Verdana" w:hAnsi="Verdana"/>
          <w:lang w:val="en-GB"/>
        </w:rPr>
        <w:t>,</w:t>
      </w:r>
      <w:r w:rsidR="00362AE6" w:rsidRPr="00D2152E">
        <w:rPr>
          <w:rFonts w:ascii="Verdana" w:hAnsi="Verdana"/>
          <w:lang w:val="en-GB"/>
        </w:rPr>
        <w:t xml:space="preserve"> structural and functional damage to the brain caused by long-term alcohol misuse. This condition can result from direct alcohol toxicity, nutritional deficiencies (especially thiamine), liver disease, and trauma.</w:t>
      </w:r>
    </w:p>
    <w:p w14:paraId="61369E44" w14:textId="3E7407CB" w:rsidR="001148BC" w:rsidRDefault="005765AF" w:rsidP="001148BC">
      <w:pPr>
        <w:rPr>
          <w:rFonts w:ascii="Verdana" w:hAnsi="Verdana"/>
          <w:lang w:val="en-GB"/>
        </w:rPr>
      </w:pPr>
      <w:r w:rsidRPr="005765AF">
        <w:rPr>
          <w:rFonts w:ascii="Verdana" w:hAnsi="Verdana"/>
          <w:lang w:val="en-GB"/>
        </w:rPr>
        <w:t>AUD is a recogni</w:t>
      </w:r>
      <w:r w:rsidR="008D0427">
        <w:rPr>
          <w:rFonts w:ascii="Verdana" w:hAnsi="Verdana"/>
          <w:lang w:val="en-GB"/>
        </w:rPr>
        <w:t>se</w:t>
      </w:r>
      <w:r w:rsidRPr="005765AF">
        <w:rPr>
          <w:rFonts w:ascii="Verdana" w:hAnsi="Verdana"/>
          <w:lang w:val="en-GB"/>
        </w:rPr>
        <w:t>d a medical condition and is classified in both the Diagnostic and Statistical Manual of Mental Disorders (DSM-5) and the International Classification of Diseases (ICD-11). It is characteri</w:t>
      </w:r>
      <w:r>
        <w:rPr>
          <w:rFonts w:ascii="Verdana" w:hAnsi="Verdana"/>
          <w:lang w:val="en-GB"/>
        </w:rPr>
        <w:t>s</w:t>
      </w:r>
      <w:r w:rsidRPr="005765AF">
        <w:rPr>
          <w:rFonts w:ascii="Verdana" w:hAnsi="Verdana"/>
          <w:lang w:val="en-GB"/>
        </w:rPr>
        <w:t>ed by an inability to control alcohol consumption despite negative consequences</w:t>
      </w:r>
      <w:r>
        <w:rPr>
          <w:rFonts w:ascii="Verdana" w:hAnsi="Verdana"/>
          <w:lang w:val="en-GB"/>
        </w:rPr>
        <w:t>.</w:t>
      </w:r>
    </w:p>
    <w:p w14:paraId="3170620A" w14:textId="1A1288B8" w:rsidR="00512D80" w:rsidRDefault="00512D80" w:rsidP="001148BC">
      <w:pPr>
        <w:rPr>
          <w:rFonts w:ascii="Verdana" w:hAnsi="Verdana"/>
          <w:lang w:val="en-GB"/>
        </w:rPr>
      </w:pPr>
      <w:r w:rsidRPr="00512D80">
        <w:rPr>
          <w:rFonts w:ascii="Verdana" w:hAnsi="Verdana"/>
          <w:lang w:val="en-GB"/>
        </w:rPr>
        <w:t>Classification</w:t>
      </w:r>
      <w:r w:rsidR="00705F56">
        <w:rPr>
          <w:rFonts w:ascii="Verdana" w:hAnsi="Verdana"/>
          <w:lang w:val="en-GB"/>
        </w:rPr>
        <w:t>s</w:t>
      </w:r>
      <w:r w:rsidRPr="00512D80">
        <w:rPr>
          <w:rFonts w:ascii="Verdana" w:hAnsi="Verdana"/>
          <w:lang w:val="en-GB"/>
        </w:rPr>
        <w:t xml:space="preserve"> for disorders </w:t>
      </w:r>
      <w:r w:rsidR="00705F56">
        <w:rPr>
          <w:rFonts w:ascii="Verdana" w:hAnsi="Verdana"/>
          <w:lang w:val="en-GB"/>
        </w:rPr>
        <w:t>are</w:t>
      </w:r>
      <w:r w:rsidRPr="00512D80">
        <w:rPr>
          <w:rFonts w:ascii="Verdana" w:hAnsi="Verdana"/>
          <w:lang w:val="en-GB"/>
        </w:rPr>
        <w:t xml:space="preserve"> imperative to allow for efficient healthcare management, accurate record-keeping, and the smooth functioning of the healthcare system, allowing clinicians and healthcare providers to identify the best course of treatment based on the patient's specific condition.</w:t>
      </w:r>
    </w:p>
    <w:p w14:paraId="0A065498" w14:textId="708E79DE" w:rsidR="00C552E5" w:rsidRDefault="009F1ACE" w:rsidP="001148BC">
      <w:pPr>
        <w:rPr>
          <w:rFonts w:ascii="Verdana" w:hAnsi="Verdana"/>
        </w:rPr>
      </w:pPr>
      <w:r>
        <w:rPr>
          <w:rFonts w:ascii="Verdana" w:hAnsi="Verdana"/>
          <w:lang w:val="en-GB"/>
        </w:rPr>
        <w:t xml:space="preserve">Worldwide there are </w:t>
      </w:r>
      <w:r w:rsidR="00A07C53">
        <w:rPr>
          <w:rFonts w:ascii="Verdana" w:hAnsi="Verdana"/>
          <w:lang w:val="en-GB"/>
        </w:rPr>
        <w:t>two classification</w:t>
      </w:r>
      <w:r w:rsidR="00F6597E">
        <w:rPr>
          <w:rFonts w:ascii="Verdana" w:hAnsi="Verdana"/>
          <w:lang w:val="en-GB"/>
        </w:rPr>
        <w:t xml:space="preserve"> systems to </w:t>
      </w:r>
      <w:r w:rsidR="00B076B4">
        <w:rPr>
          <w:rFonts w:ascii="Verdana" w:hAnsi="Verdana"/>
          <w:lang w:val="en-GB"/>
        </w:rPr>
        <w:t xml:space="preserve">facilitate professionals to diagnose and support people with various physical and psychological conditions. </w:t>
      </w:r>
      <w:r w:rsidR="00233377">
        <w:rPr>
          <w:rFonts w:ascii="Verdana" w:hAnsi="Verdana"/>
          <w:lang w:val="en-GB"/>
        </w:rPr>
        <w:t xml:space="preserve"> </w:t>
      </w:r>
      <w:r w:rsidR="00417952" w:rsidRPr="00417952">
        <w:rPr>
          <w:rFonts w:ascii="Verdana" w:hAnsi="Verdana"/>
          <w:lang w:val="en-GB"/>
        </w:rPr>
        <w:t>ICD 10 (WHO) and DSM -5</w:t>
      </w:r>
      <w:r w:rsidR="00B076B4">
        <w:rPr>
          <w:rFonts w:ascii="Verdana" w:hAnsi="Verdana"/>
          <w:lang w:val="en-GB"/>
        </w:rPr>
        <w:t xml:space="preserve"> </w:t>
      </w:r>
      <w:r w:rsidR="00754324">
        <w:rPr>
          <w:rFonts w:ascii="Verdana" w:hAnsi="Verdana"/>
          <w:lang w:val="en-GB"/>
        </w:rPr>
        <w:t xml:space="preserve">which </w:t>
      </w:r>
      <w:r w:rsidR="00EB323E" w:rsidRPr="00EB323E">
        <w:rPr>
          <w:rFonts w:ascii="Verdana" w:hAnsi="Verdana"/>
          <w:lang w:val="en-GB"/>
        </w:rPr>
        <w:t xml:space="preserve">allow for consistent and reliable research about the diagnosis, prognosis, and treatment of </w:t>
      </w:r>
      <w:r w:rsidR="00417952" w:rsidRPr="00EB323E">
        <w:rPr>
          <w:rFonts w:ascii="Verdana" w:hAnsi="Verdana"/>
          <w:lang w:val="en-GB"/>
        </w:rPr>
        <w:t>disorders</w:t>
      </w:r>
      <w:r w:rsidR="00417952">
        <w:t xml:space="preserve"> to</w:t>
      </w:r>
      <w:r w:rsidR="00417952">
        <w:rPr>
          <w:rFonts w:ascii="Verdana" w:hAnsi="Verdana"/>
        </w:rPr>
        <w:t xml:space="preserve"> </w:t>
      </w:r>
      <w:r w:rsidR="00B24E24" w:rsidRPr="00B24E24">
        <w:rPr>
          <w:rFonts w:ascii="Verdana" w:hAnsi="Verdana"/>
          <w:lang w:val="en-GB"/>
        </w:rPr>
        <w:t>improve patient care and clinical outcomes</w:t>
      </w:r>
      <w:r w:rsidR="00EB323E" w:rsidRPr="00EB323E">
        <w:rPr>
          <w:rFonts w:ascii="Verdana" w:hAnsi="Verdana"/>
          <w:lang w:val="en-GB"/>
        </w:rPr>
        <w:t>.</w:t>
      </w:r>
      <w:r w:rsidR="00EB323E">
        <w:rPr>
          <w:rFonts w:ascii="Verdana" w:hAnsi="Verdana"/>
          <w:lang w:val="en-GB"/>
        </w:rPr>
        <w:t xml:space="preserve"> </w:t>
      </w:r>
      <w:r w:rsidR="006E6FC0" w:rsidRPr="006E6FC0">
        <w:rPr>
          <w:rFonts w:ascii="Verdana" w:hAnsi="Verdana"/>
          <w:lang w:val="en-GB"/>
        </w:rPr>
        <w:t>DSM-5 is strictly intended for mental disorders. Whil</w:t>
      </w:r>
      <w:r w:rsidR="00D14E20">
        <w:rPr>
          <w:rFonts w:ascii="Verdana" w:hAnsi="Verdana"/>
          <w:lang w:val="en-GB"/>
        </w:rPr>
        <w:t>st</w:t>
      </w:r>
      <w:r w:rsidR="006E6FC0" w:rsidRPr="006E6FC0">
        <w:rPr>
          <w:rFonts w:ascii="Verdana" w:hAnsi="Verdana"/>
          <w:lang w:val="en-GB"/>
        </w:rPr>
        <w:t xml:space="preserve"> ICD-10 includes those same conditions, it contains conditions and diseases related to the entire human </w:t>
      </w:r>
      <w:r w:rsidR="00A07C53" w:rsidRPr="006E6FC0">
        <w:rPr>
          <w:rFonts w:ascii="Verdana" w:hAnsi="Verdana"/>
          <w:lang w:val="en-GB"/>
        </w:rPr>
        <w:t>physiology but</w:t>
      </w:r>
      <w:r w:rsidR="00233377">
        <w:rPr>
          <w:rFonts w:ascii="Verdana" w:hAnsi="Verdana"/>
          <w:lang w:val="en-GB"/>
        </w:rPr>
        <w:t xml:space="preserve"> </w:t>
      </w:r>
      <w:r w:rsidR="006E6FC0" w:rsidRPr="006E6FC0">
        <w:rPr>
          <w:rFonts w:ascii="Verdana" w:hAnsi="Verdana"/>
          <w:lang w:val="en-GB"/>
        </w:rPr>
        <w:t>does not cover mental disorders in the same depth as the DSM-5 does.</w:t>
      </w:r>
      <w:r w:rsidR="00B24E24" w:rsidRPr="00B24E24">
        <w:t xml:space="preserve"> </w:t>
      </w:r>
      <w:r w:rsidR="00B24E24" w:rsidRPr="00B24E24">
        <w:rPr>
          <w:rFonts w:ascii="Verdana" w:hAnsi="Verdana"/>
          <w:lang w:val="en-GB"/>
        </w:rPr>
        <w:t>(Tyrer, 2014)</w:t>
      </w:r>
      <w:r w:rsidR="000229C4">
        <w:rPr>
          <w:rFonts w:ascii="Verdana" w:hAnsi="Verdana"/>
          <w:lang w:val="en-GB"/>
        </w:rPr>
        <w:t xml:space="preserve">.  ICD-11 has </w:t>
      </w:r>
      <w:r w:rsidR="00867E4E">
        <w:rPr>
          <w:rFonts w:ascii="Verdana" w:hAnsi="Verdana"/>
          <w:lang w:val="en-GB"/>
        </w:rPr>
        <w:t>recently</w:t>
      </w:r>
      <w:r w:rsidR="000229C4">
        <w:rPr>
          <w:rFonts w:ascii="Verdana" w:hAnsi="Verdana"/>
          <w:lang w:val="en-GB"/>
        </w:rPr>
        <w:t xml:space="preserve"> </w:t>
      </w:r>
      <w:r w:rsidR="00D14E20">
        <w:rPr>
          <w:rFonts w:ascii="Verdana" w:hAnsi="Verdana"/>
          <w:lang w:val="en-GB"/>
        </w:rPr>
        <w:t>been</w:t>
      </w:r>
      <w:r w:rsidR="00867E4E">
        <w:rPr>
          <w:rFonts w:ascii="Verdana" w:hAnsi="Verdana"/>
          <w:lang w:val="en-GB"/>
        </w:rPr>
        <w:t xml:space="preserve"> released</w:t>
      </w:r>
      <w:r w:rsidR="000229C4">
        <w:rPr>
          <w:rFonts w:ascii="Verdana" w:hAnsi="Verdana"/>
          <w:lang w:val="en-GB"/>
        </w:rPr>
        <w:t xml:space="preserve"> by the World Health </w:t>
      </w:r>
      <w:r w:rsidR="00867E4E">
        <w:rPr>
          <w:rFonts w:ascii="Verdana" w:hAnsi="Verdana"/>
          <w:lang w:val="en-GB"/>
        </w:rPr>
        <w:t>Organisation</w:t>
      </w:r>
      <w:r w:rsidR="000229C4">
        <w:rPr>
          <w:rFonts w:ascii="Verdana" w:hAnsi="Verdana"/>
          <w:lang w:val="en-GB"/>
        </w:rPr>
        <w:t xml:space="preserve"> (2024) </w:t>
      </w:r>
      <w:r w:rsidR="00867E4E">
        <w:rPr>
          <w:rFonts w:ascii="Verdana" w:hAnsi="Verdana"/>
          <w:lang w:val="en-GB"/>
        </w:rPr>
        <w:t xml:space="preserve">and has been </w:t>
      </w:r>
      <w:r w:rsidR="000229C4" w:rsidRPr="000229C4">
        <w:rPr>
          <w:rFonts w:ascii="Verdana" w:hAnsi="Verdana"/>
          <w:lang w:val="en-GB"/>
        </w:rPr>
        <w:t xml:space="preserve">mandated </w:t>
      </w:r>
      <w:r w:rsidR="00867E4E">
        <w:rPr>
          <w:rFonts w:ascii="Verdana" w:hAnsi="Verdana"/>
          <w:lang w:val="en-GB"/>
        </w:rPr>
        <w:t xml:space="preserve">to be the </w:t>
      </w:r>
      <w:r w:rsidR="000229C4" w:rsidRPr="000229C4">
        <w:rPr>
          <w:rFonts w:ascii="Verdana" w:hAnsi="Verdana"/>
          <w:lang w:val="en-GB"/>
        </w:rPr>
        <w:t>information standard for the NHS in England to replace ICD-10 in the next 5 years</w:t>
      </w:r>
      <w:r w:rsidR="00270242">
        <w:rPr>
          <w:rFonts w:ascii="Verdana" w:hAnsi="Verdana"/>
          <w:lang w:val="en-GB"/>
        </w:rPr>
        <w:t xml:space="preserve">. ICD-11 has updated terminology, </w:t>
      </w:r>
      <w:r w:rsidR="0059059A">
        <w:rPr>
          <w:rFonts w:ascii="Verdana" w:hAnsi="Verdana"/>
          <w:lang w:val="en-GB"/>
        </w:rPr>
        <w:t xml:space="preserve">digital tools and </w:t>
      </w:r>
      <w:r w:rsidR="008E7824">
        <w:rPr>
          <w:rFonts w:ascii="Verdana" w:hAnsi="Verdana"/>
          <w:lang w:val="en-GB"/>
        </w:rPr>
        <w:t xml:space="preserve">reclassification in some </w:t>
      </w:r>
      <w:r w:rsidR="00F0527F">
        <w:rPr>
          <w:rFonts w:ascii="Verdana" w:hAnsi="Verdana"/>
          <w:lang w:val="en-GB"/>
        </w:rPr>
        <w:t>instances</w:t>
      </w:r>
      <w:r w:rsidR="008E7824">
        <w:rPr>
          <w:rFonts w:ascii="Verdana" w:hAnsi="Verdana"/>
          <w:lang w:val="en-GB"/>
        </w:rPr>
        <w:t>. For example, ICD 10</w:t>
      </w:r>
      <w:r w:rsidR="00F0527F">
        <w:rPr>
          <w:rFonts w:ascii="Verdana" w:hAnsi="Verdana"/>
          <w:lang w:val="en-GB"/>
        </w:rPr>
        <w:t>,</w:t>
      </w:r>
      <w:r w:rsidR="008E7824">
        <w:rPr>
          <w:rFonts w:ascii="Verdana" w:hAnsi="Verdana"/>
          <w:lang w:val="en-GB"/>
        </w:rPr>
        <w:t xml:space="preserve"> </w:t>
      </w:r>
      <w:r w:rsidR="00C33142" w:rsidRPr="00C33142">
        <w:rPr>
          <w:rFonts w:ascii="Verdana" w:hAnsi="Verdana"/>
        </w:rPr>
        <w:t>RESIDUAL AND LATE-ONSET PSYCHOTIC DISORDER DUE TO ALCOHOL</w:t>
      </w:r>
      <w:r w:rsidR="00C33142">
        <w:rPr>
          <w:rFonts w:ascii="Verdana" w:hAnsi="Verdana"/>
        </w:rPr>
        <w:t xml:space="preserve">, becomes </w:t>
      </w:r>
      <w:r w:rsidR="00F0527F" w:rsidRPr="00F0527F">
        <w:rPr>
          <w:rFonts w:ascii="Verdana" w:hAnsi="Verdana"/>
        </w:rPr>
        <w:t>D</w:t>
      </w:r>
      <w:r w:rsidR="00F0527F">
        <w:rPr>
          <w:rFonts w:ascii="Verdana" w:hAnsi="Verdana"/>
        </w:rPr>
        <w:t xml:space="preserve">EMENTIA DUE TO </w:t>
      </w:r>
      <w:r w:rsidR="00F0527F">
        <w:rPr>
          <w:rFonts w:ascii="Verdana" w:hAnsi="Verdana"/>
        </w:rPr>
        <w:lastRenderedPageBreak/>
        <w:t xml:space="preserve">USE OF ALCOHOL in ICD 11.   This classification change could be the fundamental change for how people will be supported in the future. </w:t>
      </w:r>
    </w:p>
    <w:p w14:paraId="2B3F6442" w14:textId="0FFA9B9E" w:rsidR="00A76AE0" w:rsidRDefault="00A76AE0" w:rsidP="00A76AE0">
      <w:pPr>
        <w:rPr>
          <w:rFonts w:ascii="Verdana" w:hAnsi="Verdana"/>
          <w:lang w:val="en-GB"/>
        </w:rPr>
      </w:pPr>
      <w:r w:rsidRPr="00C97E92">
        <w:rPr>
          <w:rFonts w:ascii="Verdana" w:hAnsi="Verdana"/>
          <w:lang w:val="en-GB"/>
        </w:rPr>
        <w:t xml:space="preserve">ICD and DSM </w:t>
      </w:r>
      <w:r>
        <w:rPr>
          <w:rFonts w:ascii="Verdana" w:hAnsi="Verdana"/>
          <w:lang w:val="en-GB"/>
        </w:rPr>
        <w:t xml:space="preserve">have </w:t>
      </w:r>
      <w:r w:rsidRPr="00C97E92">
        <w:rPr>
          <w:rFonts w:ascii="Verdana" w:hAnsi="Verdana"/>
          <w:lang w:val="en-GB"/>
        </w:rPr>
        <w:t>Limitations</w:t>
      </w:r>
      <w:r>
        <w:rPr>
          <w:rFonts w:ascii="Verdana" w:hAnsi="Verdana"/>
          <w:lang w:val="en-GB"/>
        </w:rPr>
        <w:t xml:space="preserve">. </w:t>
      </w:r>
      <w:r w:rsidRPr="00C97E92">
        <w:rPr>
          <w:rFonts w:ascii="Verdana" w:hAnsi="Verdana"/>
          <w:lang w:val="en-GB"/>
        </w:rPr>
        <w:t>The lack of a comprehensive classification system contributes to underdiagnosis or misdiagnosis. ARBI can sometimes be confused with other forms of dementia, leading to inappropriate treatment approaches.</w:t>
      </w:r>
      <w:r>
        <w:rPr>
          <w:rFonts w:ascii="Verdana" w:hAnsi="Verdana"/>
          <w:lang w:val="en-GB"/>
        </w:rPr>
        <w:t xml:space="preserve"> </w:t>
      </w:r>
      <w:r w:rsidRPr="00C97E92">
        <w:rPr>
          <w:rFonts w:ascii="Verdana" w:hAnsi="Verdana"/>
          <w:lang w:val="en-GB"/>
        </w:rPr>
        <w:t>In ICD-10, this is simply classified under alcohol-induced dementia, for which the general criteria for dementia must be met. However, these earlier criteria reflect the characteristics of Alzheimer’s dementia, rather than the patterns typically seen in alcohol-induced cognitive impairment. (</w:t>
      </w:r>
      <w:r w:rsidR="00754324">
        <w:rPr>
          <w:rFonts w:ascii="Verdana" w:hAnsi="Verdana"/>
          <w:lang w:val="en-GB"/>
        </w:rPr>
        <w:t>C</w:t>
      </w:r>
      <w:r w:rsidRPr="00C97E92">
        <w:rPr>
          <w:rFonts w:ascii="Verdana" w:hAnsi="Verdana"/>
          <w:lang w:val="en-GB"/>
        </w:rPr>
        <w:t xml:space="preserve">ollege </w:t>
      </w:r>
      <w:r w:rsidR="00754324">
        <w:rPr>
          <w:rFonts w:ascii="Verdana" w:hAnsi="Verdana"/>
          <w:lang w:val="en-GB"/>
        </w:rPr>
        <w:t>R</w:t>
      </w:r>
      <w:r w:rsidRPr="00C97E92">
        <w:rPr>
          <w:rFonts w:ascii="Verdana" w:hAnsi="Verdana"/>
          <w:lang w:val="en-GB"/>
        </w:rPr>
        <w:t>eport, 2014).</w:t>
      </w:r>
    </w:p>
    <w:p w14:paraId="6B852B0B" w14:textId="63F39DC7" w:rsidR="00DE44C2" w:rsidRDefault="007A33A4" w:rsidP="00A07C53">
      <w:pPr>
        <w:rPr>
          <w:rFonts w:ascii="Verdana" w:hAnsi="Verdana"/>
          <w:lang w:val="en-GB"/>
        </w:rPr>
      </w:pPr>
      <w:r>
        <w:rPr>
          <w:rFonts w:ascii="Verdana" w:hAnsi="Verdana"/>
          <w:lang w:val="en-GB"/>
        </w:rPr>
        <w:t>It is important for the purpose of this project to understand the</w:t>
      </w:r>
      <w:r w:rsidR="00E05E2A">
        <w:rPr>
          <w:rFonts w:ascii="Verdana" w:hAnsi="Verdana"/>
          <w:lang w:val="en-GB"/>
        </w:rPr>
        <w:t>se</w:t>
      </w:r>
      <w:r>
        <w:rPr>
          <w:rFonts w:ascii="Verdana" w:hAnsi="Verdana"/>
          <w:lang w:val="en-GB"/>
        </w:rPr>
        <w:t xml:space="preserve"> </w:t>
      </w:r>
      <w:r w:rsidR="00E05E2A">
        <w:rPr>
          <w:rFonts w:ascii="Verdana" w:hAnsi="Verdana"/>
          <w:lang w:val="en-GB"/>
        </w:rPr>
        <w:t xml:space="preserve">fundamental </w:t>
      </w:r>
      <w:r w:rsidR="00A07C53">
        <w:rPr>
          <w:rFonts w:ascii="Verdana" w:hAnsi="Verdana"/>
          <w:lang w:val="en-GB"/>
        </w:rPr>
        <w:t>classification</w:t>
      </w:r>
      <w:r w:rsidR="00E05E2A">
        <w:rPr>
          <w:rFonts w:ascii="Verdana" w:hAnsi="Verdana"/>
          <w:lang w:val="en-GB"/>
        </w:rPr>
        <w:t xml:space="preserve"> systems</w:t>
      </w:r>
      <w:r w:rsidR="00A261C4">
        <w:rPr>
          <w:rFonts w:ascii="Verdana" w:hAnsi="Verdana"/>
          <w:lang w:val="en-GB"/>
        </w:rPr>
        <w:t>, to understand how the current system</w:t>
      </w:r>
      <w:r w:rsidR="007F718D">
        <w:rPr>
          <w:rFonts w:ascii="Verdana" w:hAnsi="Verdana"/>
          <w:lang w:val="en-GB"/>
        </w:rPr>
        <w:t xml:space="preserve">s </w:t>
      </w:r>
      <w:r w:rsidR="001E61BD">
        <w:rPr>
          <w:rFonts w:ascii="Verdana" w:hAnsi="Verdana"/>
          <w:lang w:val="en-GB"/>
        </w:rPr>
        <w:t>are</w:t>
      </w:r>
      <w:r w:rsidR="00DD446F">
        <w:rPr>
          <w:rFonts w:ascii="Verdana" w:hAnsi="Verdana"/>
          <w:lang w:val="en-GB"/>
        </w:rPr>
        <w:t xml:space="preserve"> structured in a way that</w:t>
      </w:r>
      <w:r w:rsidR="00754324">
        <w:rPr>
          <w:rFonts w:ascii="Verdana" w:hAnsi="Verdana"/>
          <w:lang w:val="en-GB"/>
        </w:rPr>
        <w:t xml:space="preserve"> pos</w:t>
      </w:r>
      <w:r w:rsidR="0027686E">
        <w:rPr>
          <w:rFonts w:ascii="Verdana" w:hAnsi="Verdana"/>
          <w:lang w:val="en-GB"/>
        </w:rPr>
        <w:t>es</w:t>
      </w:r>
      <w:r w:rsidR="00DD446F">
        <w:rPr>
          <w:rFonts w:ascii="Verdana" w:hAnsi="Verdana"/>
          <w:lang w:val="en-GB"/>
        </w:rPr>
        <w:t xml:space="preserve"> </w:t>
      </w:r>
      <w:r w:rsidR="00E4484E">
        <w:rPr>
          <w:rFonts w:ascii="Verdana" w:hAnsi="Verdana"/>
          <w:lang w:val="en-GB"/>
        </w:rPr>
        <w:t>barriers</w:t>
      </w:r>
      <w:r w:rsidR="00DD446F">
        <w:rPr>
          <w:rFonts w:ascii="Verdana" w:hAnsi="Verdana"/>
          <w:lang w:val="en-GB"/>
        </w:rPr>
        <w:t xml:space="preserve"> </w:t>
      </w:r>
      <w:r w:rsidR="0027686E">
        <w:rPr>
          <w:rFonts w:ascii="Verdana" w:hAnsi="Verdana"/>
          <w:lang w:val="en-GB"/>
        </w:rPr>
        <w:t>t</w:t>
      </w:r>
      <w:r w:rsidR="007F718D">
        <w:rPr>
          <w:rFonts w:ascii="Verdana" w:hAnsi="Verdana"/>
          <w:lang w:val="en-GB"/>
        </w:rPr>
        <w:t>o support people who have ARBI</w:t>
      </w:r>
      <w:r w:rsidR="00E4484E">
        <w:rPr>
          <w:rFonts w:ascii="Verdana" w:hAnsi="Verdana"/>
          <w:lang w:val="en-GB"/>
        </w:rPr>
        <w:t>.</w:t>
      </w:r>
    </w:p>
    <w:p w14:paraId="3A5AC219" w14:textId="1DD32A4A" w:rsidR="00963091" w:rsidRDefault="00EF3219" w:rsidP="00A07C53">
      <w:pPr>
        <w:rPr>
          <w:rFonts w:ascii="Verdana" w:hAnsi="Verdana"/>
          <w:lang w:val="en-GB"/>
        </w:rPr>
      </w:pPr>
      <w:r>
        <w:rPr>
          <w:rFonts w:ascii="Verdana" w:hAnsi="Verdana"/>
          <w:lang w:val="en-GB"/>
        </w:rPr>
        <w:t>P</w:t>
      </w:r>
      <w:r w:rsidRPr="00EF3219">
        <w:rPr>
          <w:rFonts w:ascii="Verdana" w:hAnsi="Verdana"/>
          <w:lang w:val="en-GB"/>
        </w:rPr>
        <w:t>eople with alcohol dependence often face significant discrimination in multiple areas of their lives, including healthcare, employment, social relationships, and even within the legal system</w:t>
      </w:r>
      <w:r w:rsidR="006A68E6">
        <w:rPr>
          <w:rFonts w:ascii="Verdana" w:hAnsi="Verdana"/>
          <w:lang w:val="en-GB"/>
        </w:rPr>
        <w:t xml:space="preserve"> (</w:t>
      </w:r>
      <w:r w:rsidR="006A68E6" w:rsidRPr="006A68E6">
        <w:rPr>
          <w:rFonts w:ascii="Verdana" w:hAnsi="Verdana"/>
        </w:rPr>
        <w:t>Kruithof,</w:t>
      </w:r>
      <w:r w:rsidR="006A68E6">
        <w:rPr>
          <w:rFonts w:ascii="Verdana" w:hAnsi="Verdana"/>
        </w:rPr>
        <w:t xml:space="preserve"> </w:t>
      </w:r>
      <w:r w:rsidR="006A68E6" w:rsidRPr="006A68E6">
        <w:rPr>
          <w:rFonts w:ascii="Verdana" w:hAnsi="Verdana"/>
        </w:rPr>
        <w:t>McGovern</w:t>
      </w:r>
      <w:r w:rsidR="006A68E6">
        <w:rPr>
          <w:rFonts w:ascii="Verdana" w:hAnsi="Verdana"/>
        </w:rPr>
        <w:t xml:space="preserve"> </w:t>
      </w:r>
      <w:r w:rsidR="006A68E6" w:rsidRPr="006A68E6">
        <w:rPr>
          <w:rFonts w:ascii="Verdana" w:hAnsi="Verdana"/>
        </w:rPr>
        <w:t>and Haighton, 2023</w:t>
      </w:r>
      <w:r w:rsidR="006A68E6">
        <w:rPr>
          <w:rFonts w:ascii="Verdana" w:hAnsi="Verdana"/>
        </w:rPr>
        <w:t>)</w:t>
      </w:r>
      <w:r w:rsidR="001E61BD">
        <w:rPr>
          <w:rFonts w:ascii="Verdana" w:hAnsi="Verdana"/>
          <w:lang w:val="en-GB"/>
        </w:rPr>
        <w:t xml:space="preserve">. </w:t>
      </w:r>
      <w:r w:rsidR="001537E8">
        <w:rPr>
          <w:rFonts w:ascii="Verdana" w:hAnsi="Verdana"/>
          <w:lang w:val="en-GB"/>
        </w:rPr>
        <w:t xml:space="preserve"> </w:t>
      </w:r>
      <w:r w:rsidR="001537E8" w:rsidRPr="001537E8">
        <w:rPr>
          <w:rFonts w:ascii="Verdana" w:hAnsi="Verdana"/>
          <w:lang w:val="en-GB"/>
        </w:rPr>
        <w:t>Alcohol dependency causes significant changes in the brain, affecting its structure, chemistry, and functioning. These changes can lead to tolerance, cravings, and difficulty controlling alcohol consumption</w:t>
      </w:r>
      <w:r w:rsidR="00AB5D27">
        <w:rPr>
          <w:rFonts w:ascii="Verdana" w:hAnsi="Verdana"/>
          <w:lang w:val="en-GB"/>
        </w:rPr>
        <w:t xml:space="preserve"> leading to </w:t>
      </w:r>
      <w:r w:rsidR="00AB5D27" w:rsidRPr="00AB5D27">
        <w:rPr>
          <w:rFonts w:ascii="Verdana" w:hAnsi="Verdana"/>
          <w:lang w:val="en-GB"/>
        </w:rPr>
        <w:t>Alcohol-related brain damage (ARBD), or alcohol-related brain injury (ARBI)</w:t>
      </w:r>
      <w:r w:rsidR="0027686E">
        <w:rPr>
          <w:rFonts w:ascii="Verdana" w:hAnsi="Verdana"/>
          <w:lang w:val="en-GB"/>
        </w:rPr>
        <w:t xml:space="preserve"> as it is otherwise known</w:t>
      </w:r>
      <w:r w:rsidR="00963091">
        <w:rPr>
          <w:rFonts w:ascii="Verdana" w:hAnsi="Verdana"/>
          <w:lang w:val="en-GB"/>
        </w:rPr>
        <w:t>.</w:t>
      </w:r>
    </w:p>
    <w:p w14:paraId="067871D4" w14:textId="21738FA9" w:rsidR="0077045E" w:rsidRDefault="006F639F" w:rsidP="00A07C53">
      <w:pPr>
        <w:rPr>
          <w:rFonts w:ascii="Verdana" w:hAnsi="Verdana"/>
          <w:lang w:val="en-GB"/>
        </w:rPr>
      </w:pPr>
      <w:r>
        <w:rPr>
          <w:rFonts w:ascii="Verdana" w:hAnsi="Verdana"/>
        </w:rPr>
        <w:t xml:space="preserve">Core 20 plus, is </w:t>
      </w:r>
      <w:r w:rsidR="004C4D45">
        <w:rPr>
          <w:rFonts w:ascii="Verdana" w:hAnsi="Verdana"/>
        </w:rPr>
        <w:t xml:space="preserve">NHS England’s </w:t>
      </w:r>
      <w:r>
        <w:rPr>
          <w:rFonts w:ascii="Verdana" w:hAnsi="Verdana"/>
        </w:rPr>
        <w:t>initiative</w:t>
      </w:r>
      <w:r w:rsidR="004C4D45">
        <w:rPr>
          <w:rFonts w:ascii="Verdana" w:hAnsi="Verdana"/>
        </w:rPr>
        <w:t xml:space="preserve"> to tackle health inequalities at both national and system level </w:t>
      </w:r>
      <w:r w:rsidR="004C4D45" w:rsidRPr="004C4D45">
        <w:rPr>
          <w:rFonts w:ascii="Verdana" w:hAnsi="Verdana"/>
        </w:rPr>
        <w:t>to inform action to reduce healthcare inequalities at both national and system level</w:t>
      </w:r>
      <w:r w:rsidR="004C4D45" w:rsidRPr="004C4D45">
        <w:rPr>
          <w:rFonts w:ascii="Verdana" w:hAnsi="Verdana"/>
          <w:lang w:val="en-GB"/>
        </w:rPr>
        <w:t xml:space="preserve"> </w:t>
      </w:r>
      <w:r w:rsidR="00513C14">
        <w:rPr>
          <w:rFonts w:ascii="Verdana" w:hAnsi="Verdana"/>
          <w:lang w:val="en-GB"/>
        </w:rPr>
        <w:t>(NHS England, 2</w:t>
      </w:r>
      <w:r w:rsidR="00366D3E">
        <w:rPr>
          <w:rFonts w:ascii="Verdana" w:hAnsi="Verdana"/>
          <w:lang w:val="en-GB"/>
        </w:rPr>
        <w:t>022</w:t>
      </w:r>
      <w:r w:rsidR="00B3197B">
        <w:rPr>
          <w:rFonts w:ascii="Verdana" w:hAnsi="Verdana"/>
          <w:lang w:val="en-GB"/>
        </w:rPr>
        <w:t>)</w:t>
      </w:r>
      <w:r w:rsidR="004E7CBE">
        <w:rPr>
          <w:rFonts w:ascii="Verdana" w:hAnsi="Verdana"/>
          <w:lang w:val="en-GB"/>
        </w:rPr>
        <w:t>.</w:t>
      </w:r>
      <w:r w:rsidR="00B3197B">
        <w:rPr>
          <w:rFonts w:ascii="Verdana" w:hAnsi="Verdana"/>
          <w:lang w:val="en-GB"/>
        </w:rPr>
        <w:t xml:space="preserve"> </w:t>
      </w:r>
      <w:r w:rsidR="00513C14">
        <w:rPr>
          <w:rFonts w:ascii="Verdana" w:hAnsi="Verdana"/>
          <w:lang w:val="en-GB"/>
        </w:rPr>
        <w:t>Individuals</w:t>
      </w:r>
      <w:r w:rsidR="00626118">
        <w:rPr>
          <w:rFonts w:ascii="Verdana" w:hAnsi="Verdana"/>
          <w:lang w:val="en-GB"/>
        </w:rPr>
        <w:t xml:space="preserve"> within </w:t>
      </w:r>
      <w:r w:rsidR="00513C14">
        <w:rPr>
          <w:rFonts w:ascii="Verdana" w:hAnsi="Verdana"/>
          <w:lang w:val="en-GB"/>
        </w:rPr>
        <w:t>this cohort,</w:t>
      </w:r>
      <w:r w:rsidR="00BE2B06" w:rsidRPr="00BE2B06">
        <w:t xml:space="preserve"> </w:t>
      </w:r>
      <w:r w:rsidR="00BE2B06" w:rsidRPr="00BE2B06">
        <w:rPr>
          <w:rFonts w:ascii="Verdana" w:hAnsi="Verdana"/>
          <w:lang w:val="en-GB"/>
        </w:rPr>
        <w:t>are at a higher risk of Alcohol Use Disorder (AUD) and Alcohol-Related Brain Injury (ARBI)</w:t>
      </w:r>
      <w:r w:rsidR="00BE2B06">
        <w:rPr>
          <w:rFonts w:ascii="Verdana" w:hAnsi="Verdana"/>
          <w:lang w:val="en-GB"/>
        </w:rPr>
        <w:t xml:space="preserve">, due to </w:t>
      </w:r>
      <w:r w:rsidR="00915B33">
        <w:rPr>
          <w:rFonts w:ascii="Verdana" w:hAnsi="Verdana"/>
          <w:lang w:val="en-GB"/>
        </w:rPr>
        <w:t>a</w:t>
      </w:r>
      <w:r w:rsidR="00BE2B06" w:rsidRPr="00BE2B06">
        <w:rPr>
          <w:rFonts w:ascii="Verdana" w:hAnsi="Verdana"/>
          <w:lang w:val="en-GB"/>
        </w:rPr>
        <w:t xml:space="preserve"> combination of </w:t>
      </w:r>
      <w:r w:rsidR="00915B33">
        <w:rPr>
          <w:rFonts w:ascii="Verdana" w:hAnsi="Verdana"/>
          <w:lang w:val="en-GB"/>
        </w:rPr>
        <w:t xml:space="preserve">complex </w:t>
      </w:r>
      <w:r w:rsidR="00BE2B06" w:rsidRPr="00BE2B06">
        <w:rPr>
          <w:rFonts w:ascii="Verdana" w:hAnsi="Verdana"/>
          <w:lang w:val="en-GB"/>
        </w:rPr>
        <w:t>factors</w:t>
      </w:r>
      <w:r w:rsidR="004E7CBE">
        <w:rPr>
          <w:rFonts w:ascii="Verdana" w:hAnsi="Verdana"/>
          <w:lang w:val="en-GB"/>
        </w:rPr>
        <w:t xml:space="preserve"> </w:t>
      </w:r>
      <w:r w:rsidR="00EA0C39">
        <w:rPr>
          <w:rFonts w:ascii="Verdana" w:hAnsi="Verdana"/>
          <w:lang w:val="en-GB"/>
        </w:rPr>
        <w:t>(</w:t>
      </w:r>
      <w:r w:rsidR="00EA0C39" w:rsidRPr="00EA0C39">
        <w:rPr>
          <w:rFonts w:ascii="Verdana" w:hAnsi="Verdana"/>
        </w:rPr>
        <w:t>Smith</w:t>
      </w:r>
      <w:r w:rsidR="00EA0C39">
        <w:rPr>
          <w:rFonts w:ascii="Verdana" w:hAnsi="Verdana"/>
        </w:rPr>
        <w:t xml:space="preserve"> </w:t>
      </w:r>
      <w:r w:rsidR="00EA0C39" w:rsidRPr="00EA0C39">
        <w:rPr>
          <w:rFonts w:ascii="Verdana" w:hAnsi="Verdana"/>
        </w:rPr>
        <w:t>and Foster</w:t>
      </w:r>
      <w:r w:rsidR="00EA0C39">
        <w:rPr>
          <w:rFonts w:ascii="Verdana" w:hAnsi="Verdana"/>
        </w:rPr>
        <w:t xml:space="preserve"> </w:t>
      </w:r>
      <w:r w:rsidR="00EA0C39" w:rsidRPr="00EA0C39">
        <w:rPr>
          <w:rFonts w:ascii="Verdana" w:hAnsi="Verdana"/>
        </w:rPr>
        <w:t>2014</w:t>
      </w:r>
      <w:r w:rsidR="00EA0C39">
        <w:rPr>
          <w:rFonts w:ascii="Verdana" w:hAnsi="Verdana"/>
        </w:rPr>
        <w:t>)</w:t>
      </w:r>
      <w:r w:rsidR="00013D32">
        <w:rPr>
          <w:rFonts w:ascii="Verdana" w:hAnsi="Verdana"/>
        </w:rPr>
        <w:t xml:space="preserve">, however, </w:t>
      </w:r>
      <w:r w:rsidR="007059FF">
        <w:rPr>
          <w:rFonts w:ascii="Verdana" w:hAnsi="Verdana"/>
        </w:rPr>
        <w:t xml:space="preserve">there is </w:t>
      </w:r>
      <w:r w:rsidR="007059FF" w:rsidRPr="007059FF">
        <w:rPr>
          <w:rFonts w:ascii="Verdana" w:hAnsi="Verdana"/>
          <w:lang w:val="en-GB"/>
        </w:rPr>
        <w:t>no dedicated service</w:t>
      </w:r>
      <w:r w:rsidR="00FF51B4">
        <w:rPr>
          <w:rFonts w:ascii="Verdana" w:hAnsi="Verdana"/>
          <w:lang w:val="en-GB"/>
        </w:rPr>
        <w:t xml:space="preserve"> for people </w:t>
      </w:r>
      <w:r w:rsidR="007A69AB">
        <w:rPr>
          <w:rFonts w:ascii="Verdana" w:hAnsi="Verdana"/>
          <w:lang w:val="en-GB"/>
        </w:rPr>
        <w:t>with ARBI to access</w:t>
      </w:r>
      <w:r w:rsidR="007059FF">
        <w:rPr>
          <w:rFonts w:ascii="Verdana" w:hAnsi="Verdana"/>
          <w:lang w:val="en-GB"/>
        </w:rPr>
        <w:t xml:space="preserve"> (</w:t>
      </w:r>
      <w:r w:rsidR="00B14D8F" w:rsidRPr="00B14D8F">
        <w:rPr>
          <w:rFonts w:ascii="Verdana" w:hAnsi="Verdana"/>
          <w:lang w:val="en-GB"/>
        </w:rPr>
        <w:t>Kruithof, McGovern,</w:t>
      </w:r>
      <w:r w:rsidR="00B14D8F">
        <w:rPr>
          <w:rFonts w:ascii="Verdana" w:hAnsi="Verdana"/>
          <w:lang w:val="en-GB"/>
        </w:rPr>
        <w:t xml:space="preserve"> </w:t>
      </w:r>
      <w:r w:rsidR="00B14D8F" w:rsidRPr="00B14D8F">
        <w:rPr>
          <w:rFonts w:ascii="Verdana" w:hAnsi="Verdana"/>
          <w:lang w:val="en-GB"/>
        </w:rPr>
        <w:t>and Haighton, 2023</w:t>
      </w:r>
      <w:r w:rsidR="00B14D8F">
        <w:rPr>
          <w:rFonts w:ascii="Verdana" w:hAnsi="Verdana"/>
          <w:lang w:val="en-GB"/>
        </w:rPr>
        <w:t>)</w:t>
      </w:r>
      <w:r w:rsidR="007A69AB">
        <w:rPr>
          <w:rFonts w:ascii="Verdana" w:hAnsi="Verdana"/>
          <w:lang w:val="en-GB"/>
        </w:rPr>
        <w:t>.</w:t>
      </w:r>
    </w:p>
    <w:p w14:paraId="08AC08D8" w14:textId="279C5CA2" w:rsidR="00F80CFD" w:rsidRDefault="003C4D74" w:rsidP="00A07C53">
      <w:pPr>
        <w:rPr>
          <w:rFonts w:ascii="Verdana" w:hAnsi="Verdana"/>
          <w:lang w:val="en-GB"/>
        </w:rPr>
      </w:pPr>
      <w:r w:rsidRPr="003C4D74">
        <w:rPr>
          <w:rFonts w:ascii="Verdana" w:hAnsi="Verdana"/>
          <w:lang w:val="en-GB"/>
        </w:rPr>
        <w:t>ARBI as a</w:t>
      </w:r>
      <w:r>
        <w:rPr>
          <w:rFonts w:ascii="Verdana" w:hAnsi="Verdana"/>
          <w:lang w:val="en-GB"/>
        </w:rPr>
        <w:t>n umbrella</w:t>
      </w:r>
      <w:r w:rsidRPr="003C4D74">
        <w:rPr>
          <w:rFonts w:ascii="Verdana" w:hAnsi="Verdana"/>
          <w:lang w:val="en-GB"/>
        </w:rPr>
        <w:t xml:space="preserve"> term for cognitive and neurological conditions</w:t>
      </w:r>
      <w:r>
        <w:rPr>
          <w:rFonts w:ascii="Verdana" w:hAnsi="Verdana"/>
          <w:lang w:val="en-GB"/>
        </w:rPr>
        <w:t xml:space="preserve"> or damage</w:t>
      </w:r>
      <w:r w:rsidRPr="003C4D74">
        <w:rPr>
          <w:rFonts w:ascii="Verdana" w:hAnsi="Verdana"/>
          <w:lang w:val="en-GB"/>
        </w:rPr>
        <w:t xml:space="preserve"> </w:t>
      </w:r>
      <w:r w:rsidR="00AB5D27" w:rsidRPr="00AB5D27">
        <w:rPr>
          <w:rFonts w:ascii="Verdana" w:hAnsi="Verdana"/>
          <w:lang w:val="en-GB"/>
        </w:rPr>
        <w:t xml:space="preserve">to the brain </w:t>
      </w:r>
      <w:proofErr w:type="gramStart"/>
      <w:r w:rsidR="00AB5D27" w:rsidRPr="00AB5D27">
        <w:rPr>
          <w:rFonts w:ascii="Verdana" w:hAnsi="Verdana"/>
          <w:lang w:val="en-GB"/>
        </w:rPr>
        <w:t>as a result of</w:t>
      </w:r>
      <w:proofErr w:type="gramEnd"/>
      <w:r w:rsidR="00AB5D27" w:rsidRPr="00AB5D27">
        <w:rPr>
          <w:rFonts w:ascii="Verdana" w:hAnsi="Verdana"/>
          <w:lang w:val="en-GB"/>
        </w:rPr>
        <w:t xml:space="preserve"> long-term heavy drinking. Over time, drinking too much alcohol can change the way the brain works and its physical shape and structure. This can bring some very serious consequences, including changes in personality, as well problems with thinking, mood, memory and learning (alcoholchange.org.uk, 2025)</w:t>
      </w:r>
      <w:r w:rsidR="00A54E4B">
        <w:rPr>
          <w:rFonts w:ascii="Verdana" w:hAnsi="Verdana"/>
          <w:lang w:val="en-GB"/>
        </w:rPr>
        <w:t>.</w:t>
      </w:r>
    </w:p>
    <w:p w14:paraId="2D473E15" w14:textId="40BA0B86" w:rsidR="00A67465" w:rsidRDefault="0027686E" w:rsidP="00A07C53">
      <w:pPr>
        <w:rPr>
          <w:rFonts w:ascii="Verdana" w:hAnsi="Verdana"/>
        </w:rPr>
      </w:pPr>
      <w:r w:rsidRPr="00013722">
        <w:rPr>
          <w:rFonts w:ascii="Verdana" w:hAnsi="Verdana"/>
        </w:rPr>
        <w:t>A</w:t>
      </w:r>
      <w:r w:rsidR="00A67465" w:rsidRPr="00013722">
        <w:rPr>
          <w:rFonts w:ascii="Verdana" w:hAnsi="Verdana"/>
        </w:rPr>
        <w:t xml:space="preserve">round 1 in 10 people with ARBI </w:t>
      </w:r>
      <w:r w:rsidR="00A95491">
        <w:rPr>
          <w:rFonts w:ascii="Verdana" w:hAnsi="Verdana"/>
        </w:rPr>
        <w:t xml:space="preserve">will </w:t>
      </w:r>
      <w:r w:rsidR="00A67465" w:rsidRPr="00013722">
        <w:rPr>
          <w:rFonts w:ascii="Verdana" w:hAnsi="Verdana"/>
        </w:rPr>
        <w:t>develop some form of dementia</w:t>
      </w:r>
      <w:r w:rsidR="001A518B" w:rsidRPr="00013722">
        <w:rPr>
          <w:rFonts w:ascii="Verdana" w:hAnsi="Verdana"/>
        </w:rPr>
        <w:t>,</w:t>
      </w:r>
      <w:r w:rsidR="00013722" w:rsidRPr="00013722">
        <w:rPr>
          <w:rFonts w:ascii="Verdana" w:hAnsi="Verdana"/>
        </w:rPr>
        <w:t xml:space="preserve"> </w:t>
      </w:r>
      <w:r w:rsidR="004D2BB7" w:rsidRPr="00013722">
        <w:rPr>
          <w:rFonts w:ascii="Verdana" w:hAnsi="Verdana"/>
        </w:rPr>
        <w:t xml:space="preserve">that’s over 98200 people (Alzheimer’s Society, 2025) living with the condition. </w:t>
      </w:r>
      <w:r w:rsidR="00D20E29" w:rsidRPr="00013722">
        <w:rPr>
          <w:rFonts w:ascii="Verdana" w:hAnsi="Verdana"/>
        </w:rPr>
        <w:t>This,</w:t>
      </w:r>
      <w:r w:rsidR="00013722" w:rsidRPr="00013722">
        <w:rPr>
          <w:rFonts w:ascii="Verdana" w:hAnsi="Verdana"/>
        </w:rPr>
        <w:t xml:space="preserve"> however, </w:t>
      </w:r>
      <w:r w:rsidR="001A518B" w:rsidRPr="00013722">
        <w:rPr>
          <w:rFonts w:ascii="Verdana" w:hAnsi="Verdana"/>
        </w:rPr>
        <w:t xml:space="preserve">alters significantly </w:t>
      </w:r>
      <w:r w:rsidRPr="00013722">
        <w:rPr>
          <w:rFonts w:ascii="Verdana" w:hAnsi="Verdana"/>
        </w:rPr>
        <w:t>for</w:t>
      </w:r>
      <w:r w:rsidR="001A518B" w:rsidRPr="00013722">
        <w:rPr>
          <w:rFonts w:ascii="Verdana" w:hAnsi="Verdana"/>
        </w:rPr>
        <w:t xml:space="preserve"> those under the age of 65, </w:t>
      </w:r>
      <w:r w:rsidR="00013722">
        <w:rPr>
          <w:rFonts w:ascii="Verdana" w:hAnsi="Verdana"/>
        </w:rPr>
        <w:t xml:space="preserve">with </w:t>
      </w:r>
      <w:r w:rsidR="001A518B" w:rsidRPr="00013722">
        <w:rPr>
          <w:rFonts w:ascii="Verdana" w:hAnsi="Verdana"/>
        </w:rPr>
        <w:t>ARB</w:t>
      </w:r>
      <w:r w:rsidR="002E0A71" w:rsidRPr="00013722">
        <w:rPr>
          <w:rFonts w:ascii="Verdana" w:hAnsi="Verdana"/>
        </w:rPr>
        <w:t xml:space="preserve">I </w:t>
      </w:r>
      <w:r w:rsidR="001A518B" w:rsidRPr="00013722">
        <w:rPr>
          <w:rFonts w:ascii="Verdana" w:hAnsi="Verdana"/>
        </w:rPr>
        <w:t>affect</w:t>
      </w:r>
      <w:r w:rsidRPr="00013722">
        <w:rPr>
          <w:rFonts w:ascii="Verdana" w:hAnsi="Verdana"/>
        </w:rPr>
        <w:t xml:space="preserve">ing </w:t>
      </w:r>
      <w:r w:rsidR="001A518B" w:rsidRPr="00013722">
        <w:rPr>
          <w:rFonts w:ascii="Verdana" w:hAnsi="Verdana"/>
        </w:rPr>
        <w:t>about one in eight people</w:t>
      </w:r>
      <w:r w:rsidR="00A67465" w:rsidRPr="00013722">
        <w:rPr>
          <w:rFonts w:ascii="Verdana" w:hAnsi="Verdana"/>
        </w:rPr>
        <w:t xml:space="preserve"> (Alzheimer’s Society, 2025)</w:t>
      </w:r>
      <w:r w:rsidR="001A518B" w:rsidRPr="00013722">
        <w:rPr>
          <w:rFonts w:ascii="Verdana" w:hAnsi="Verdana"/>
        </w:rPr>
        <w:t>.</w:t>
      </w:r>
      <w:r w:rsidR="00D015CA" w:rsidRPr="00013722">
        <w:rPr>
          <w:rFonts w:ascii="Verdana" w:hAnsi="Verdana"/>
        </w:rPr>
        <w:t xml:space="preserve"> ARB</w:t>
      </w:r>
      <w:r w:rsidR="002E0A71" w:rsidRPr="00013722">
        <w:rPr>
          <w:rFonts w:ascii="Verdana" w:hAnsi="Verdana"/>
        </w:rPr>
        <w:t xml:space="preserve">I </w:t>
      </w:r>
      <w:r w:rsidR="00D015CA" w:rsidRPr="00013722">
        <w:rPr>
          <w:rFonts w:ascii="Verdana" w:hAnsi="Verdana"/>
        </w:rPr>
        <w:t>affects men more often than women, but women tend to develop it at a younger age and after fewer years of alcohol misuse. This happens because women are more vulnerable to the harmful effects of alcohol (Alzheimer’s Society, 2025).</w:t>
      </w:r>
    </w:p>
    <w:p w14:paraId="3BCD62A3" w14:textId="3EAA655C" w:rsidR="00CA1925" w:rsidRPr="00013722" w:rsidRDefault="00CA1925" w:rsidP="00A07C53">
      <w:pPr>
        <w:rPr>
          <w:rFonts w:ascii="Verdana" w:hAnsi="Verdana"/>
          <w:lang w:val="en-GB"/>
        </w:rPr>
      </w:pPr>
      <w:r>
        <w:rPr>
          <w:rFonts w:ascii="Verdana" w:hAnsi="Verdana"/>
        </w:rPr>
        <w:t xml:space="preserve">The cost of dementia to the </w:t>
      </w:r>
      <w:r w:rsidR="0003770F">
        <w:rPr>
          <w:rFonts w:ascii="Verdana" w:hAnsi="Verdana"/>
        </w:rPr>
        <w:t xml:space="preserve">UK </w:t>
      </w:r>
      <w:r>
        <w:rPr>
          <w:rFonts w:ascii="Verdana" w:hAnsi="Verdana"/>
        </w:rPr>
        <w:t xml:space="preserve">economy is </w:t>
      </w:r>
      <w:r w:rsidR="009C2319">
        <w:rPr>
          <w:rFonts w:ascii="Verdana" w:hAnsi="Verdana"/>
        </w:rPr>
        <w:t xml:space="preserve">31% </w:t>
      </w:r>
      <w:r>
        <w:rPr>
          <w:rFonts w:ascii="Verdana" w:hAnsi="Verdana"/>
        </w:rPr>
        <w:t xml:space="preserve">higher </w:t>
      </w:r>
      <w:r w:rsidR="00B524CC">
        <w:rPr>
          <w:rFonts w:ascii="Verdana" w:hAnsi="Verdana"/>
        </w:rPr>
        <w:t>than</w:t>
      </w:r>
      <w:r>
        <w:rPr>
          <w:rFonts w:ascii="Verdana" w:hAnsi="Verdana"/>
        </w:rPr>
        <w:t xml:space="preserve"> that of </w:t>
      </w:r>
      <w:r w:rsidR="009C2319">
        <w:rPr>
          <w:rFonts w:ascii="Verdana" w:hAnsi="Verdana"/>
        </w:rPr>
        <w:t xml:space="preserve">the economic cost </w:t>
      </w:r>
      <w:r w:rsidR="00154253">
        <w:rPr>
          <w:rFonts w:ascii="Verdana" w:hAnsi="Verdana"/>
        </w:rPr>
        <w:t xml:space="preserve">of </w:t>
      </w:r>
      <w:r>
        <w:rPr>
          <w:rFonts w:ascii="Verdana" w:hAnsi="Verdana"/>
        </w:rPr>
        <w:t xml:space="preserve">alcohol harm, </w:t>
      </w:r>
      <w:r w:rsidR="0003770F">
        <w:rPr>
          <w:rFonts w:ascii="Verdana" w:hAnsi="Verdana"/>
        </w:rPr>
        <w:t xml:space="preserve">with the current projection standing at </w:t>
      </w:r>
      <w:r w:rsidRPr="003F7B17">
        <w:rPr>
          <w:rFonts w:ascii="Verdana" w:hAnsi="Verdana"/>
        </w:rPr>
        <w:t>£42 billion</w:t>
      </w:r>
      <w:r w:rsidR="00B524CC" w:rsidRPr="003F7B17">
        <w:rPr>
          <w:rFonts w:ascii="Verdana" w:hAnsi="Verdana"/>
        </w:rPr>
        <w:t xml:space="preserve">, </w:t>
      </w:r>
      <w:r w:rsidR="009C2319">
        <w:rPr>
          <w:rFonts w:ascii="Verdana" w:hAnsi="Verdana"/>
        </w:rPr>
        <w:t xml:space="preserve">with predictions that dementia costs </w:t>
      </w:r>
      <w:r w:rsidR="003F7B17" w:rsidRPr="003F7B17">
        <w:rPr>
          <w:rFonts w:ascii="Verdana" w:hAnsi="Verdana"/>
        </w:rPr>
        <w:t xml:space="preserve">will rise to over £90 </w:t>
      </w:r>
      <w:r w:rsidRPr="003F7B17">
        <w:rPr>
          <w:rFonts w:ascii="Verdana" w:hAnsi="Verdana"/>
        </w:rPr>
        <w:t>billion a year by 2040 unless action is taken</w:t>
      </w:r>
      <w:r w:rsidR="003F7B17">
        <w:rPr>
          <w:rFonts w:ascii="Verdana" w:hAnsi="Verdana"/>
        </w:rPr>
        <w:t xml:space="preserve"> (Alzheimer’s Society, 2025). </w:t>
      </w:r>
    </w:p>
    <w:p w14:paraId="570F5069" w14:textId="77777777" w:rsidR="00C97E92" w:rsidRDefault="00C97E92" w:rsidP="00C97E92">
      <w:pPr>
        <w:rPr>
          <w:rFonts w:ascii="Verdana" w:hAnsi="Verdana"/>
          <w:b/>
          <w:bCs/>
          <w:lang w:val="en-GB"/>
        </w:rPr>
      </w:pPr>
      <w:r w:rsidRPr="008C60AE">
        <w:rPr>
          <w:rFonts w:ascii="Verdana" w:hAnsi="Verdana"/>
          <w:b/>
          <w:bCs/>
          <w:lang w:val="en-GB"/>
        </w:rPr>
        <w:lastRenderedPageBreak/>
        <w:t>Challenges in Diagnosis</w:t>
      </w:r>
    </w:p>
    <w:p w14:paraId="5A97A10D" w14:textId="06958D3A" w:rsidR="00F31E49" w:rsidRPr="00C23944" w:rsidRDefault="00F31E49" w:rsidP="00F31E49">
      <w:pPr>
        <w:rPr>
          <w:rFonts w:ascii="Verdana" w:hAnsi="Verdana"/>
          <w:lang w:val="en-GB"/>
        </w:rPr>
      </w:pPr>
      <w:r w:rsidRPr="00C23944">
        <w:rPr>
          <w:rFonts w:ascii="Verdana" w:hAnsi="Verdana"/>
          <w:lang w:val="en-GB"/>
        </w:rPr>
        <w:t xml:space="preserve">Suspected </w:t>
      </w:r>
      <w:r>
        <w:rPr>
          <w:rFonts w:ascii="Verdana" w:hAnsi="Verdana"/>
          <w:lang w:val="en-GB"/>
        </w:rPr>
        <w:t xml:space="preserve">ARBI is difficult to obtain a </w:t>
      </w:r>
      <w:r w:rsidRPr="00C23944">
        <w:rPr>
          <w:rFonts w:ascii="Verdana" w:hAnsi="Verdana"/>
          <w:lang w:val="en-GB"/>
        </w:rPr>
        <w:t>diagnosis</w:t>
      </w:r>
      <w:r>
        <w:rPr>
          <w:rFonts w:ascii="Verdana" w:hAnsi="Verdana"/>
          <w:lang w:val="en-GB"/>
        </w:rPr>
        <w:t xml:space="preserve">. With Local Memory Assessment services insisting on abstinence for </w:t>
      </w:r>
      <w:proofErr w:type="gramStart"/>
      <w:r>
        <w:rPr>
          <w:rFonts w:ascii="Verdana" w:hAnsi="Verdana"/>
          <w:lang w:val="en-GB"/>
        </w:rPr>
        <w:t>a period of time</w:t>
      </w:r>
      <w:proofErr w:type="gramEnd"/>
      <w:r>
        <w:rPr>
          <w:rFonts w:ascii="Verdana" w:hAnsi="Verdana"/>
          <w:lang w:val="en-GB"/>
        </w:rPr>
        <w:t>, GPs</w:t>
      </w:r>
      <w:r w:rsidRPr="00C23944">
        <w:rPr>
          <w:rFonts w:ascii="Verdana" w:hAnsi="Verdana"/>
          <w:lang w:val="en-GB"/>
        </w:rPr>
        <w:t xml:space="preserve"> w</w:t>
      </w:r>
      <w:r>
        <w:rPr>
          <w:rFonts w:ascii="Verdana" w:hAnsi="Verdana"/>
          <w:lang w:val="en-GB"/>
        </w:rPr>
        <w:t>ill also not</w:t>
      </w:r>
      <w:r w:rsidRPr="00C23944">
        <w:rPr>
          <w:rFonts w:ascii="Verdana" w:hAnsi="Verdana"/>
          <w:lang w:val="en-GB"/>
        </w:rPr>
        <w:t xml:space="preserve"> assess until abstin</w:t>
      </w:r>
      <w:r>
        <w:rPr>
          <w:rFonts w:ascii="Verdana" w:hAnsi="Verdana"/>
          <w:lang w:val="en-GB"/>
        </w:rPr>
        <w:t>ence has been achieved.</w:t>
      </w:r>
    </w:p>
    <w:p w14:paraId="060A51CF" w14:textId="504B415B" w:rsidR="00F31E49" w:rsidRDefault="00F31E49" w:rsidP="00F31E49">
      <w:pPr>
        <w:rPr>
          <w:rFonts w:ascii="Verdana" w:hAnsi="Verdana"/>
          <w:lang w:val="en-GB"/>
        </w:rPr>
      </w:pPr>
      <w:r>
        <w:rPr>
          <w:rFonts w:ascii="Verdana" w:hAnsi="Verdana"/>
          <w:lang w:val="en-GB"/>
        </w:rPr>
        <w:t xml:space="preserve">The assumption that an individual with ARBI has the cognitive capacity and ability to engage in standardised programmes is setting people up to fail. Lack of self-awareness of ARBI and the </w:t>
      </w:r>
      <w:r w:rsidRPr="00C23944">
        <w:rPr>
          <w:rFonts w:ascii="Verdana" w:hAnsi="Verdana"/>
          <w:lang w:val="en-GB"/>
        </w:rPr>
        <w:t xml:space="preserve">cognitive impairment </w:t>
      </w:r>
      <w:r>
        <w:rPr>
          <w:rFonts w:ascii="Verdana" w:hAnsi="Verdana"/>
          <w:lang w:val="en-GB"/>
        </w:rPr>
        <w:t xml:space="preserve">that ARBI causes, </w:t>
      </w:r>
      <w:r w:rsidRPr="00C23944">
        <w:rPr>
          <w:rFonts w:ascii="Verdana" w:hAnsi="Verdana"/>
          <w:lang w:val="en-GB"/>
        </w:rPr>
        <w:t xml:space="preserve">impedes </w:t>
      </w:r>
      <w:r>
        <w:rPr>
          <w:rFonts w:ascii="Verdana" w:hAnsi="Verdana"/>
          <w:lang w:val="en-GB"/>
        </w:rPr>
        <w:t xml:space="preserve">the </w:t>
      </w:r>
      <w:r w:rsidRPr="00C23944">
        <w:rPr>
          <w:rFonts w:ascii="Verdana" w:hAnsi="Verdana"/>
          <w:lang w:val="en-GB"/>
        </w:rPr>
        <w:t>ability to implement behaviour change</w:t>
      </w:r>
      <w:r>
        <w:rPr>
          <w:rFonts w:ascii="Verdana" w:hAnsi="Verdana"/>
          <w:lang w:val="en-GB"/>
        </w:rPr>
        <w:t>, this adding another barrier to an individual seeking support</w:t>
      </w:r>
      <w:r w:rsidR="0095703B">
        <w:rPr>
          <w:rFonts w:ascii="Verdana" w:hAnsi="Verdana"/>
          <w:lang w:val="en-GB"/>
        </w:rPr>
        <w:t xml:space="preserve"> (</w:t>
      </w:r>
      <w:proofErr w:type="spellStart"/>
      <w:r w:rsidR="0095703B" w:rsidRPr="0095703B">
        <w:rPr>
          <w:rFonts w:ascii="Verdana" w:hAnsi="Verdana"/>
          <w:lang w:val="en-GB"/>
        </w:rPr>
        <w:t>Walvoort</w:t>
      </w:r>
      <w:proofErr w:type="spellEnd"/>
      <w:r w:rsidR="0095703B" w:rsidRPr="0095703B">
        <w:rPr>
          <w:rFonts w:ascii="Verdana" w:hAnsi="Verdana"/>
          <w:lang w:val="en-GB"/>
        </w:rPr>
        <w:t>, van der Heijden, Wester,</w:t>
      </w:r>
      <w:r w:rsidR="0095703B">
        <w:rPr>
          <w:rFonts w:ascii="Verdana" w:hAnsi="Verdana"/>
          <w:lang w:val="en-GB"/>
        </w:rPr>
        <w:t xml:space="preserve"> </w:t>
      </w:r>
      <w:proofErr w:type="spellStart"/>
      <w:r w:rsidR="0095703B" w:rsidRPr="0095703B">
        <w:rPr>
          <w:rFonts w:ascii="Verdana" w:hAnsi="Verdana"/>
          <w:lang w:val="en-GB"/>
        </w:rPr>
        <w:t>Kessels</w:t>
      </w:r>
      <w:proofErr w:type="spellEnd"/>
      <w:r w:rsidR="0095703B">
        <w:rPr>
          <w:rFonts w:ascii="Verdana" w:hAnsi="Verdana"/>
          <w:lang w:val="en-GB"/>
        </w:rPr>
        <w:t xml:space="preserve"> </w:t>
      </w:r>
      <w:r w:rsidR="0095703B" w:rsidRPr="0095703B">
        <w:rPr>
          <w:rFonts w:ascii="Verdana" w:hAnsi="Verdana"/>
          <w:lang w:val="en-GB"/>
        </w:rPr>
        <w:t>and Egger, 2016</w:t>
      </w:r>
      <w:r w:rsidR="0095703B">
        <w:rPr>
          <w:rFonts w:ascii="Verdana" w:hAnsi="Verdana"/>
          <w:lang w:val="en-GB"/>
        </w:rPr>
        <w:t>).</w:t>
      </w:r>
    </w:p>
    <w:p w14:paraId="56DFD9A5" w14:textId="77777777" w:rsidR="00DE2D32" w:rsidRDefault="00F31E49" w:rsidP="00D600FF">
      <w:pPr>
        <w:rPr>
          <w:rFonts w:ascii="Verdana" w:hAnsi="Verdana"/>
          <w:lang w:val="en-GB"/>
        </w:rPr>
      </w:pPr>
      <w:r w:rsidRPr="00A72777">
        <w:rPr>
          <w:rFonts w:ascii="Verdana" w:hAnsi="Verdana"/>
          <w:lang w:val="en-GB"/>
        </w:rPr>
        <w:t>System</w:t>
      </w:r>
      <w:r>
        <w:rPr>
          <w:rFonts w:ascii="Verdana" w:hAnsi="Verdana"/>
          <w:lang w:val="en-GB"/>
        </w:rPr>
        <w:t>s currently</w:t>
      </w:r>
      <w:r w:rsidRPr="00A72777">
        <w:rPr>
          <w:rFonts w:ascii="Verdana" w:hAnsi="Verdana"/>
          <w:lang w:val="en-GB"/>
        </w:rPr>
        <w:t xml:space="preserve"> only treat one o</w:t>
      </w:r>
      <w:r>
        <w:rPr>
          <w:rFonts w:ascii="Verdana" w:hAnsi="Verdana"/>
          <w:lang w:val="en-GB"/>
        </w:rPr>
        <w:t>r</w:t>
      </w:r>
      <w:r w:rsidRPr="00A72777">
        <w:rPr>
          <w:rFonts w:ascii="Verdana" w:hAnsi="Verdana"/>
          <w:lang w:val="en-GB"/>
        </w:rPr>
        <w:t xml:space="preserve"> the other</w:t>
      </w:r>
      <w:r>
        <w:rPr>
          <w:rFonts w:ascii="Verdana" w:hAnsi="Verdana"/>
          <w:lang w:val="en-GB"/>
        </w:rPr>
        <w:t>, with a</w:t>
      </w:r>
      <w:r w:rsidRPr="00A72777">
        <w:rPr>
          <w:rFonts w:ascii="Verdana" w:hAnsi="Verdana"/>
          <w:lang w:val="en-GB"/>
        </w:rPr>
        <w:t xml:space="preserve">ddiction services </w:t>
      </w:r>
      <w:r w:rsidR="004E259A">
        <w:rPr>
          <w:rFonts w:ascii="Verdana" w:hAnsi="Verdana"/>
          <w:lang w:val="en-GB"/>
        </w:rPr>
        <w:t xml:space="preserve">lacking </w:t>
      </w:r>
      <w:r w:rsidR="004E259A" w:rsidRPr="00A72777">
        <w:rPr>
          <w:rFonts w:ascii="Verdana" w:hAnsi="Verdana"/>
          <w:lang w:val="en-GB"/>
        </w:rPr>
        <w:t>additional</w:t>
      </w:r>
      <w:r w:rsidRPr="00A72777">
        <w:rPr>
          <w:rFonts w:ascii="Verdana" w:hAnsi="Verdana"/>
          <w:lang w:val="en-GB"/>
        </w:rPr>
        <w:t xml:space="preserve"> support</w:t>
      </w:r>
      <w:r>
        <w:rPr>
          <w:rFonts w:ascii="Verdana" w:hAnsi="Verdana"/>
          <w:lang w:val="en-GB"/>
        </w:rPr>
        <w:t>. ARBI impact</w:t>
      </w:r>
      <w:r w:rsidR="00F47619">
        <w:rPr>
          <w:rFonts w:ascii="Verdana" w:hAnsi="Verdana"/>
          <w:lang w:val="en-GB"/>
        </w:rPr>
        <w:t>s</w:t>
      </w:r>
      <w:r>
        <w:rPr>
          <w:rFonts w:ascii="Verdana" w:hAnsi="Verdana"/>
          <w:lang w:val="en-GB"/>
        </w:rPr>
        <w:t xml:space="preserve"> </w:t>
      </w:r>
      <w:r w:rsidRPr="00B32B1E">
        <w:rPr>
          <w:rFonts w:ascii="Verdana" w:hAnsi="Verdana"/>
          <w:lang w:val="en-GB"/>
        </w:rPr>
        <w:t>executive disfunction, increases</w:t>
      </w:r>
      <w:r w:rsidRPr="00A72777">
        <w:rPr>
          <w:rFonts w:ascii="Verdana" w:hAnsi="Verdana"/>
          <w:lang w:val="en-GB"/>
        </w:rPr>
        <w:t xml:space="preserve"> confabulation</w:t>
      </w:r>
      <w:r>
        <w:rPr>
          <w:rFonts w:ascii="Verdana" w:hAnsi="Verdana"/>
          <w:lang w:val="en-GB"/>
        </w:rPr>
        <w:t xml:space="preserve">, with a detrimental effect on </w:t>
      </w:r>
      <w:r w:rsidRPr="00A72777">
        <w:rPr>
          <w:rFonts w:ascii="Verdana" w:hAnsi="Verdana"/>
          <w:lang w:val="en-GB"/>
        </w:rPr>
        <w:t xml:space="preserve">memory, </w:t>
      </w:r>
      <w:r>
        <w:rPr>
          <w:rFonts w:ascii="Verdana" w:hAnsi="Verdana"/>
          <w:lang w:val="en-GB"/>
        </w:rPr>
        <w:t xml:space="preserve">inability to </w:t>
      </w:r>
      <w:r w:rsidRPr="00A72777">
        <w:rPr>
          <w:rFonts w:ascii="Verdana" w:hAnsi="Verdana"/>
          <w:lang w:val="en-GB"/>
        </w:rPr>
        <w:t xml:space="preserve">control impulses, </w:t>
      </w:r>
      <w:r>
        <w:rPr>
          <w:rFonts w:ascii="Verdana" w:hAnsi="Verdana"/>
          <w:lang w:val="en-GB"/>
        </w:rPr>
        <w:t xml:space="preserve">and unable to comprehend </w:t>
      </w:r>
      <w:r w:rsidRPr="00A72777">
        <w:rPr>
          <w:rFonts w:ascii="Verdana" w:hAnsi="Verdana"/>
          <w:lang w:val="en-GB"/>
        </w:rPr>
        <w:t xml:space="preserve">repercussions </w:t>
      </w:r>
      <w:r>
        <w:rPr>
          <w:rFonts w:ascii="Verdana" w:hAnsi="Verdana"/>
          <w:lang w:val="en-GB"/>
        </w:rPr>
        <w:t>and so just</w:t>
      </w:r>
      <w:r w:rsidRPr="00A72777">
        <w:rPr>
          <w:rFonts w:ascii="Verdana" w:hAnsi="Verdana"/>
          <w:lang w:val="en-GB"/>
        </w:rPr>
        <w:t xml:space="preserve"> go with impulse</w:t>
      </w:r>
      <w:r>
        <w:rPr>
          <w:rFonts w:ascii="Verdana" w:hAnsi="Verdana"/>
          <w:lang w:val="en-GB"/>
        </w:rPr>
        <w:t>.</w:t>
      </w:r>
      <w:r w:rsidR="00DE2D32">
        <w:rPr>
          <w:rFonts w:ascii="Verdana" w:hAnsi="Verdana"/>
          <w:lang w:val="en-GB"/>
        </w:rPr>
        <w:t xml:space="preserve"> </w:t>
      </w:r>
    </w:p>
    <w:p w14:paraId="6EB87205" w14:textId="72DF1990" w:rsidR="00D600FF" w:rsidRPr="00D600FF" w:rsidRDefault="007A1858" w:rsidP="00D600FF">
      <w:pPr>
        <w:rPr>
          <w:rFonts w:ascii="Verdana" w:hAnsi="Verdana"/>
          <w:lang w:val="en-GB"/>
        </w:rPr>
      </w:pPr>
      <w:r>
        <w:rPr>
          <w:rFonts w:ascii="Verdana" w:hAnsi="Verdana"/>
        </w:rPr>
        <w:t xml:space="preserve">Because someone with ARBI may struggle to </w:t>
      </w:r>
      <w:r w:rsidR="00DE2D32" w:rsidRPr="00DE2D32">
        <w:rPr>
          <w:rFonts w:ascii="Verdana" w:hAnsi="Verdana"/>
        </w:rPr>
        <w:t>learn, store, and retrieve information</w:t>
      </w:r>
      <w:r w:rsidR="00DE2D32">
        <w:rPr>
          <w:rFonts w:ascii="Verdana" w:hAnsi="Verdana"/>
        </w:rPr>
        <w:t xml:space="preserve">, </w:t>
      </w:r>
      <w:r>
        <w:rPr>
          <w:rFonts w:ascii="Verdana" w:hAnsi="Verdana"/>
        </w:rPr>
        <w:t>be unable</w:t>
      </w:r>
      <w:r w:rsidR="00DE2D32">
        <w:rPr>
          <w:rFonts w:ascii="Verdana" w:hAnsi="Verdana"/>
        </w:rPr>
        <w:t xml:space="preserve"> to adapt to new situations</w:t>
      </w:r>
      <w:r w:rsidR="00CA656D">
        <w:rPr>
          <w:rFonts w:ascii="Verdana" w:hAnsi="Verdana"/>
        </w:rPr>
        <w:t xml:space="preserve"> (</w:t>
      </w:r>
      <w:r w:rsidR="00CA656D" w:rsidRPr="00CA656D">
        <w:rPr>
          <w:rFonts w:ascii="Verdana" w:hAnsi="Verdana"/>
        </w:rPr>
        <w:t>Griswold, Fullman,</w:t>
      </w:r>
      <w:r w:rsidR="00CA656D">
        <w:rPr>
          <w:rFonts w:ascii="Verdana" w:hAnsi="Verdana"/>
        </w:rPr>
        <w:t xml:space="preserve"> </w:t>
      </w:r>
      <w:r w:rsidR="00CA656D" w:rsidRPr="00CA656D">
        <w:rPr>
          <w:rFonts w:ascii="Verdana" w:hAnsi="Verdana"/>
        </w:rPr>
        <w:t xml:space="preserve">Hawley, Arian, </w:t>
      </w:r>
      <w:proofErr w:type="spellStart"/>
      <w:r w:rsidR="00CA656D" w:rsidRPr="00CA656D">
        <w:rPr>
          <w:rFonts w:ascii="Verdana" w:hAnsi="Verdana"/>
        </w:rPr>
        <w:t>Zimsen</w:t>
      </w:r>
      <w:proofErr w:type="spellEnd"/>
      <w:r w:rsidR="00CA656D" w:rsidRPr="00CA656D">
        <w:rPr>
          <w:rFonts w:ascii="Verdana" w:hAnsi="Verdana"/>
        </w:rPr>
        <w:t xml:space="preserve">, Tymeson, Venkateswaran, Tapp, </w:t>
      </w:r>
      <w:proofErr w:type="spellStart"/>
      <w:r w:rsidR="00CA656D" w:rsidRPr="00CA656D">
        <w:rPr>
          <w:rFonts w:ascii="Verdana" w:hAnsi="Verdana"/>
        </w:rPr>
        <w:t>Forouzanfar</w:t>
      </w:r>
      <w:proofErr w:type="spellEnd"/>
      <w:r w:rsidR="00CA656D" w:rsidRPr="00CA656D">
        <w:rPr>
          <w:rFonts w:ascii="Verdana" w:hAnsi="Verdana"/>
        </w:rPr>
        <w:t xml:space="preserve">, </w:t>
      </w:r>
      <w:r w:rsidR="00CA656D">
        <w:rPr>
          <w:rFonts w:ascii="Verdana" w:hAnsi="Verdana"/>
        </w:rPr>
        <w:t>S</w:t>
      </w:r>
      <w:r w:rsidR="00CA656D" w:rsidRPr="00CA656D">
        <w:rPr>
          <w:rFonts w:ascii="Verdana" w:hAnsi="Verdana"/>
        </w:rPr>
        <w:t>alama, and Abate, 2018</w:t>
      </w:r>
      <w:r w:rsidR="00CA656D">
        <w:rPr>
          <w:rFonts w:ascii="Verdana" w:hAnsi="Verdana"/>
        </w:rPr>
        <w:t>)</w:t>
      </w:r>
      <w:r w:rsidR="00DE2D32">
        <w:rPr>
          <w:rFonts w:ascii="Verdana" w:hAnsi="Verdana"/>
        </w:rPr>
        <w:t xml:space="preserve"> </w:t>
      </w:r>
      <w:r w:rsidR="00AD46DE">
        <w:rPr>
          <w:rFonts w:ascii="Verdana" w:hAnsi="Verdana"/>
        </w:rPr>
        <w:t xml:space="preserve">the </w:t>
      </w:r>
      <w:r>
        <w:rPr>
          <w:rFonts w:ascii="Verdana" w:hAnsi="Verdana"/>
        </w:rPr>
        <w:t>skills needed</w:t>
      </w:r>
      <w:r w:rsidR="00AD46DE">
        <w:rPr>
          <w:rFonts w:ascii="Verdana" w:hAnsi="Verdana"/>
        </w:rPr>
        <w:t xml:space="preserve"> to</w:t>
      </w:r>
      <w:r w:rsidRPr="00D600FF">
        <w:rPr>
          <w:rFonts w:ascii="Verdana" w:hAnsi="Verdana"/>
          <w:lang w:val="en-GB"/>
        </w:rPr>
        <w:t xml:space="preserve"> recover from addiction </w:t>
      </w:r>
      <w:r w:rsidR="00AD46DE">
        <w:rPr>
          <w:rFonts w:ascii="Verdana" w:hAnsi="Verdana"/>
          <w:lang w:val="en-GB"/>
        </w:rPr>
        <w:t xml:space="preserve">are </w:t>
      </w:r>
      <w:r w:rsidR="00D600FF" w:rsidRPr="00D600FF">
        <w:rPr>
          <w:rFonts w:ascii="Verdana" w:hAnsi="Verdana"/>
          <w:lang w:val="en-GB"/>
        </w:rPr>
        <w:t>often severely impaired or absent</w:t>
      </w:r>
      <w:r w:rsidR="00AD46DE">
        <w:rPr>
          <w:rFonts w:ascii="Verdana" w:hAnsi="Verdana"/>
          <w:lang w:val="en-GB"/>
        </w:rPr>
        <w:t xml:space="preserve">. </w:t>
      </w:r>
      <w:r w:rsidR="00DE2D32">
        <w:rPr>
          <w:rFonts w:ascii="Verdana" w:hAnsi="Verdana"/>
          <w:lang w:val="en-GB"/>
        </w:rPr>
        <w:t xml:space="preserve"> </w:t>
      </w:r>
    </w:p>
    <w:p w14:paraId="40E91EE9" w14:textId="513DEDEA" w:rsidR="00F31E49" w:rsidRDefault="00D65BB5" w:rsidP="00F31E49">
      <w:pPr>
        <w:rPr>
          <w:rFonts w:ascii="Verdana" w:hAnsi="Verdana"/>
          <w:lang w:val="en-GB"/>
        </w:rPr>
      </w:pPr>
      <w:r>
        <w:rPr>
          <w:rFonts w:ascii="Verdana" w:hAnsi="Verdana"/>
          <w:lang w:val="en-GB"/>
        </w:rPr>
        <w:t>H</w:t>
      </w:r>
      <w:r w:rsidR="0023626A">
        <w:rPr>
          <w:rFonts w:ascii="Verdana" w:hAnsi="Verdana"/>
          <w:lang w:val="en-GB"/>
        </w:rPr>
        <w:t xml:space="preserve">aving </w:t>
      </w:r>
      <w:r w:rsidR="00F31E49">
        <w:rPr>
          <w:rFonts w:ascii="Verdana" w:hAnsi="Verdana"/>
          <w:lang w:val="en-GB"/>
        </w:rPr>
        <w:t xml:space="preserve">ARBI, </w:t>
      </w:r>
      <w:r w:rsidR="00870323">
        <w:rPr>
          <w:rFonts w:ascii="Verdana" w:hAnsi="Verdana"/>
          <w:lang w:val="en-GB"/>
        </w:rPr>
        <w:t xml:space="preserve">puts a person at a great disadvantage as the </w:t>
      </w:r>
      <w:r w:rsidR="00F31E49">
        <w:rPr>
          <w:rFonts w:ascii="Verdana" w:hAnsi="Verdana"/>
          <w:lang w:val="en-GB"/>
        </w:rPr>
        <w:t xml:space="preserve">current pathways are not effective. </w:t>
      </w:r>
      <w:r w:rsidR="00F31E49" w:rsidRPr="00A72777">
        <w:rPr>
          <w:rFonts w:ascii="Verdana" w:hAnsi="Verdana"/>
          <w:lang w:val="en-GB"/>
        </w:rPr>
        <w:t>M</w:t>
      </w:r>
      <w:r w:rsidR="00F31E49">
        <w:rPr>
          <w:rFonts w:ascii="Verdana" w:hAnsi="Verdana"/>
          <w:lang w:val="en-GB"/>
        </w:rPr>
        <w:t xml:space="preserve">emory Assessment </w:t>
      </w:r>
      <w:r w:rsidR="00F31E49" w:rsidRPr="00A72777">
        <w:rPr>
          <w:rFonts w:ascii="Verdana" w:hAnsi="Verdana"/>
          <w:lang w:val="en-GB"/>
        </w:rPr>
        <w:t>S</w:t>
      </w:r>
      <w:r w:rsidR="00F31E49">
        <w:rPr>
          <w:rFonts w:ascii="Verdana" w:hAnsi="Verdana"/>
          <w:lang w:val="en-GB"/>
        </w:rPr>
        <w:t xml:space="preserve">ervices are structured to assess and offer </w:t>
      </w:r>
      <w:r w:rsidR="00F31E49" w:rsidRPr="00A72777">
        <w:rPr>
          <w:rFonts w:ascii="Verdana" w:hAnsi="Verdana"/>
          <w:lang w:val="en-GB"/>
        </w:rPr>
        <w:t xml:space="preserve">simple medical solutions </w:t>
      </w:r>
      <w:r w:rsidR="00F31E49">
        <w:rPr>
          <w:rFonts w:ascii="Verdana" w:hAnsi="Verdana"/>
          <w:lang w:val="en-GB"/>
        </w:rPr>
        <w:t xml:space="preserve">and </w:t>
      </w:r>
      <w:r w:rsidR="00F31E49" w:rsidRPr="00A72777">
        <w:rPr>
          <w:rFonts w:ascii="Verdana" w:hAnsi="Verdana"/>
          <w:lang w:val="en-GB"/>
        </w:rPr>
        <w:t>not designed for complex social problems</w:t>
      </w:r>
      <w:r w:rsidR="00F31E49">
        <w:rPr>
          <w:rFonts w:ascii="Verdana" w:hAnsi="Verdana"/>
          <w:lang w:val="en-GB"/>
        </w:rPr>
        <w:t>.</w:t>
      </w:r>
    </w:p>
    <w:p w14:paraId="0A9DD968" w14:textId="71C0D0FE" w:rsidR="006B124B" w:rsidRDefault="006B124B" w:rsidP="006B124B">
      <w:pPr>
        <w:rPr>
          <w:rFonts w:ascii="Verdana" w:hAnsi="Verdana"/>
          <w:lang w:val="en-GB"/>
        </w:rPr>
      </w:pPr>
      <w:r>
        <w:rPr>
          <w:rFonts w:ascii="Verdana" w:hAnsi="Verdana"/>
          <w:lang w:val="en-GB"/>
        </w:rPr>
        <w:t>With the lack of insight and lack of self-awareness, people will not see</w:t>
      </w:r>
      <w:r w:rsidR="00C00648">
        <w:rPr>
          <w:rFonts w:ascii="Verdana" w:hAnsi="Verdana"/>
          <w:lang w:val="en-GB"/>
        </w:rPr>
        <w:t>k</w:t>
      </w:r>
      <w:r>
        <w:rPr>
          <w:rFonts w:ascii="Verdana" w:hAnsi="Verdana"/>
          <w:lang w:val="en-GB"/>
        </w:rPr>
        <w:t xml:space="preserve"> support from health services. There is no</w:t>
      </w:r>
      <w:r w:rsidRPr="00A72777">
        <w:rPr>
          <w:rFonts w:ascii="Verdana" w:hAnsi="Verdana"/>
          <w:lang w:val="en-GB"/>
        </w:rPr>
        <w:t xml:space="preserve"> one trying to diagnose in the community</w:t>
      </w:r>
      <w:r>
        <w:rPr>
          <w:rFonts w:ascii="Verdana" w:hAnsi="Verdana"/>
          <w:lang w:val="en-GB"/>
        </w:rPr>
        <w:t xml:space="preserve">, with people </w:t>
      </w:r>
      <w:r w:rsidRPr="00A72777">
        <w:rPr>
          <w:rFonts w:ascii="Verdana" w:hAnsi="Verdana"/>
          <w:lang w:val="en-GB"/>
        </w:rPr>
        <w:t xml:space="preserve">only </w:t>
      </w:r>
      <w:r>
        <w:rPr>
          <w:rFonts w:ascii="Verdana" w:hAnsi="Verdana"/>
          <w:lang w:val="en-GB"/>
        </w:rPr>
        <w:t xml:space="preserve">having suboptimal opportunity to access support when they </w:t>
      </w:r>
      <w:r w:rsidRPr="00A72777">
        <w:rPr>
          <w:rFonts w:ascii="Verdana" w:hAnsi="Verdana"/>
          <w:lang w:val="en-GB"/>
        </w:rPr>
        <w:t>access the system</w:t>
      </w:r>
      <w:r>
        <w:rPr>
          <w:rFonts w:ascii="Verdana" w:hAnsi="Verdana"/>
          <w:lang w:val="en-GB"/>
        </w:rPr>
        <w:t xml:space="preserve">, a system that is not structured to meet their needs. </w:t>
      </w:r>
    </w:p>
    <w:p w14:paraId="76726FF3" w14:textId="0C2E4586" w:rsidR="0073770C" w:rsidRPr="00A72777" w:rsidRDefault="0073770C" w:rsidP="006B124B">
      <w:pPr>
        <w:rPr>
          <w:rFonts w:ascii="Verdana" w:hAnsi="Verdana"/>
          <w:lang w:val="en-GB"/>
        </w:rPr>
      </w:pPr>
      <w:r w:rsidRPr="0073770C">
        <w:rPr>
          <w:rFonts w:ascii="Verdana" w:hAnsi="Verdana"/>
          <w:lang w:val="en-GB"/>
        </w:rPr>
        <w:t>ARBI does not always fit the stereotypical image of dementia, making it harder for people to recognise. When people think of dementia, they often imagine someone who</w:t>
      </w:r>
      <w:r>
        <w:rPr>
          <w:rFonts w:ascii="Verdana" w:hAnsi="Verdana"/>
          <w:lang w:val="en-GB"/>
        </w:rPr>
        <w:t xml:space="preserve"> struggles with their </w:t>
      </w:r>
      <w:r w:rsidR="002C1C64">
        <w:rPr>
          <w:rFonts w:ascii="Verdana" w:hAnsi="Verdana"/>
          <w:lang w:val="en-GB"/>
        </w:rPr>
        <w:t>short-term</w:t>
      </w:r>
      <w:r>
        <w:rPr>
          <w:rFonts w:ascii="Verdana" w:hAnsi="Verdana"/>
          <w:lang w:val="en-GB"/>
        </w:rPr>
        <w:t xml:space="preserve"> memory or</w:t>
      </w:r>
      <w:r w:rsidR="002C1C64">
        <w:rPr>
          <w:rFonts w:ascii="Verdana" w:hAnsi="Verdana"/>
          <w:lang w:val="en-GB"/>
        </w:rPr>
        <w:t xml:space="preserve"> f</w:t>
      </w:r>
      <w:r w:rsidRPr="0073770C">
        <w:rPr>
          <w:rFonts w:ascii="Verdana" w:hAnsi="Verdana"/>
          <w:lang w:val="en-GB"/>
        </w:rPr>
        <w:t>orgets names and faces</w:t>
      </w:r>
      <w:r w:rsidR="002C1C64">
        <w:rPr>
          <w:rFonts w:ascii="Verdana" w:hAnsi="Verdana"/>
          <w:lang w:val="en-GB"/>
        </w:rPr>
        <w:t xml:space="preserve">. </w:t>
      </w:r>
      <w:r w:rsidR="00307E42" w:rsidRPr="00307E42">
        <w:rPr>
          <w:rFonts w:ascii="Verdana" w:hAnsi="Verdana"/>
          <w:lang w:val="en-GB"/>
        </w:rPr>
        <w:t>ARBI presents differently</w:t>
      </w:r>
      <w:r w:rsidR="00307E42">
        <w:rPr>
          <w:rFonts w:ascii="Verdana" w:hAnsi="Verdana"/>
          <w:lang w:val="en-GB"/>
        </w:rPr>
        <w:t xml:space="preserve">, as a </w:t>
      </w:r>
      <w:r w:rsidR="00307E42" w:rsidRPr="00307E42">
        <w:rPr>
          <w:rFonts w:ascii="Verdana" w:hAnsi="Verdana"/>
          <w:lang w:val="en-GB"/>
        </w:rPr>
        <w:t>person with ARBI may remember what they were doing 30 minutes ago or, if they don’t, they might confabulate</w:t>
      </w:r>
      <w:r w:rsidR="001A0A87" w:rsidRPr="00DF448E">
        <w:rPr>
          <w:rFonts w:ascii="Verdana" w:hAnsi="Verdana"/>
          <w:lang w:val="en-GB"/>
        </w:rPr>
        <w:t>.</w:t>
      </w:r>
      <w:r w:rsidR="001A0A87">
        <w:rPr>
          <w:rFonts w:ascii="Verdana" w:hAnsi="Verdana"/>
          <w:b/>
          <w:bCs/>
          <w:lang w:val="en-GB"/>
        </w:rPr>
        <w:t xml:space="preserve"> </w:t>
      </w:r>
      <w:r w:rsidR="00307E42" w:rsidRPr="00307E42">
        <w:rPr>
          <w:rFonts w:ascii="Verdana" w:hAnsi="Verdana"/>
          <w:lang w:val="en-GB"/>
        </w:rPr>
        <w:t>They might appear alert and engaged in conversation, leading others to believe they don’t have cognitive issues.</w:t>
      </w:r>
      <w:r w:rsidR="001A0A87">
        <w:rPr>
          <w:rFonts w:ascii="Verdana" w:hAnsi="Verdana"/>
          <w:lang w:val="en-GB"/>
        </w:rPr>
        <w:t xml:space="preserve"> </w:t>
      </w:r>
      <w:r w:rsidR="00307E42" w:rsidRPr="00307E42">
        <w:rPr>
          <w:rFonts w:ascii="Verdana" w:hAnsi="Verdana"/>
          <w:lang w:val="en-GB"/>
        </w:rPr>
        <w:t>Unlike stereotypical dementia, where memory loss is often the first noticeable sign, ARBI often affects decision-making, problem-solving, and impulse control first</w:t>
      </w:r>
      <w:r w:rsidR="000A7B08">
        <w:rPr>
          <w:rFonts w:ascii="Verdana" w:hAnsi="Verdana"/>
          <w:lang w:val="en-GB"/>
        </w:rPr>
        <w:t xml:space="preserve"> (Alzheimer’s Society, 2025).</w:t>
      </w:r>
    </w:p>
    <w:p w14:paraId="2777BBB2" w14:textId="0DB1D4C5" w:rsidR="00D978A3" w:rsidRDefault="00096BA4" w:rsidP="00A07C53">
      <w:pPr>
        <w:rPr>
          <w:rFonts w:ascii="Verdana" w:hAnsi="Verdana"/>
        </w:rPr>
      </w:pPr>
      <w:r>
        <w:rPr>
          <w:rFonts w:ascii="Verdana" w:hAnsi="Verdana"/>
          <w:lang w:val="en-GB"/>
        </w:rPr>
        <w:t>A</w:t>
      </w:r>
      <w:r w:rsidRPr="00805F38">
        <w:rPr>
          <w:rFonts w:ascii="Verdana" w:hAnsi="Verdana"/>
          <w:lang w:val="en-GB"/>
        </w:rPr>
        <w:t>n important and often underrecogni</w:t>
      </w:r>
      <w:r>
        <w:rPr>
          <w:rFonts w:ascii="Verdana" w:hAnsi="Verdana"/>
          <w:lang w:val="en-GB"/>
        </w:rPr>
        <w:t>s</w:t>
      </w:r>
      <w:r w:rsidRPr="00805F38">
        <w:rPr>
          <w:rFonts w:ascii="Verdana" w:hAnsi="Verdana"/>
          <w:lang w:val="en-GB"/>
        </w:rPr>
        <w:t xml:space="preserve">ed aspect of </w:t>
      </w:r>
      <w:r>
        <w:rPr>
          <w:rFonts w:ascii="Verdana" w:hAnsi="Verdana"/>
          <w:lang w:val="en-GB"/>
        </w:rPr>
        <w:t xml:space="preserve">ARBI are the organic changes within the brain. </w:t>
      </w:r>
      <w:r w:rsidR="0065606D">
        <w:rPr>
          <w:rFonts w:ascii="Verdana" w:hAnsi="Verdana"/>
          <w:lang w:val="en-GB"/>
        </w:rPr>
        <w:t xml:space="preserve">Studies suggest </w:t>
      </w:r>
      <w:r w:rsidR="00DE1EFE">
        <w:rPr>
          <w:rFonts w:ascii="Verdana" w:hAnsi="Verdana"/>
          <w:lang w:val="en-GB"/>
        </w:rPr>
        <w:t>the</w:t>
      </w:r>
      <w:r w:rsidR="002F65F0" w:rsidRPr="002F65F0">
        <w:rPr>
          <w:rFonts w:ascii="Verdana" w:hAnsi="Verdana"/>
          <w:lang w:val="en-GB"/>
        </w:rPr>
        <w:t xml:space="preserve"> Neurochemical Changes in the brain, affect the</w:t>
      </w:r>
      <w:r w:rsidR="00F5752D">
        <w:rPr>
          <w:rFonts w:ascii="Verdana" w:hAnsi="Verdana"/>
          <w:lang w:val="en-GB"/>
        </w:rPr>
        <w:t xml:space="preserve"> dopamine (reward pathway), GABA activity</w:t>
      </w:r>
      <w:r w:rsidR="002447A2">
        <w:rPr>
          <w:rFonts w:ascii="Verdana" w:hAnsi="Verdana"/>
          <w:lang w:val="en-GB"/>
        </w:rPr>
        <w:t xml:space="preserve"> and glutamate (excitatory neurotransmitter)</w:t>
      </w:r>
      <w:r w:rsidR="005A4B36">
        <w:rPr>
          <w:rFonts w:ascii="Verdana" w:hAnsi="Verdana"/>
          <w:lang w:val="en-GB"/>
        </w:rPr>
        <w:t xml:space="preserve">. </w:t>
      </w:r>
      <w:r w:rsidR="004178AB">
        <w:rPr>
          <w:rFonts w:ascii="Verdana" w:hAnsi="Verdana"/>
          <w:lang w:val="en-GB"/>
        </w:rPr>
        <w:t>(</w:t>
      </w:r>
      <w:r w:rsidR="004178AB" w:rsidRPr="00593333">
        <w:rPr>
          <w:rFonts w:ascii="Verdana" w:hAnsi="Verdana"/>
        </w:rPr>
        <w:t>Kamal, Tan, Ibrahim,</w:t>
      </w:r>
      <w:r w:rsidR="004178AB">
        <w:rPr>
          <w:rFonts w:ascii="Verdana" w:hAnsi="Verdana"/>
        </w:rPr>
        <w:t xml:space="preserve"> </w:t>
      </w:r>
      <w:r w:rsidR="004178AB" w:rsidRPr="00593333">
        <w:rPr>
          <w:rFonts w:ascii="Verdana" w:hAnsi="Verdana"/>
        </w:rPr>
        <w:t>Shaikh,</w:t>
      </w:r>
      <w:r w:rsidR="004178AB">
        <w:rPr>
          <w:rFonts w:ascii="Verdana" w:hAnsi="Verdana"/>
        </w:rPr>
        <w:t xml:space="preserve"> </w:t>
      </w:r>
      <w:r w:rsidR="004178AB" w:rsidRPr="00593333">
        <w:rPr>
          <w:rFonts w:ascii="Verdana" w:hAnsi="Verdana"/>
        </w:rPr>
        <w:t xml:space="preserve">Mohamed, Mohamed,  Hamid, </w:t>
      </w:r>
      <w:proofErr w:type="spellStart"/>
      <w:r w:rsidR="004178AB" w:rsidRPr="00593333">
        <w:rPr>
          <w:rFonts w:ascii="Verdana" w:hAnsi="Verdana"/>
        </w:rPr>
        <w:t>Ugusman</w:t>
      </w:r>
      <w:proofErr w:type="spellEnd"/>
      <w:r w:rsidR="004178AB" w:rsidRPr="00593333">
        <w:rPr>
          <w:rFonts w:ascii="Verdana" w:hAnsi="Verdana"/>
        </w:rPr>
        <w:t>,</w:t>
      </w:r>
      <w:r w:rsidR="004178AB">
        <w:rPr>
          <w:rFonts w:ascii="Verdana" w:hAnsi="Verdana"/>
        </w:rPr>
        <w:t xml:space="preserve"> </w:t>
      </w:r>
      <w:r w:rsidR="004178AB" w:rsidRPr="00593333">
        <w:rPr>
          <w:rFonts w:ascii="Verdana" w:hAnsi="Verdana"/>
        </w:rPr>
        <w:t>and Kumar, 2020</w:t>
      </w:r>
      <w:r w:rsidR="004178AB">
        <w:rPr>
          <w:rFonts w:ascii="Verdana" w:hAnsi="Verdana"/>
        </w:rPr>
        <w:t>)</w:t>
      </w:r>
      <w:r w:rsidR="009375F3">
        <w:rPr>
          <w:rFonts w:ascii="Verdana" w:hAnsi="Verdana"/>
        </w:rPr>
        <w:t xml:space="preserve">, leading to potential </w:t>
      </w:r>
      <w:r w:rsidR="005A4B36">
        <w:rPr>
          <w:rFonts w:ascii="Verdana" w:hAnsi="Verdana"/>
          <w:lang w:val="en-GB"/>
        </w:rPr>
        <w:t>s</w:t>
      </w:r>
      <w:r w:rsidR="00DE44C2" w:rsidRPr="00B45E1E">
        <w:rPr>
          <w:rFonts w:ascii="Verdana" w:hAnsi="Verdana"/>
          <w:lang w:val="en-GB"/>
        </w:rPr>
        <w:t xml:space="preserve">tructural </w:t>
      </w:r>
      <w:r w:rsidR="009375F3">
        <w:rPr>
          <w:rFonts w:ascii="Verdana" w:hAnsi="Verdana"/>
          <w:lang w:val="en-GB"/>
        </w:rPr>
        <w:t>b</w:t>
      </w:r>
      <w:r w:rsidR="00DE44C2" w:rsidRPr="00B45E1E">
        <w:rPr>
          <w:rFonts w:ascii="Verdana" w:hAnsi="Verdana"/>
          <w:lang w:val="en-GB"/>
        </w:rPr>
        <w:t xml:space="preserve">rain </w:t>
      </w:r>
      <w:r w:rsidR="009375F3">
        <w:rPr>
          <w:rFonts w:ascii="Verdana" w:hAnsi="Verdana"/>
          <w:lang w:val="en-GB"/>
        </w:rPr>
        <w:t>c</w:t>
      </w:r>
      <w:r w:rsidR="00DE44C2" w:rsidRPr="00B45E1E">
        <w:rPr>
          <w:rFonts w:ascii="Verdana" w:hAnsi="Verdana"/>
          <w:lang w:val="en-GB"/>
        </w:rPr>
        <w:t>hanges</w:t>
      </w:r>
      <w:r w:rsidR="00B45E1E" w:rsidRPr="00B45E1E">
        <w:rPr>
          <w:rFonts w:ascii="Verdana" w:hAnsi="Verdana"/>
          <w:lang w:val="en-GB"/>
        </w:rPr>
        <w:t xml:space="preserve"> in various areas, </w:t>
      </w:r>
      <w:r w:rsidR="009375F3">
        <w:rPr>
          <w:rFonts w:ascii="Verdana" w:hAnsi="Verdana"/>
          <w:lang w:val="en-GB"/>
        </w:rPr>
        <w:t>such as</w:t>
      </w:r>
      <w:r w:rsidR="00B45E1E">
        <w:rPr>
          <w:rFonts w:ascii="Verdana" w:hAnsi="Verdana"/>
          <w:b/>
          <w:bCs/>
          <w:lang w:val="en-GB"/>
        </w:rPr>
        <w:t xml:space="preserve"> </w:t>
      </w:r>
      <w:r w:rsidR="00CF0880">
        <w:rPr>
          <w:rFonts w:ascii="Verdana" w:hAnsi="Verdana"/>
          <w:lang w:val="en-GB"/>
        </w:rPr>
        <w:t>b</w:t>
      </w:r>
      <w:r w:rsidR="00DE44C2" w:rsidRPr="00440BFA">
        <w:rPr>
          <w:rFonts w:ascii="Verdana" w:hAnsi="Verdana"/>
          <w:lang w:val="en-GB"/>
        </w:rPr>
        <w:t xml:space="preserve">rain </w:t>
      </w:r>
      <w:r w:rsidR="00CF0880">
        <w:rPr>
          <w:rFonts w:ascii="Verdana" w:hAnsi="Verdana"/>
          <w:lang w:val="en-GB"/>
        </w:rPr>
        <w:t>s</w:t>
      </w:r>
      <w:r w:rsidR="00DE44C2" w:rsidRPr="00440BFA">
        <w:rPr>
          <w:rFonts w:ascii="Verdana" w:hAnsi="Verdana"/>
          <w:lang w:val="en-GB"/>
        </w:rPr>
        <w:t>hrinkage</w:t>
      </w:r>
      <w:r w:rsidR="00B45E1E">
        <w:rPr>
          <w:rFonts w:ascii="Verdana" w:hAnsi="Verdana"/>
          <w:lang w:val="en-GB"/>
        </w:rPr>
        <w:t xml:space="preserve">, </w:t>
      </w:r>
      <w:r w:rsidR="00CF0880">
        <w:rPr>
          <w:rFonts w:ascii="Verdana" w:hAnsi="Verdana"/>
          <w:lang w:val="en-GB"/>
        </w:rPr>
        <w:t>w</w:t>
      </w:r>
      <w:r w:rsidR="00DE44C2" w:rsidRPr="00440BFA">
        <w:rPr>
          <w:rFonts w:ascii="Verdana" w:hAnsi="Verdana"/>
          <w:lang w:val="en-GB"/>
        </w:rPr>
        <w:t xml:space="preserve">hite </w:t>
      </w:r>
      <w:r w:rsidR="00CF0880">
        <w:rPr>
          <w:rFonts w:ascii="Verdana" w:hAnsi="Verdana"/>
          <w:lang w:val="en-GB"/>
        </w:rPr>
        <w:t>m</w:t>
      </w:r>
      <w:r w:rsidR="00DE44C2" w:rsidRPr="00440BFA">
        <w:rPr>
          <w:rFonts w:ascii="Verdana" w:hAnsi="Verdana"/>
          <w:lang w:val="en-GB"/>
        </w:rPr>
        <w:t xml:space="preserve">atter </w:t>
      </w:r>
      <w:r w:rsidR="00CF0880">
        <w:rPr>
          <w:rFonts w:ascii="Verdana" w:hAnsi="Verdana"/>
          <w:lang w:val="en-GB"/>
        </w:rPr>
        <w:t>d</w:t>
      </w:r>
      <w:r w:rsidR="00DE44C2" w:rsidRPr="00440BFA">
        <w:rPr>
          <w:rFonts w:ascii="Verdana" w:hAnsi="Verdana"/>
          <w:lang w:val="en-GB"/>
        </w:rPr>
        <w:t>amage</w:t>
      </w:r>
      <w:r w:rsidR="00B45E1E">
        <w:rPr>
          <w:rFonts w:ascii="Verdana" w:hAnsi="Verdana"/>
          <w:lang w:val="en-GB"/>
        </w:rPr>
        <w:t xml:space="preserve"> and risk of l</w:t>
      </w:r>
      <w:r w:rsidR="00DE44C2" w:rsidRPr="00440BFA">
        <w:rPr>
          <w:rFonts w:ascii="Verdana" w:hAnsi="Verdana"/>
          <w:lang w:val="en-GB"/>
        </w:rPr>
        <w:t xml:space="preserve">oss of </w:t>
      </w:r>
      <w:r w:rsidR="009375F3">
        <w:rPr>
          <w:rFonts w:ascii="Verdana" w:hAnsi="Verdana"/>
          <w:lang w:val="en-GB"/>
        </w:rPr>
        <w:t>n</w:t>
      </w:r>
      <w:r w:rsidR="00DE44C2" w:rsidRPr="00440BFA">
        <w:rPr>
          <w:rFonts w:ascii="Verdana" w:hAnsi="Verdana"/>
          <w:lang w:val="en-GB"/>
        </w:rPr>
        <w:t>euron</w:t>
      </w:r>
      <w:r w:rsidR="00CF0880">
        <w:rPr>
          <w:rFonts w:ascii="Verdana" w:hAnsi="Verdana"/>
          <w:lang w:val="en-GB"/>
        </w:rPr>
        <w:t>s</w:t>
      </w:r>
      <w:r w:rsidR="00B4138C">
        <w:rPr>
          <w:rFonts w:ascii="Verdana" w:hAnsi="Verdana"/>
          <w:lang w:val="en-GB"/>
        </w:rPr>
        <w:t xml:space="preserve">, which could lead </w:t>
      </w:r>
      <w:r w:rsidR="00B4138C" w:rsidRPr="00B4138C">
        <w:rPr>
          <w:rFonts w:ascii="Verdana" w:hAnsi="Verdana"/>
          <w:lang w:val="en-GB"/>
        </w:rPr>
        <w:t xml:space="preserve">to </w:t>
      </w:r>
      <w:r w:rsidR="00CF0880">
        <w:rPr>
          <w:rFonts w:ascii="Verdana" w:hAnsi="Verdana"/>
          <w:lang w:val="en-GB"/>
        </w:rPr>
        <w:t>p</w:t>
      </w:r>
      <w:r w:rsidR="00DE44C2" w:rsidRPr="00B4138C">
        <w:rPr>
          <w:rFonts w:ascii="Verdana" w:hAnsi="Verdana"/>
          <w:lang w:val="en-GB"/>
        </w:rPr>
        <w:t xml:space="preserve">refrontal </w:t>
      </w:r>
      <w:r w:rsidR="00CF0880">
        <w:rPr>
          <w:rFonts w:ascii="Verdana" w:hAnsi="Verdana"/>
          <w:lang w:val="en-GB"/>
        </w:rPr>
        <w:t>c</w:t>
      </w:r>
      <w:r w:rsidR="00DE44C2" w:rsidRPr="00B4138C">
        <w:rPr>
          <w:rFonts w:ascii="Verdana" w:hAnsi="Verdana"/>
          <w:lang w:val="en-GB"/>
        </w:rPr>
        <w:t xml:space="preserve">ortex </w:t>
      </w:r>
      <w:r w:rsidR="00CF0880">
        <w:rPr>
          <w:rFonts w:ascii="Verdana" w:hAnsi="Verdana"/>
          <w:lang w:val="en-GB"/>
        </w:rPr>
        <w:t>d</w:t>
      </w:r>
      <w:r w:rsidR="00DE44C2" w:rsidRPr="00B4138C">
        <w:rPr>
          <w:rFonts w:ascii="Verdana" w:hAnsi="Verdana"/>
          <w:lang w:val="en-GB"/>
        </w:rPr>
        <w:t>ysfunction</w:t>
      </w:r>
      <w:r w:rsidR="00B4138C" w:rsidRPr="00B4138C">
        <w:rPr>
          <w:rFonts w:ascii="Verdana" w:hAnsi="Verdana"/>
          <w:lang w:val="en-GB"/>
        </w:rPr>
        <w:t xml:space="preserve"> with impairments to the</w:t>
      </w:r>
      <w:r w:rsidR="00D164A8">
        <w:rPr>
          <w:rFonts w:ascii="Verdana" w:hAnsi="Verdana"/>
          <w:lang w:val="en-GB"/>
        </w:rPr>
        <w:t xml:space="preserve"> a</w:t>
      </w:r>
      <w:r w:rsidR="00DE44C2" w:rsidRPr="00B4138C">
        <w:rPr>
          <w:rFonts w:ascii="Verdana" w:hAnsi="Verdana"/>
          <w:lang w:val="en-GB"/>
        </w:rPr>
        <w:t xml:space="preserve">mygdala and </w:t>
      </w:r>
      <w:r w:rsidR="00D164A8">
        <w:rPr>
          <w:rFonts w:ascii="Verdana" w:hAnsi="Verdana"/>
          <w:lang w:val="en-GB"/>
        </w:rPr>
        <w:t>e</w:t>
      </w:r>
      <w:r w:rsidR="00DE44C2" w:rsidRPr="00B4138C">
        <w:rPr>
          <w:rFonts w:ascii="Verdana" w:hAnsi="Verdana"/>
          <w:lang w:val="en-GB"/>
        </w:rPr>
        <w:t xml:space="preserve">motional </w:t>
      </w:r>
      <w:r w:rsidR="00D164A8">
        <w:rPr>
          <w:rFonts w:ascii="Verdana" w:hAnsi="Verdana"/>
          <w:lang w:val="en-GB"/>
        </w:rPr>
        <w:t>p</w:t>
      </w:r>
      <w:r w:rsidR="00DE44C2" w:rsidRPr="00B4138C">
        <w:rPr>
          <w:rFonts w:ascii="Verdana" w:hAnsi="Verdana"/>
          <w:lang w:val="en-GB"/>
        </w:rPr>
        <w:t>rocessing</w:t>
      </w:r>
      <w:r w:rsidR="00B4138C" w:rsidRPr="00B4138C">
        <w:rPr>
          <w:rFonts w:ascii="Verdana" w:hAnsi="Verdana"/>
          <w:lang w:val="en-GB"/>
        </w:rPr>
        <w:t>,</w:t>
      </w:r>
      <w:r w:rsidR="00DE44C2" w:rsidRPr="00B4138C">
        <w:rPr>
          <w:rFonts w:ascii="Verdana" w:hAnsi="Verdana"/>
          <w:lang w:val="en-GB"/>
        </w:rPr>
        <w:t xml:space="preserve"> </w:t>
      </w:r>
      <w:r w:rsidR="00C77DBD" w:rsidRPr="00B4138C">
        <w:rPr>
          <w:rFonts w:ascii="Verdana" w:hAnsi="Verdana"/>
          <w:lang w:val="en-GB"/>
        </w:rPr>
        <w:t>(</w:t>
      </w:r>
      <w:r w:rsidR="00902D84" w:rsidRPr="00B4138C">
        <w:rPr>
          <w:rFonts w:ascii="Verdana" w:hAnsi="Verdana"/>
          <w:lang w:val="en-GB"/>
        </w:rPr>
        <w:t>Gorka, Fitzgerald, King</w:t>
      </w:r>
      <w:r w:rsidR="00C27329">
        <w:rPr>
          <w:rFonts w:ascii="Verdana" w:hAnsi="Verdana"/>
          <w:lang w:val="en-GB"/>
        </w:rPr>
        <w:t xml:space="preserve"> and </w:t>
      </w:r>
      <w:r w:rsidR="00902D84" w:rsidRPr="00B4138C">
        <w:rPr>
          <w:rFonts w:ascii="Verdana" w:hAnsi="Verdana"/>
          <w:lang w:val="en-GB"/>
        </w:rPr>
        <w:t>Phan, 2013)</w:t>
      </w:r>
      <w:r w:rsidR="009375F3">
        <w:rPr>
          <w:rFonts w:ascii="Verdana" w:hAnsi="Verdana"/>
          <w:lang w:val="en-GB"/>
        </w:rPr>
        <w:t xml:space="preserve"> causing detrimental effects to m</w:t>
      </w:r>
      <w:r w:rsidR="00DE44C2" w:rsidRPr="00B4138C">
        <w:rPr>
          <w:rFonts w:ascii="Verdana" w:hAnsi="Verdana"/>
          <w:lang w:val="en-GB"/>
        </w:rPr>
        <w:t xml:space="preserve">emory and </w:t>
      </w:r>
      <w:r w:rsidR="009375F3">
        <w:rPr>
          <w:rFonts w:ascii="Verdana" w:hAnsi="Verdana"/>
          <w:lang w:val="en-GB"/>
        </w:rPr>
        <w:t>l</w:t>
      </w:r>
      <w:r w:rsidR="00DE44C2" w:rsidRPr="00B4138C">
        <w:rPr>
          <w:rFonts w:ascii="Verdana" w:hAnsi="Verdana"/>
          <w:lang w:val="en-GB"/>
        </w:rPr>
        <w:t xml:space="preserve">earning (Hippocampus </w:t>
      </w:r>
      <w:r w:rsidR="00DE44C2" w:rsidRPr="00B4138C">
        <w:rPr>
          <w:rFonts w:ascii="Verdana" w:hAnsi="Verdana"/>
          <w:lang w:val="en-GB"/>
        </w:rPr>
        <w:lastRenderedPageBreak/>
        <w:t>Impact</w:t>
      </w:r>
      <w:r w:rsidR="00D164A8">
        <w:rPr>
          <w:rFonts w:ascii="Verdana" w:hAnsi="Verdana"/>
          <w:lang w:val="en-GB"/>
        </w:rPr>
        <w:t xml:space="preserve">)and the </w:t>
      </w:r>
      <w:r w:rsidR="009375F3">
        <w:rPr>
          <w:rFonts w:ascii="Verdana" w:hAnsi="Verdana"/>
          <w:lang w:val="en-GB"/>
        </w:rPr>
        <w:t>s</w:t>
      </w:r>
      <w:r w:rsidR="00DE44C2" w:rsidRPr="00B4138C">
        <w:rPr>
          <w:rFonts w:ascii="Verdana" w:hAnsi="Verdana"/>
          <w:lang w:val="en-GB"/>
        </w:rPr>
        <w:t xml:space="preserve">tress </w:t>
      </w:r>
      <w:r w:rsidR="009375F3">
        <w:rPr>
          <w:rFonts w:ascii="Verdana" w:hAnsi="Verdana"/>
          <w:lang w:val="en-GB"/>
        </w:rPr>
        <w:t>r</w:t>
      </w:r>
      <w:r w:rsidR="00DE44C2" w:rsidRPr="00B4138C">
        <w:rPr>
          <w:rFonts w:ascii="Verdana" w:hAnsi="Verdana"/>
          <w:lang w:val="en-GB"/>
        </w:rPr>
        <w:t xml:space="preserve">esponse </w:t>
      </w:r>
      <w:r w:rsidR="009375F3">
        <w:rPr>
          <w:rFonts w:ascii="Verdana" w:hAnsi="Verdana"/>
          <w:lang w:val="en-GB"/>
        </w:rPr>
        <w:t>s</w:t>
      </w:r>
      <w:r w:rsidR="00DE44C2" w:rsidRPr="00B4138C">
        <w:rPr>
          <w:rFonts w:ascii="Verdana" w:hAnsi="Verdana"/>
          <w:lang w:val="en-GB"/>
        </w:rPr>
        <w:t>ystem (HPA Axis Dysregulation)</w:t>
      </w:r>
      <w:r w:rsidR="00D978A3" w:rsidRPr="00D978A3">
        <w:rPr>
          <w:rFonts w:ascii="Consolas" w:hAnsi="Consolas"/>
          <w:color w:val="1B1B1B"/>
          <w:shd w:val="clear" w:color="auto" w:fill="FFFFFF"/>
        </w:rPr>
        <w:t xml:space="preserve"> </w:t>
      </w:r>
      <w:r w:rsidR="00417CEA">
        <w:rPr>
          <w:rFonts w:ascii="Consolas" w:hAnsi="Consolas"/>
          <w:color w:val="1B1B1B"/>
          <w:shd w:val="clear" w:color="auto" w:fill="FFFFFF"/>
        </w:rPr>
        <w:t>(</w:t>
      </w:r>
      <w:r w:rsidR="00D978A3" w:rsidRPr="00D978A3">
        <w:rPr>
          <w:rFonts w:ascii="Verdana" w:hAnsi="Verdana"/>
        </w:rPr>
        <w:t>Stephens</w:t>
      </w:r>
      <w:r w:rsidR="009375F3">
        <w:rPr>
          <w:rFonts w:ascii="Verdana" w:hAnsi="Verdana"/>
        </w:rPr>
        <w:t xml:space="preserve"> and</w:t>
      </w:r>
      <w:r w:rsidR="00D978A3" w:rsidRPr="00D978A3">
        <w:rPr>
          <w:rFonts w:ascii="Verdana" w:hAnsi="Verdana"/>
        </w:rPr>
        <w:t xml:space="preserve"> Wand,</w:t>
      </w:r>
      <w:r w:rsidR="00417CEA">
        <w:rPr>
          <w:rFonts w:ascii="Verdana" w:hAnsi="Verdana"/>
        </w:rPr>
        <w:t xml:space="preserve"> </w:t>
      </w:r>
      <w:r w:rsidR="00D978A3" w:rsidRPr="00D978A3">
        <w:rPr>
          <w:rFonts w:ascii="Verdana" w:hAnsi="Verdana"/>
        </w:rPr>
        <w:t xml:space="preserve">2012). </w:t>
      </w:r>
    </w:p>
    <w:p w14:paraId="44AD9621" w14:textId="02B76258" w:rsidR="006A35F0" w:rsidRDefault="006A35F0" w:rsidP="006A35F0">
      <w:pPr>
        <w:rPr>
          <w:rFonts w:ascii="Verdana" w:hAnsi="Verdana"/>
          <w:lang w:val="en-GB"/>
        </w:rPr>
      </w:pPr>
      <w:r>
        <w:rPr>
          <w:rFonts w:ascii="Verdana" w:hAnsi="Verdana"/>
        </w:rPr>
        <w:t>A</w:t>
      </w:r>
      <w:r w:rsidRPr="00E84E38">
        <w:rPr>
          <w:rFonts w:ascii="Verdana" w:hAnsi="Verdana"/>
        </w:rPr>
        <w:t xml:space="preserve">lcohol-induced changes in the brain, </w:t>
      </w:r>
      <w:r>
        <w:rPr>
          <w:rFonts w:ascii="Verdana" w:hAnsi="Verdana"/>
        </w:rPr>
        <w:t>lead to many</w:t>
      </w:r>
      <w:r w:rsidRPr="00E84E38">
        <w:rPr>
          <w:rFonts w:ascii="Verdana" w:hAnsi="Verdana"/>
        </w:rPr>
        <w:t xml:space="preserve"> challenges </w:t>
      </w:r>
      <w:r>
        <w:rPr>
          <w:rFonts w:ascii="Verdana" w:hAnsi="Verdana"/>
        </w:rPr>
        <w:t xml:space="preserve">for many individuals </w:t>
      </w:r>
      <w:r w:rsidRPr="00E84E38">
        <w:rPr>
          <w:rFonts w:ascii="Verdana" w:hAnsi="Verdana"/>
        </w:rPr>
        <w:t>with A</w:t>
      </w:r>
      <w:r>
        <w:rPr>
          <w:rFonts w:ascii="Verdana" w:hAnsi="Verdana"/>
        </w:rPr>
        <w:t xml:space="preserve">RBI, </w:t>
      </w:r>
      <w:r w:rsidRPr="00057219">
        <w:rPr>
          <w:rFonts w:ascii="Verdana" w:hAnsi="Verdana"/>
        </w:rPr>
        <w:t>brain alterations underlying addiction not only drive the addiction process itself but also make it difficult for many people with A</w:t>
      </w:r>
      <w:r>
        <w:rPr>
          <w:rFonts w:ascii="Verdana" w:hAnsi="Verdana"/>
        </w:rPr>
        <w:t>RBI</w:t>
      </w:r>
      <w:r w:rsidRPr="00057219">
        <w:rPr>
          <w:rFonts w:ascii="Verdana" w:hAnsi="Verdana"/>
        </w:rPr>
        <w:t xml:space="preserve"> to change their drinking behaviour</w:t>
      </w:r>
      <w:r>
        <w:rPr>
          <w:rFonts w:ascii="Verdana" w:hAnsi="Verdana"/>
        </w:rPr>
        <w:t xml:space="preserve"> (</w:t>
      </w:r>
      <w:r w:rsidRPr="00CA15BE">
        <w:rPr>
          <w:rFonts w:ascii="Verdana" w:hAnsi="Verdana"/>
          <w:lang w:val="en-GB"/>
        </w:rPr>
        <w:t>Neuroscience: The Brain in Addiction and Recover</w:t>
      </w:r>
      <w:r>
        <w:rPr>
          <w:rFonts w:ascii="Verdana" w:hAnsi="Verdana"/>
          <w:lang w:val="en-GB"/>
        </w:rPr>
        <w:t>y)</w:t>
      </w:r>
      <w:r w:rsidR="006B124B">
        <w:rPr>
          <w:rFonts w:ascii="Verdana" w:hAnsi="Verdana"/>
          <w:lang w:val="en-GB"/>
        </w:rPr>
        <w:t>.</w:t>
      </w:r>
    </w:p>
    <w:p w14:paraId="1EFE8D3F" w14:textId="1D14E2E5" w:rsidR="00844CDA" w:rsidRDefault="00DE44C2" w:rsidP="00477B72">
      <w:pPr>
        <w:rPr>
          <w:rFonts w:ascii="Verdana" w:hAnsi="Verdana"/>
          <w:lang w:val="en-GB"/>
        </w:rPr>
      </w:pPr>
      <w:r w:rsidRPr="00440BFA">
        <w:rPr>
          <w:rFonts w:ascii="Verdana" w:hAnsi="Verdana"/>
          <w:lang w:val="en-GB"/>
        </w:rPr>
        <w:t xml:space="preserve">The brain has remarkable neuroplasticity, meaning it can heal and rewire itself to some extent. Abstaining from alcohol, engaging in therapy, maintaining a healthy lifestyle, and seeking social support can help reverse some of the brain changes associated with alcohol dependency. However, prolonged or severe </w:t>
      </w:r>
      <w:r w:rsidR="00F33008">
        <w:rPr>
          <w:rFonts w:ascii="Verdana" w:hAnsi="Verdana"/>
          <w:lang w:val="en-GB"/>
        </w:rPr>
        <w:t xml:space="preserve">use </w:t>
      </w:r>
      <w:r w:rsidRPr="00440BFA">
        <w:rPr>
          <w:rFonts w:ascii="Verdana" w:hAnsi="Verdana"/>
          <w:lang w:val="en-GB"/>
        </w:rPr>
        <w:t>may lead to lasting damage</w:t>
      </w:r>
      <w:r w:rsidR="00F33008">
        <w:rPr>
          <w:rFonts w:ascii="Verdana" w:hAnsi="Verdana"/>
          <w:lang w:val="en-GB"/>
        </w:rPr>
        <w:t xml:space="preserve"> </w:t>
      </w:r>
      <w:r w:rsidR="00772F90">
        <w:rPr>
          <w:rFonts w:ascii="Verdana" w:hAnsi="Verdana"/>
          <w:lang w:val="en-GB"/>
        </w:rPr>
        <w:t>(</w:t>
      </w:r>
      <w:r w:rsidR="00772F90" w:rsidRPr="00772F90">
        <w:rPr>
          <w:rFonts w:ascii="Verdana" w:hAnsi="Verdana"/>
        </w:rPr>
        <w:t>Rao</w:t>
      </w:r>
      <w:r w:rsidR="00772F90">
        <w:rPr>
          <w:rFonts w:ascii="Verdana" w:hAnsi="Verdana"/>
        </w:rPr>
        <w:t xml:space="preserve"> </w:t>
      </w:r>
      <w:r w:rsidR="00772F90" w:rsidRPr="00772F90">
        <w:rPr>
          <w:rFonts w:ascii="Verdana" w:hAnsi="Verdana"/>
        </w:rPr>
        <w:t>and Topiwala, 2020</w:t>
      </w:r>
      <w:r w:rsidR="00772F90">
        <w:rPr>
          <w:rFonts w:ascii="Verdana" w:hAnsi="Verdana"/>
        </w:rPr>
        <w:t>).</w:t>
      </w:r>
    </w:p>
    <w:p w14:paraId="10CBB1A1" w14:textId="77777777" w:rsidR="00C96D8C" w:rsidRDefault="00C96D8C" w:rsidP="00477B72">
      <w:pPr>
        <w:rPr>
          <w:rFonts w:ascii="Verdana" w:hAnsi="Verdana"/>
          <w:lang w:val="en-GB"/>
        </w:rPr>
      </w:pPr>
    </w:p>
    <w:p w14:paraId="04D631C7" w14:textId="7101AD3E" w:rsidR="00151EF1" w:rsidRPr="00322BB2" w:rsidRDefault="00151EF1" w:rsidP="00477B72">
      <w:pPr>
        <w:rPr>
          <w:rFonts w:ascii="Verdana" w:hAnsi="Verdana"/>
          <w:b/>
          <w:bCs/>
          <w:lang w:val="en-GB"/>
        </w:rPr>
      </w:pPr>
      <w:r>
        <w:rPr>
          <w:rFonts w:ascii="Verdana" w:hAnsi="Verdana"/>
          <w:b/>
          <w:bCs/>
          <w:lang w:val="en-GB"/>
        </w:rPr>
        <w:t>Is ab</w:t>
      </w:r>
      <w:r w:rsidR="00322BB2" w:rsidRPr="00322BB2">
        <w:rPr>
          <w:rFonts w:ascii="Verdana" w:hAnsi="Verdana"/>
          <w:b/>
          <w:bCs/>
          <w:lang w:val="en-GB"/>
        </w:rPr>
        <w:t>stinence essential</w:t>
      </w:r>
      <w:r w:rsidR="00322BB2">
        <w:rPr>
          <w:rFonts w:ascii="Verdana" w:hAnsi="Verdana"/>
          <w:b/>
          <w:bCs/>
          <w:lang w:val="en-GB"/>
        </w:rPr>
        <w:t xml:space="preserve"> – </w:t>
      </w:r>
      <w:r>
        <w:rPr>
          <w:rFonts w:ascii="Verdana" w:hAnsi="Verdana"/>
          <w:b/>
          <w:bCs/>
          <w:lang w:val="en-GB"/>
        </w:rPr>
        <w:t>Are we</w:t>
      </w:r>
      <w:r w:rsidR="00C3358A">
        <w:rPr>
          <w:rFonts w:ascii="Verdana" w:hAnsi="Verdana"/>
          <w:b/>
          <w:bCs/>
          <w:lang w:val="en-GB"/>
        </w:rPr>
        <w:t xml:space="preserve"> s</w:t>
      </w:r>
      <w:r w:rsidR="00322BB2">
        <w:rPr>
          <w:rFonts w:ascii="Verdana" w:hAnsi="Verdana"/>
          <w:b/>
          <w:bCs/>
          <w:lang w:val="en-GB"/>
        </w:rPr>
        <w:t>etting people up to fail</w:t>
      </w:r>
      <w:r>
        <w:rPr>
          <w:rFonts w:ascii="Verdana" w:hAnsi="Verdana"/>
          <w:b/>
          <w:bCs/>
          <w:lang w:val="en-GB"/>
        </w:rPr>
        <w:t>?</w:t>
      </w:r>
    </w:p>
    <w:p w14:paraId="405A0CF5" w14:textId="303BE74E" w:rsidR="00322BB2" w:rsidRPr="00322BB2" w:rsidRDefault="00322BB2" w:rsidP="00322BB2">
      <w:pPr>
        <w:rPr>
          <w:rFonts w:ascii="Verdana" w:hAnsi="Verdana"/>
          <w:lang w:val="en-GB"/>
        </w:rPr>
      </w:pPr>
      <w:r w:rsidRPr="00322BB2">
        <w:rPr>
          <w:rFonts w:ascii="Verdana" w:hAnsi="Verdana"/>
          <w:lang w:val="en-GB"/>
        </w:rPr>
        <w:t>Humber NHS Memory Assessment Service policy aligns with clinical guidelines for assessing cognitive impairment in individuals with alcohol dependency. The requirement for at least six months of abstinence before referral ensures a clearer assessment of cognitive function without the confounding effects of alcohol-related toxicity or withdrawal symptoms.</w:t>
      </w:r>
      <w:r w:rsidR="00C07DB3">
        <w:rPr>
          <w:rFonts w:ascii="Verdana" w:hAnsi="Verdana"/>
          <w:lang w:val="en-GB"/>
        </w:rPr>
        <w:t xml:space="preserve"> </w:t>
      </w:r>
      <w:r w:rsidR="00426066">
        <w:rPr>
          <w:rFonts w:ascii="Verdana" w:hAnsi="Verdana"/>
          <w:lang w:val="en-GB"/>
        </w:rPr>
        <w:t>However, t</w:t>
      </w:r>
      <w:r w:rsidR="00C07DB3">
        <w:rPr>
          <w:rFonts w:ascii="Verdana" w:hAnsi="Verdana"/>
          <w:lang w:val="en-GB"/>
        </w:rPr>
        <w:t xml:space="preserve">he abstinence requirement is not without </w:t>
      </w:r>
      <w:r w:rsidR="00426066">
        <w:rPr>
          <w:rFonts w:ascii="Verdana" w:hAnsi="Verdana"/>
          <w:lang w:val="en-GB"/>
        </w:rPr>
        <w:t xml:space="preserve">rationale. </w:t>
      </w:r>
    </w:p>
    <w:p w14:paraId="59AFD850" w14:textId="50BC92C1" w:rsidR="00322BB2" w:rsidRPr="00322BB2" w:rsidRDefault="00322BB2" w:rsidP="00322BB2">
      <w:pPr>
        <w:rPr>
          <w:rFonts w:ascii="Verdana" w:hAnsi="Verdana"/>
          <w:lang w:val="en-GB"/>
        </w:rPr>
      </w:pPr>
      <w:r w:rsidRPr="00322BB2">
        <w:rPr>
          <w:rFonts w:ascii="Verdana" w:hAnsi="Verdana"/>
          <w:lang w:val="en-GB"/>
        </w:rPr>
        <w:t>Why the 6-Month Abstinence Requirement?</w:t>
      </w:r>
    </w:p>
    <w:p w14:paraId="4A0A4F93" w14:textId="77777777" w:rsidR="00322BB2" w:rsidRPr="00322BB2" w:rsidRDefault="00322BB2" w:rsidP="00322BB2">
      <w:pPr>
        <w:rPr>
          <w:rFonts w:ascii="Verdana" w:hAnsi="Verdana"/>
          <w:lang w:val="en-GB"/>
        </w:rPr>
      </w:pPr>
      <w:r w:rsidRPr="00322BB2">
        <w:rPr>
          <w:rFonts w:ascii="Verdana" w:hAnsi="Verdana"/>
          <w:lang w:val="en-GB"/>
        </w:rPr>
        <w:t>1.</w:t>
      </w:r>
      <w:r w:rsidRPr="00322BB2">
        <w:rPr>
          <w:rFonts w:ascii="Verdana" w:hAnsi="Verdana"/>
          <w:lang w:val="en-GB"/>
        </w:rPr>
        <w:tab/>
        <w:t>Alcohol-Related Reversible Cognitive Impairment:</w:t>
      </w:r>
    </w:p>
    <w:p w14:paraId="089BA46E" w14:textId="77777777" w:rsidR="00322BB2" w:rsidRPr="00322BB2" w:rsidRDefault="00322BB2" w:rsidP="00322BB2">
      <w:pPr>
        <w:rPr>
          <w:rFonts w:ascii="Verdana" w:hAnsi="Verdana"/>
          <w:lang w:val="en-GB"/>
        </w:rPr>
      </w:pPr>
      <w:r w:rsidRPr="00322BB2">
        <w:rPr>
          <w:rFonts w:ascii="Verdana" w:hAnsi="Verdana"/>
          <w:lang w:val="en-GB"/>
        </w:rPr>
        <w:t>Cognitive deficits from alcohol use (such as memory problems and attention difficulties) can improve significantly within months of sobriety, as the brain begins to heal.</w:t>
      </w:r>
    </w:p>
    <w:p w14:paraId="55FFC443" w14:textId="77777777" w:rsidR="00322BB2" w:rsidRPr="00322BB2" w:rsidRDefault="00322BB2" w:rsidP="00322BB2">
      <w:pPr>
        <w:rPr>
          <w:rFonts w:ascii="Verdana" w:hAnsi="Verdana"/>
          <w:lang w:val="en-GB"/>
        </w:rPr>
      </w:pPr>
      <w:r w:rsidRPr="00322BB2">
        <w:rPr>
          <w:rFonts w:ascii="Verdana" w:hAnsi="Verdana"/>
          <w:lang w:val="en-GB"/>
        </w:rPr>
        <w:t>2.</w:t>
      </w:r>
      <w:r w:rsidRPr="00322BB2">
        <w:rPr>
          <w:rFonts w:ascii="Verdana" w:hAnsi="Verdana"/>
          <w:lang w:val="en-GB"/>
        </w:rPr>
        <w:tab/>
        <w:t>Brain Recovery (Neuroplasticity):</w:t>
      </w:r>
    </w:p>
    <w:p w14:paraId="50190FF0" w14:textId="77777777" w:rsidR="00322BB2" w:rsidRPr="00322BB2" w:rsidRDefault="00322BB2" w:rsidP="00322BB2">
      <w:pPr>
        <w:rPr>
          <w:rFonts w:ascii="Verdana" w:hAnsi="Verdana"/>
          <w:lang w:val="en-GB"/>
        </w:rPr>
      </w:pPr>
      <w:r w:rsidRPr="00322BB2">
        <w:rPr>
          <w:rFonts w:ascii="Verdana" w:hAnsi="Verdana"/>
          <w:lang w:val="en-GB"/>
        </w:rPr>
        <w:t>The brain exhibits substantial neuroplasticity, with some damage reversing over time. A six-month period allows for natural cognitive recovery and more accurate assessment of any lasting deficits.</w:t>
      </w:r>
    </w:p>
    <w:p w14:paraId="6C853C9B" w14:textId="77777777" w:rsidR="00322BB2" w:rsidRPr="00322BB2" w:rsidRDefault="00322BB2" w:rsidP="00322BB2">
      <w:pPr>
        <w:rPr>
          <w:rFonts w:ascii="Verdana" w:hAnsi="Verdana"/>
          <w:lang w:val="en-GB"/>
        </w:rPr>
      </w:pPr>
      <w:r w:rsidRPr="00322BB2">
        <w:rPr>
          <w:rFonts w:ascii="Verdana" w:hAnsi="Verdana"/>
          <w:lang w:val="en-GB"/>
        </w:rPr>
        <w:t>3.</w:t>
      </w:r>
      <w:r w:rsidRPr="00322BB2">
        <w:rPr>
          <w:rFonts w:ascii="Verdana" w:hAnsi="Verdana"/>
          <w:lang w:val="en-GB"/>
        </w:rPr>
        <w:tab/>
        <w:t>Withdrawal and Post-Acute Withdrawal Syndrome (PAWS):</w:t>
      </w:r>
    </w:p>
    <w:p w14:paraId="482628AA" w14:textId="77777777" w:rsidR="00126B2F" w:rsidRDefault="00322BB2" w:rsidP="00322BB2">
      <w:pPr>
        <w:rPr>
          <w:rFonts w:ascii="Verdana" w:hAnsi="Verdana"/>
          <w:lang w:val="en-GB"/>
        </w:rPr>
      </w:pPr>
      <w:r w:rsidRPr="00322BB2">
        <w:rPr>
          <w:rFonts w:ascii="Verdana" w:hAnsi="Verdana"/>
          <w:lang w:val="en-GB"/>
        </w:rPr>
        <w:t>PAWS symptoms, including memory issues, mood instability, and brain fog, can persist for months after quitting alcohol. Waiting ensures that these temporary effects do not lead to misdiagnosis.</w:t>
      </w:r>
      <w:r w:rsidR="00152D19">
        <w:rPr>
          <w:rFonts w:ascii="Verdana" w:hAnsi="Verdana"/>
          <w:lang w:val="en-GB"/>
        </w:rPr>
        <w:t xml:space="preserve"> </w:t>
      </w:r>
    </w:p>
    <w:p w14:paraId="5371BC26" w14:textId="5234EDA8" w:rsidR="00126B2F" w:rsidRDefault="00126B2F" w:rsidP="00322BB2">
      <w:pPr>
        <w:rPr>
          <w:rFonts w:ascii="Verdana" w:hAnsi="Verdana"/>
          <w:lang w:val="en-GB"/>
        </w:rPr>
      </w:pPr>
      <w:r>
        <w:rPr>
          <w:rFonts w:ascii="Verdana" w:hAnsi="Verdana"/>
          <w:lang w:val="en-GB"/>
        </w:rPr>
        <w:t xml:space="preserve">4. Delirium. </w:t>
      </w:r>
    </w:p>
    <w:p w14:paraId="3BAFBC53" w14:textId="7C50BE9B" w:rsidR="00152D19" w:rsidRPr="00322BB2" w:rsidRDefault="00126B2F" w:rsidP="00322BB2">
      <w:pPr>
        <w:rPr>
          <w:rFonts w:ascii="Verdana" w:hAnsi="Verdana"/>
          <w:lang w:val="en-GB"/>
        </w:rPr>
      </w:pPr>
      <w:r>
        <w:rPr>
          <w:rFonts w:ascii="Verdana" w:hAnsi="Verdana"/>
          <w:lang w:val="en-GB"/>
        </w:rPr>
        <w:t xml:space="preserve">A </w:t>
      </w:r>
      <w:r w:rsidR="00104834" w:rsidRPr="00104834">
        <w:rPr>
          <w:rFonts w:ascii="Verdana" w:hAnsi="Verdana"/>
        </w:rPr>
        <w:t>person with ARBI may</w:t>
      </w:r>
      <w:r w:rsidR="00104834" w:rsidRPr="00126B2F">
        <w:rPr>
          <w:rFonts w:ascii="Verdana" w:hAnsi="Verdana"/>
        </w:rPr>
        <w:t xml:space="preserve"> also develop delirium, </w:t>
      </w:r>
      <w:r w:rsidR="00104834" w:rsidRPr="00104834">
        <w:rPr>
          <w:rFonts w:ascii="Verdana" w:hAnsi="Verdana"/>
        </w:rPr>
        <w:t>especially if they experience alcohol withdrawal, infections, or metabolic imbalances.</w:t>
      </w:r>
      <w:r>
        <w:rPr>
          <w:rFonts w:ascii="Verdana" w:hAnsi="Verdana"/>
        </w:rPr>
        <w:t xml:space="preserve"> </w:t>
      </w:r>
      <w:r w:rsidR="00152D19">
        <w:rPr>
          <w:rFonts w:ascii="Verdana" w:hAnsi="Verdana"/>
          <w:lang w:val="en-GB"/>
        </w:rPr>
        <w:t>Withdrawal induced delirium</w:t>
      </w:r>
      <w:r>
        <w:rPr>
          <w:rFonts w:ascii="Verdana" w:hAnsi="Verdana"/>
          <w:lang w:val="en-GB"/>
        </w:rPr>
        <w:t xml:space="preserve"> </w:t>
      </w:r>
      <w:r w:rsidR="00C52F57">
        <w:rPr>
          <w:rFonts w:ascii="Verdana" w:hAnsi="Verdana"/>
          <w:lang w:val="en-GB"/>
        </w:rPr>
        <w:t>has o</w:t>
      </w:r>
      <w:r w:rsidR="00C52F57" w:rsidRPr="00C52F57">
        <w:rPr>
          <w:rFonts w:ascii="Verdana" w:hAnsi="Verdana"/>
          <w:lang w:val="en-GB"/>
        </w:rPr>
        <w:t xml:space="preserve">verlapping </w:t>
      </w:r>
      <w:r w:rsidR="00C52F57">
        <w:rPr>
          <w:rFonts w:ascii="Verdana" w:hAnsi="Verdana"/>
          <w:lang w:val="en-GB"/>
        </w:rPr>
        <w:t>sy</w:t>
      </w:r>
      <w:r w:rsidR="00C52F57" w:rsidRPr="00C52F57">
        <w:rPr>
          <w:rFonts w:ascii="Verdana" w:hAnsi="Verdana"/>
          <w:lang w:val="en-GB"/>
        </w:rPr>
        <w:t>mptoms</w:t>
      </w:r>
      <w:r w:rsidR="00C52F57">
        <w:rPr>
          <w:rFonts w:ascii="Verdana" w:hAnsi="Verdana"/>
          <w:lang w:val="en-GB"/>
        </w:rPr>
        <w:t>, as b</w:t>
      </w:r>
      <w:r w:rsidR="00C52F57" w:rsidRPr="00C52F57">
        <w:rPr>
          <w:rFonts w:ascii="Verdana" w:hAnsi="Verdana"/>
          <w:lang w:val="en-GB"/>
        </w:rPr>
        <w:t>oth conditions can cause confusion, memory issues, and disorientation, making it hard to distinguish between them</w:t>
      </w:r>
      <w:r w:rsidR="00DB040C">
        <w:rPr>
          <w:rFonts w:ascii="Verdana" w:hAnsi="Verdana"/>
          <w:lang w:val="en-GB"/>
        </w:rPr>
        <w:t xml:space="preserve">, </w:t>
      </w:r>
      <w:r w:rsidR="004234E9">
        <w:rPr>
          <w:rFonts w:ascii="Verdana" w:hAnsi="Verdana"/>
          <w:lang w:val="en-GB"/>
        </w:rPr>
        <w:t>and more</w:t>
      </w:r>
      <w:r w:rsidR="004234E9" w:rsidRPr="004234E9">
        <w:rPr>
          <w:rFonts w:ascii="Verdana" w:hAnsi="Verdana"/>
          <w:lang w:val="en-GB"/>
        </w:rPr>
        <w:t xml:space="preserve"> difficult to assess their true level of cognitive function until the </w:t>
      </w:r>
      <w:r w:rsidR="004234E9" w:rsidRPr="004234E9">
        <w:rPr>
          <w:rFonts w:ascii="Verdana" w:hAnsi="Verdana"/>
          <w:lang w:val="en-GB"/>
        </w:rPr>
        <w:lastRenderedPageBreak/>
        <w:t>delirium resolves.</w:t>
      </w:r>
      <w:r w:rsidR="004234E9">
        <w:rPr>
          <w:rFonts w:ascii="Verdana" w:hAnsi="Verdana"/>
          <w:lang w:val="en-GB"/>
        </w:rPr>
        <w:t xml:space="preserve"> One could be assumed or diagnoses over the other, leading to ineffective treatment. </w:t>
      </w:r>
    </w:p>
    <w:p w14:paraId="2CAE2E45" w14:textId="72A1A5B3" w:rsidR="00322BB2" w:rsidRPr="00322BB2" w:rsidRDefault="00126B2F" w:rsidP="00322BB2">
      <w:pPr>
        <w:rPr>
          <w:rFonts w:ascii="Verdana" w:hAnsi="Verdana"/>
          <w:lang w:val="en-GB"/>
        </w:rPr>
      </w:pPr>
      <w:r>
        <w:rPr>
          <w:rFonts w:ascii="Verdana" w:hAnsi="Verdana"/>
          <w:lang w:val="en-GB"/>
        </w:rPr>
        <w:t>5</w:t>
      </w:r>
      <w:r w:rsidR="00322BB2" w:rsidRPr="00322BB2">
        <w:rPr>
          <w:rFonts w:ascii="Verdana" w:hAnsi="Verdana"/>
          <w:lang w:val="en-GB"/>
        </w:rPr>
        <w:t>.</w:t>
      </w:r>
      <w:r w:rsidR="00322BB2" w:rsidRPr="00322BB2">
        <w:rPr>
          <w:rFonts w:ascii="Verdana" w:hAnsi="Verdana"/>
          <w:lang w:val="en-GB"/>
        </w:rPr>
        <w:tab/>
        <w:t>Accurate Diagnosis:</w:t>
      </w:r>
    </w:p>
    <w:p w14:paraId="3131E389" w14:textId="443407CF" w:rsidR="00322BB2" w:rsidRDefault="00322BB2" w:rsidP="00322BB2">
      <w:pPr>
        <w:rPr>
          <w:rFonts w:ascii="Verdana" w:hAnsi="Verdana"/>
          <w:lang w:val="en-GB"/>
        </w:rPr>
      </w:pPr>
      <w:r w:rsidRPr="00322BB2">
        <w:rPr>
          <w:rFonts w:ascii="Verdana" w:hAnsi="Verdana"/>
          <w:lang w:val="en-GB"/>
        </w:rPr>
        <w:t xml:space="preserve">Alcohol-related brain injuries (like Wernicke-Korsakoff syndrome) or conditions such as </w:t>
      </w:r>
      <w:r w:rsidR="00783AF0">
        <w:rPr>
          <w:rFonts w:ascii="Verdana" w:hAnsi="Verdana"/>
          <w:lang w:val="en-GB"/>
        </w:rPr>
        <w:t>Alzheimer’s Disease</w:t>
      </w:r>
      <w:r w:rsidRPr="00322BB2">
        <w:rPr>
          <w:rFonts w:ascii="Verdana" w:hAnsi="Verdana"/>
          <w:lang w:val="en-GB"/>
        </w:rPr>
        <w:t xml:space="preserve"> dementia need clear differentiation from temporary alcohol-related cognitive impairment</w:t>
      </w:r>
      <w:r w:rsidR="00D53D9A">
        <w:rPr>
          <w:rFonts w:ascii="Verdana" w:hAnsi="Verdana"/>
          <w:lang w:val="en-GB"/>
        </w:rPr>
        <w:t xml:space="preserve">, to effect appropriate treatment, prognosis, </w:t>
      </w:r>
      <w:r w:rsidR="00777270">
        <w:rPr>
          <w:rFonts w:ascii="Verdana" w:hAnsi="Verdana"/>
          <w:lang w:val="en-GB"/>
        </w:rPr>
        <w:t xml:space="preserve">support, rehabilitation and potentially to identify any underlying causes. </w:t>
      </w:r>
    </w:p>
    <w:p w14:paraId="77ACF0ED" w14:textId="77777777" w:rsidR="00152D19" w:rsidRPr="00322BB2" w:rsidRDefault="00152D19" w:rsidP="00322BB2">
      <w:pPr>
        <w:rPr>
          <w:rFonts w:ascii="Verdana" w:hAnsi="Verdana"/>
          <w:lang w:val="en-GB"/>
        </w:rPr>
      </w:pPr>
    </w:p>
    <w:p w14:paraId="61F2C9C5" w14:textId="64746030" w:rsidR="00322BB2" w:rsidRPr="00C315DD" w:rsidRDefault="00C07DB3" w:rsidP="00322BB2">
      <w:pPr>
        <w:rPr>
          <w:rFonts w:ascii="Verdana" w:hAnsi="Verdana"/>
          <w:b/>
          <w:bCs/>
          <w:lang w:val="en-GB"/>
        </w:rPr>
      </w:pPr>
      <w:r w:rsidRPr="00C315DD">
        <w:rPr>
          <w:rFonts w:ascii="Verdana" w:hAnsi="Verdana"/>
          <w:b/>
          <w:bCs/>
          <w:lang w:val="en-GB"/>
        </w:rPr>
        <w:t xml:space="preserve">Let’s be realistic </w:t>
      </w:r>
      <w:r w:rsidR="004479B1">
        <w:rPr>
          <w:rFonts w:ascii="Verdana" w:hAnsi="Verdana"/>
          <w:b/>
          <w:bCs/>
          <w:lang w:val="en-GB"/>
        </w:rPr>
        <w:t>–</w:t>
      </w:r>
      <w:r w:rsidRPr="00C315DD">
        <w:rPr>
          <w:rFonts w:ascii="Verdana" w:hAnsi="Verdana"/>
          <w:b/>
          <w:bCs/>
          <w:lang w:val="en-GB"/>
        </w:rPr>
        <w:t xml:space="preserve"> </w:t>
      </w:r>
      <w:r w:rsidR="004479B1">
        <w:rPr>
          <w:rFonts w:ascii="Verdana" w:hAnsi="Verdana"/>
          <w:b/>
          <w:bCs/>
          <w:lang w:val="en-GB"/>
        </w:rPr>
        <w:t xml:space="preserve">Is </w:t>
      </w:r>
      <w:r w:rsidR="00C22DE0">
        <w:rPr>
          <w:rFonts w:ascii="Verdana" w:hAnsi="Verdana"/>
          <w:b/>
          <w:bCs/>
          <w:lang w:val="en-GB"/>
        </w:rPr>
        <w:t>a</w:t>
      </w:r>
      <w:r w:rsidR="00C315DD">
        <w:rPr>
          <w:rFonts w:ascii="Verdana" w:hAnsi="Verdana"/>
          <w:b/>
          <w:bCs/>
          <w:lang w:val="en-GB"/>
        </w:rPr>
        <w:t>bstinence</w:t>
      </w:r>
      <w:r w:rsidR="00C22DE0">
        <w:rPr>
          <w:rFonts w:ascii="Verdana" w:hAnsi="Verdana"/>
          <w:b/>
          <w:bCs/>
          <w:lang w:val="en-GB"/>
        </w:rPr>
        <w:t xml:space="preserve"> SMART (smart, measurable, achievable, realistic and timely)</w:t>
      </w:r>
      <w:r w:rsidR="00C315DD">
        <w:rPr>
          <w:rFonts w:ascii="Verdana" w:hAnsi="Verdana"/>
          <w:b/>
          <w:bCs/>
          <w:lang w:val="en-GB"/>
        </w:rPr>
        <w:t xml:space="preserve">. </w:t>
      </w:r>
    </w:p>
    <w:p w14:paraId="54B37303" w14:textId="4358A3B6" w:rsidR="00322BB2" w:rsidRDefault="002842CF" w:rsidP="00322BB2">
      <w:pPr>
        <w:rPr>
          <w:rFonts w:ascii="Verdana" w:hAnsi="Verdana"/>
          <w:lang w:val="en-GB"/>
        </w:rPr>
      </w:pPr>
      <w:r>
        <w:rPr>
          <w:rFonts w:ascii="Verdana" w:hAnsi="Verdana"/>
          <w:lang w:val="en-GB"/>
        </w:rPr>
        <w:t xml:space="preserve">Insisting on abstinence, </w:t>
      </w:r>
      <w:r w:rsidR="00322BB2" w:rsidRPr="00322BB2">
        <w:rPr>
          <w:rFonts w:ascii="Verdana" w:hAnsi="Verdana"/>
          <w:lang w:val="en-GB"/>
        </w:rPr>
        <w:t>may create a barrier for individuals seeking timely assessment, especially if they are motivated to address memory concerns. Without access to cognitive assessments, some may delay seeking help or be misjudged by other services.</w:t>
      </w:r>
    </w:p>
    <w:p w14:paraId="3E7A2B1E" w14:textId="77777777" w:rsidR="00DE44C2" w:rsidRDefault="00DE44C2" w:rsidP="00DE44C2">
      <w:pPr>
        <w:rPr>
          <w:rFonts w:ascii="Verdana" w:hAnsi="Verdana"/>
          <w:b/>
          <w:bCs/>
          <w:lang w:val="en-GB"/>
        </w:rPr>
      </w:pPr>
      <w:r w:rsidRPr="00217FC9">
        <w:rPr>
          <w:rFonts w:ascii="Verdana" w:hAnsi="Verdana"/>
          <w:b/>
          <w:bCs/>
          <w:lang w:val="en-GB"/>
        </w:rPr>
        <w:t>Prognosis</w:t>
      </w:r>
    </w:p>
    <w:p w14:paraId="2EED72B0" w14:textId="2E3F8D8E" w:rsidR="00143990" w:rsidRDefault="00DE44C2" w:rsidP="00143990">
      <w:pPr>
        <w:rPr>
          <w:rFonts w:ascii="Verdana" w:hAnsi="Verdana"/>
        </w:rPr>
      </w:pPr>
      <w:r w:rsidRPr="00D93E08">
        <w:rPr>
          <w:rFonts w:ascii="Verdana" w:hAnsi="Verdana"/>
        </w:rPr>
        <w:t xml:space="preserve">Individuals with </w:t>
      </w:r>
      <w:r w:rsidR="002E20B4">
        <w:rPr>
          <w:rFonts w:ascii="Verdana" w:hAnsi="Verdana"/>
        </w:rPr>
        <w:t>ARBI</w:t>
      </w:r>
      <w:r w:rsidRPr="00D93E08">
        <w:rPr>
          <w:rFonts w:ascii="Verdana" w:hAnsi="Verdana"/>
        </w:rPr>
        <w:t xml:space="preserve"> represent a population whose healthcare needs often go unmet</w:t>
      </w:r>
      <w:r>
        <w:rPr>
          <w:rFonts w:ascii="Verdana" w:hAnsi="Verdana"/>
        </w:rPr>
        <w:t xml:space="preserve"> (</w:t>
      </w:r>
      <w:r w:rsidRPr="00086990">
        <w:rPr>
          <w:rFonts w:ascii="Verdana" w:hAnsi="Verdana"/>
        </w:rPr>
        <w:t xml:space="preserve">Quelch, Roderique-Davies, </w:t>
      </w:r>
      <w:r w:rsidR="00417CEA">
        <w:rPr>
          <w:rFonts w:ascii="Verdana" w:hAnsi="Verdana"/>
        </w:rPr>
        <w:t>and</w:t>
      </w:r>
      <w:r w:rsidRPr="00086990">
        <w:rPr>
          <w:rFonts w:ascii="Verdana" w:hAnsi="Verdana"/>
        </w:rPr>
        <w:t xml:space="preserve"> John, 2023)</w:t>
      </w:r>
      <w:r w:rsidR="00922759">
        <w:rPr>
          <w:rFonts w:ascii="Verdana" w:hAnsi="Verdana"/>
        </w:rPr>
        <w:t>, as m</w:t>
      </w:r>
      <w:r w:rsidR="00922759" w:rsidRPr="00922759">
        <w:rPr>
          <w:rFonts w:ascii="Verdana" w:hAnsi="Verdana"/>
        </w:rPr>
        <w:t>any clinicians and the public still lack awareness of ARB</w:t>
      </w:r>
      <w:r w:rsidR="00922759">
        <w:rPr>
          <w:rFonts w:ascii="Verdana" w:hAnsi="Verdana"/>
        </w:rPr>
        <w:t>I</w:t>
      </w:r>
      <w:r w:rsidR="00922759" w:rsidRPr="00922759">
        <w:rPr>
          <w:rFonts w:ascii="Verdana" w:hAnsi="Verdana"/>
        </w:rPr>
        <w:t>. Many affected individuals are socially isolated, avoid healthcare, and remain undiagnosed for life</w:t>
      </w:r>
      <w:r w:rsidR="005510B9">
        <w:rPr>
          <w:rFonts w:ascii="Verdana" w:hAnsi="Verdana"/>
        </w:rPr>
        <w:t xml:space="preserve"> (alcoholchange.org.uk, 2025). </w:t>
      </w:r>
      <w:r w:rsidR="00143990" w:rsidRPr="00FA5E2E">
        <w:rPr>
          <w:rFonts w:ascii="Verdana" w:hAnsi="Verdana"/>
        </w:rPr>
        <w:t>Th</w:t>
      </w:r>
      <w:r w:rsidR="00143990">
        <w:rPr>
          <w:rFonts w:ascii="Verdana" w:hAnsi="Verdana"/>
        </w:rPr>
        <w:t>is is</w:t>
      </w:r>
      <w:r w:rsidR="00143990" w:rsidRPr="00FA5E2E">
        <w:rPr>
          <w:rFonts w:ascii="Verdana" w:hAnsi="Verdana"/>
        </w:rPr>
        <w:t xml:space="preserve"> a critical and often overlooked group. </w:t>
      </w:r>
      <w:r w:rsidR="00143990">
        <w:rPr>
          <w:rFonts w:ascii="Verdana" w:hAnsi="Verdana"/>
        </w:rPr>
        <w:t xml:space="preserve">The impact not only on the individual but also on their social and environmental networks who surround them. </w:t>
      </w:r>
    </w:p>
    <w:p w14:paraId="4855394C" w14:textId="6784EA77" w:rsidR="00DE44C2" w:rsidRDefault="00DE44C2" w:rsidP="00DE44C2">
      <w:pPr>
        <w:rPr>
          <w:rFonts w:ascii="Verdana" w:hAnsi="Verdana"/>
        </w:rPr>
      </w:pPr>
      <w:r>
        <w:rPr>
          <w:rFonts w:ascii="Verdana" w:hAnsi="Verdana"/>
        </w:rPr>
        <w:t>The Blue Light approach recognises that c</w:t>
      </w:r>
      <w:r w:rsidRPr="00012683">
        <w:rPr>
          <w:rFonts w:ascii="Verdana" w:hAnsi="Verdana"/>
        </w:rPr>
        <w:t>ognitive impairment is very common in dependent drinkers</w:t>
      </w:r>
      <w:r>
        <w:rPr>
          <w:rFonts w:ascii="Verdana" w:hAnsi="Verdana"/>
        </w:rPr>
        <w:t>, which may be due to an accumulation of brain injury and or trauma</w:t>
      </w:r>
      <w:r w:rsidR="005A5461">
        <w:rPr>
          <w:rFonts w:ascii="Verdana" w:hAnsi="Verdana"/>
        </w:rPr>
        <w:t>,</w:t>
      </w:r>
      <w:r w:rsidR="00A84326">
        <w:rPr>
          <w:rFonts w:ascii="Verdana" w:hAnsi="Verdana"/>
        </w:rPr>
        <w:t xml:space="preserve"> </w:t>
      </w:r>
      <w:r w:rsidR="005A5461">
        <w:rPr>
          <w:rFonts w:ascii="Verdana" w:hAnsi="Verdana"/>
        </w:rPr>
        <w:t>intensifying</w:t>
      </w:r>
      <w:r>
        <w:rPr>
          <w:rFonts w:ascii="Verdana" w:hAnsi="Verdana"/>
        </w:rPr>
        <w:t xml:space="preserve"> the impairment and causing increasing brain damage</w:t>
      </w:r>
      <w:r w:rsidR="00F304C9">
        <w:rPr>
          <w:rFonts w:ascii="Verdana" w:hAnsi="Verdana"/>
        </w:rPr>
        <w:t>. As a person with AUD</w:t>
      </w:r>
      <w:r>
        <w:rPr>
          <w:rFonts w:ascii="Verdana" w:hAnsi="Verdana"/>
        </w:rPr>
        <w:t xml:space="preserve"> continu</w:t>
      </w:r>
      <w:r w:rsidR="00F304C9">
        <w:rPr>
          <w:rFonts w:ascii="Verdana" w:hAnsi="Verdana"/>
        </w:rPr>
        <w:t>es</w:t>
      </w:r>
      <w:r>
        <w:rPr>
          <w:rFonts w:ascii="Verdana" w:hAnsi="Verdana"/>
        </w:rPr>
        <w:t xml:space="preserve"> to spiral downwardly,</w:t>
      </w:r>
      <w:r w:rsidR="00F304C9">
        <w:rPr>
          <w:rFonts w:ascii="Verdana" w:hAnsi="Verdana"/>
        </w:rPr>
        <w:t xml:space="preserve"> it</w:t>
      </w:r>
      <w:r>
        <w:rPr>
          <w:rFonts w:ascii="Verdana" w:hAnsi="Verdana"/>
        </w:rPr>
        <w:t xml:space="preserve"> </w:t>
      </w:r>
      <w:r w:rsidR="00F304C9">
        <w:rPr>
          <w:rFonts w:ascii="Verdana" w:hAnsi="Verdana"/>
        </w:rPr>
        <w:t xml:space="preserve">becomes </w:t>
      </w:r>
      <w:r>
        <w:rPr>
          <w:rFonts w:ascii="Verdana" w:hAnsi="Verdana"/>
        </w:rPr>
        <w:t>harder to engage in recovery</w:t>
      </w:r>
      <w:r w:rsidR="00F304C9">
        <w:rPr>
          <w:rFonts w:ascii="Verdana" w:hAnsi="Verdana"/>
        </w:rPr>
        <w:t xml:space="preserve">, </w:t>
      </w:r>
      <w:r>
        <w:rPr>
          <w:rFonts w:ascii="Verdana" w:hAnsi="Verdana"/>
        </w:rPr>
        <w:t xml:space="preserve">increasing </w:t>
      </w:r>
      <w:r w:rsidR="00F304C9">
        <w:rPr>
          <w:rFonts w:ascii="Verdana" w:hAnsi="Verdana"/>
        </w:rPr>
        <w:t xml:space="preserve">the </w:t>
      </w:r>
      <w:r>
        <w:rPr>
          <w:rFonts w:ascii="Verdana" w:hAnsi="Verdana"/>
        </w:rPr>
        <w:t>risk of further damage from issues such as c</w:t>
      </w:r>
      <w:r w:rsidRPr="00FA5B15">
        <w:rPr>
          <w:rFonts w:ascii="Verdana" w:hAnsi="Verdana"/>
        </w:rPr>
        <w:t xml:space="preserve">erebrovascular </w:t>
      </w:r>
      <w:r>
        <w:rPr>
          <w:rFonts w:ascii="Verdana" w:hAnsi="Verdana"/>
        </w:rPr>
        <w:t>a</w:t>
      </w:r>
      <w:r w:rsidRPr="00FA5B15">
        <w:rPr>
          <w:rFonts w:ascii="Verdana" w:hAnsi="Verdana"/>
        </w:rPr>
        <w:t xml:space="preserve">ccident </w:t>
      </w:r>
      <w:r>
        <w:rPr>
          <w:rFonts w:ascii="Verdana" w:hAnsi="Verdana"/>
        </w:rPr>
        <w:t>(CVA)or sleep deprivation</w:t>
      </w:r>
      <w:r w:rsidR="005742E3">
        <w:rPr>
          <w:rFonts w:ascii="Verdana" w:hAnsi="Verdana"/>
        </w:rPr>
        <w:t xml:space="preserve"> </w:t>
      </w:r>
      <w:r w:rsidR="005742E3" w:rsidRPr="005742E3">
        <w:rPr>
          <w:rFonts w:ascii="Verdana" w:hAnsi="Verdana"/>
        </w:rPr>
        <w:t>(Alcoholchange.org.uk, 2025)</w:t>
      </w:r>
      <w:r w:rsidR="005742E3">
        <w:rPr>
          <w:rFonts w:ascii="Verdana" w:hAnsi="Verdana"/>
        </w:rPr>
        <w:t>.</w:t>
      </w:r>
    </w:p>
    <w:p w14:paraId="595CE00E" w14:textId="6E2796C3" w:rsidR="007158F2" w:rsidRPr="00CA15BE" w:rsidRDefault="002C72D9" w:rsidP="003B6107">
      <w:pPr>
        <w:rPr>
          <w:rFonts w:ascii="Verdana" w:hAnsi="Verdana"/>
          <w:lang w:val="en-GB"/>
        </w:rPr>
      </w:pPr>
      <w:r>
        <w:rPr>
          <w:rFonts w:ascii="Verdana" w:hAnsi="Verdana"/>
          <w:lang w:val="en-GB"/>
        </w:rPr>
        <w:t>Potentially</w:t>
      </w:r>
      <w:r w:rsidR="008F76E8">
        <w:rPr>
          <w:rFonts w:ascii="Verdana" w:hAnsi="Verdana"/>
          <w:lang w:val="en-GB"/>
        </w:rPr>
        <w:t>, chronic alcohol inta</w:t>
      </w:r>
      <w:r>
        <w:rPr>
          <w:rFonts w:ascii="Verdana" w:hAnsi="Verdana"/>
          <w:lang w:val="en-GB"/>
        </w:rPr>
        <w:t>ke, increases the r</w:t>
      </w:r>
      <w:r w:rsidR="007158F2" w:rsidRPr="007158F2">
        <w:rPr>
          <w:rFonts w:ascii="Verdana" w:hAnsi="Verdana"/>
          <w:lang w:val="en-GB"/>
        </w:rPr>
        <w:t>isk of development of neurodegenerative disease</w:t>
      </w:r>
      <w:r w:rsidR="008F76E8">
        <w:rPr>
          <w:rFonts w:ascii="Verdana" w:hAnsi="Verdana"/>
          <w:lang w:val="en-GB"/>
        </w:rPr>
        <w:t xml:space="preserve"> due to</w:t>
      </w:r>
      <w:r w:rsidR="00331469">
        <w:rPr>
          <w:rFonts w:ascii="Verdana" w:hAnsi="Verdana"/>
          <w:lang w:val="en-GB"/>
        </w:rPr>
        <w:t xml:space="preserve"> r</w:t>
      </w:r>
      <w:r w:rsidR="007158F2" w:rsidRPr="007158F2">
        <w:rPr>
          <w:rFonts w:ascii="Verdana" w:hAnsi="Verdana"/>
          <w:lang w:val="en-GB"/>
        </w:rPr>
        <w:t>educed dopamine</w:t>
      </w:r>
      <w:r>
        <w:rPr>
          <w:rFonts w:ascii="Verdana" w:hAnsi="Verdana"/>
          <w:lang w:val="en-GB"/>
        </w:rPr>
        <w:t xml:space="preserve"> and</w:t>
      </w:r>
      <w:r w:rsidR="007158F2" w:rsidRPr="007158F2">
        <w:rPr>
          <w:rFonts w:ascii="Verdana" w:hAnsi="Verdana"/>
          <w:lang w:val="en-GB"/>
        </w:rPr>
        <w:t xml:space="preserve"> is a known contributory to other conditions</w:t>
      </w:r>
      <w:r w:rsidR="008F76E8">
        <w:rPr>
          <w:rFonts w:ascii="Verdana" w:hAnsi="Verdana"/>
          <w:lang w:val="en-GB"/>
        </w:rPr>
        <w:t xml:space="preserve"> such as </w:t>
      </w:r>
      <w:r w:rsidR="007158F2" w:rsidRPr="007158F2">
        <w:rPr>
          <w:rFonts w:ascii="Verdana" w:hAnsi="Verdana"/>
          <w:lang w:val="en-GB"/>
        </w:rPr>
        <w:t>Alzheimer’s</w:t>
      </w:r>
      <w:r>
        <w:rPr>
          <w:rFonts w:ascii="Verdana" w:hAnsi="Verdana"/>
          <w:lang w:val="en-GB"/>
        </w:rPr>
        <w:t xml:space="preserve"> Disease</w:t>
      </w:r>
      <w:r w:rsidR="007158F2" w:rsidRPr="007158F2">
        <w:rPr>
          <w:rFonts w:ascii="Verdana" w:hAnsi="Verdana"/>
          <w:lang w:val="en-GB"/>
        </w:rPr>
        <w:t xml:space="preserve"> and Parkinson’s disease (Kamal, Tan, Ibrahim, Shaikh, Mohamed, Mohamed, Hamid, </w:t>
      </w:r>
      <w:proofErr w:type="spellStart"/>
      <w:r w:rsidR="007158F2" w:rsidRPr="007158F2">
        <w:rPr>
          <w:rFonts w:ascii="Verdana" w:hAnsi="Verdana"/>
          <w:lang w:val="en-GB"/>
        </w:rPr>
        <w:t>Ugusman</w:t>
      </w:r>
      <w:proofErr w:type="spellEnd"/>
      <w:r w:rsidR="007158F2" w:rsidRPr="007158F2">
        <w:rPr>
          <w:rFonts w:ascii="Verdana" w:hAnsi="Verdana"/>
          <w:lang w:val="en-GB"/>
        </w:rPr>
        <w:t xml:space="preserve">, </w:t>
      </w:r>
      <w:r w:rsidR="00417CEA">
        <w:rPr>
          <w:rFonts w:ascii="Verdana" w:hAnsi="Verdana"/>
          <w:lang w:val="en-GB"/>
        </w:rPr>
        <w:t xml:space="preserve">and </w:t>
      </w:r>
      <w:r w:rsidR="007158F2" w:rsidRPr="007158F2">
        <w:rPr>
          <w:rFonts w:ascii="Verdana" w:hAnsi="Verdana"/>
          <w:lang w:val="en-GB"/>
        </w:rPr>
        <w:t>Kumar, 2020).</w:t>
      </w:r>
      <w:r w:rsidR="00652DB7">
        <w:rPr>
          <w:rFonts w:ascii="Verdana" w:hAnsi="Verdana"/>
          <w:lang w:val="en-GB"/>
        </w:rPr>
        <w:t xml:space="preserve"> </w:t>
      </w:r>
    </w:p>
    <w:p w14:paraId="7AA528F7" w14:textId="6DE91EBE" w:rsidR="004B315D" w:rsidRDefault="004B315D" w:rsidP="004B315D">
      <w:pPr>
        <w:rPr>
          <w:rFonts w:ascii="Verdana" w:hAnsi="Verdana"/>
          <w:lang w:val="en-GB"/>
        </w:rPr>
      </w:pPr>
      <w:r>
        <w:rPr>
          <w:rFonts w:ascii="Verdana" w:hAnsi="Verdana"/>
          <w:lang w:val="en-GB"/>
        </w:rPr>
        <w:t>There is an i</w:t>
      </w:r>
      <w:r w:rsidRPr="004B315D">
        <w:rPr>
          <w:rFonts w:ascii="Verdana" w:hAnsi="Verdana"/>
          <w:lang w:val="en-GB"/>
        </w:rPr>
        <w:t xml:space="preserve">nconsistency in how </w:t>
      </w:r>
      <w:r>
        <w:rPr>
          <w:rFonts w:ascii="Verdana" w:hAnsi="Verdana"/>
          <w:lang w:val="en-GB"/>
        </w:rPr>
        <w:t xml:space="preserve">a complete </w:t>
      </w:r>
      <w:r w:rsidRPr="004B315D">
        <w:rPr>
          <w:rFonts w:ascii="Verdana" w:hAnsi="Verdana"/>
          <w:lang w:val="en-GB"/>
        </w:rPr>
        <w:t xml:space="preserve">systems approach </w:t>
      </w:r>
      <w:r w:rsidR="00393607">
        <w:rPr>
          <w:rFonts w:ascii="Verdana" w:hAnsi="Verdana"/>
          <w:lang w:val="en-GB"/>
        </w:rPr>
        <w:t xml:space="preserve">treat and support </w:t>
      </w:r>
      <w:r w:rsidRPr="004B315D">
        <w:rPr>
          <w:rFonts w:ascii="Verdana" w:hAnsi="Verdana"/>
          <w:lang w:val="en-GB"/>
        </w:rPr>
        <w:t>different health conditions. If a person with cancer who continues smoking is still given treatment, then a person with Alcohol Use Disorder (AUD)</w:t>
      </w:r>
      <w:r w:rsidR="00EE1DAE">
        <w:rPr>
          <w:rFonts w:ascii="Verdana" w:hAnsi="Verdana"/>
          <w:lang w:val="en-GB"/>
        </w:rPr>
        <w:t xml:space="preserve"> who are exhibiting symptoms of ARBI,</w:t>
      </w:r>
      <w:r w:rsidRPr="004B315D">
        <w:rPr>
          <w:rFonts w:ascii="Verdana" w:hAnsi="Verdana"/>
          <w:lang w:val="en-GB"/>
        </w:rPr>
        <w:t xml:space="preserve"> should similarly receive cognitive assessments and support, even if they continue to drink.</w:t>
      </w:r>
    </w:p>
    <w:p w14:paraId="209CD003" w14:textId="59FDEC48" w:rsidR="00CB1757" w:rsidRPr="00CB1757" w:rsidRDefault="00CB1757" w:rsidP="00CB1757">
      <w:pPr>
        <w:rPr>
          <w:rFonts w:ascii="Verdana" w:hAnsi="Verdana"/>
          <w:lang w:val="en-GB"/>
        </w:rPr>
      </w:pPr>
      <w:r w:rsidRPr="00CB1757">
        <w:rPr>
          <w:rFonts w:ascii="Verdana" w:hAnsi="Verdana"/>
          <w:lang w:val="en-GB"/>
        </w:rPr>
        <w:t xml:space="preserve">This inconsistent and discriminatory approach is not only medically unsound but also stands in direct violation of the Hippocratic Oath, which compels healthcare providers to treat all patients to the best of their ability, without bias or </w:t>
      </w:r>
      <w:r w:rsidRPr="00CB1757">
        <w:rPr>
          <w:rFonts w:ascii="Verdana" w:hAnsi="Verdana"/>
          <w:lang w:val="en-GB"/>
        </w:rPr>
        <w:lastRenderedPageBreak/>
        <w:t>prejudice. Denying individuals with AUD</w:t>
      </w:r>
      <w:r w:rsidR="009772F0">
        <w:rPr>
          <w:rFonts w:ascii="Verdana" w:hAnsi="Verdana"/>
          <w:lang w:val="en-GB"/>
        </w:rPr>
        <w:t xml:space="preserve"> and potential ARBI,</w:t>
      </w:r>
      <w:r w:rsidRPr="00CB1757">
        <w:rPr>
          <w:rFonts w:ascii="Verdana" w:hAnsi="Verdana"/>
          <w:lang w:val="en-GB"/>
        </w:rPr>
        <w:t xml:space="preserve"> access to cognitive assessments and support neglects the fundamental principle of 'do no harm' and instead exacerbates their suffering.</w:t>
      </w:r>
    </w:p>
    <w:p w14:paraId="70AD247A" w14:textId="07634807" w:rsidR="00785081" w:rsidRDefault="00785081" w:rsidP="00785081">
      <w:pPr>
        <w:rPr>
          <w:rFonts w:ascii="Verdana" w:hAnsi="Verdana"/>
        </w:rPr>
      </w:pPr>
      <w:r>
        <w:rPr>
          <w:rFonts w:ascii="Verdana" w:hAnsi="Verdana"/>
        </w:rPr>
        <w:t>S</w:t>
      </w:r>
      <w:r w:rsidRPr="007C613E">
        <w:rPr>
          <w:rFonts w:ascii="Verdana" w:hAnsi="Verdana"/>
        </w:rPr>
        <w:t>tud</w:t>
      </w:r>
      <w:r>
        <w:rPr>
          <w:rFonts w:ascii="Verdana" w:hAnsi="Verdana"/>
        </w:rPr>
        <w:t>ies</w:t>
      </w:r>
      <w:r w:rsidRPr="007C613E">
        <w:rPr>
          <w:rFonts w:ascii="Verdana" w:hAnsi="Verdana"/>
        </w:rPr>
        <w:t xml:space="preserve"> suggests that the prevalence of any alcohol use and heavy alcohol use during the COVID-19 pandemic (2020 vs. 2018) showed absolute increases of 2.7% (relative increase, 4.0%) and 1.0% (relative increase, 20.2%) and that the increases were sustained in 2022</w:t>
      </w:r>
      <w:r>
        <w:rPr>
          <w:rFonts w:ascii="Verdana" w:hAnsi="Verdana"/>
        </w:rPr>
        <w:t xml:space="preserve"> (</w:t>
      </w:r>
      <w:proofErr w:type="spellStart"/>
      <w:r w:rsidRPr="003F0D9F">
        <w:rPr>
          <w:rFonts w:ascii="Verdana" w:hAnsi="Verdana"/>
        </w:rPr>
        <w:t>Ayyala-Somayajula</w:t>
      </w:r>
      <w:proofErr w:type="spellEnd"/>
      <w:r w:rsidRPr="003F0D9F">
        <w:rPr>
          <w:rFonts w:ascii="Verdana" w:hAnsi="Verdana"/>
        </w:rPr>
        <w:t>, Dodge, Leventhal,</w:t>
      </w:r>
      <w:r>
        <w:rPr>
          <w:rFonts w:ascii="Verdana" w:hAnsi="Verdana"/>
        </w:rPr>
        <w:t xml:space="preserve"> </w:t>
      </w:r>
      <w:proofErr w:type="spellStart"/>
      <w:r w:rsidRPr="003F0D9F">
        <w:rPr>
          <w:rFonts w:ascii="Verdana" w:hAnsi="Verdana"/>
        </w:rPr>
        <w:t>Terrault</w:t>
      </w:r>
      <w:proofErr w:type="spellEnd"/>
      <w:r>
        <w:rPr>
          <w:rFonts w:ascii="Verdana" w:hAnsi="Verdana"/>
        </w:rPr>
        <w:t xml:space="preserve"> </w:t>
      </w:r>
      <w:r w:rsidR="00417CEA">
        <w:rPr>
          <w:rFonts w:ascii="Verdana" w:hAnsi="Verdana"/>
        </w:rPr>
        <w:t>and</w:t>
      </w:r>
      <w:r>
        <w:rPr>
          <w:rFonts w:ascii="Verdana" w:hAnsi="Verdana"/>
        </w:rPr>
        <w:t xml:space="preserve"> </w:t>
      </w:r>
      <w:r w:rsidRPr="003F0D9F">
        <w:rPr>
          <w:rFonts w:ascii="Verdana" w:hAnsi="Verdana"/>
        </w:rPr>
        <w:t>Lee</w:t>
      </w:r>
      <w:r>
        <w:rPr>
          <w:rFonts w:ascii="Verdana" w:hAnsi="Verdana"/>
        </w:rPr>
        <w:t xml:space="preserve">, </w:t>
      </w:r>
      <w:r w:rsidRPr="003F0D9F">
        <w:rPr>
          <w:rFonts w:ascii="Verdana" w:hAnsi="Verdana"/>
        </w:rPr>
        <w:t>2024.</w:t>
      </w:r>
      <w:r>
        <w:rPr>
          <w:rFonts w:ascii="Verdana" w:hAnsi="Verdana"/>
        </w:rPr>
        <w:t>)</w:t>
      </w:r>
      <w:r w:rsidR="00A45A03" w:rsidRPr="00A45A03">
        <w:t xml:space="preserve"> </w:t>
      </w:r>
      <w:r w:rsidR="00A45A03">
        <w:t xml:space="preserve"> </w:t>
      </w:r>
      <w:r w:rsidR="00A45A03" w:rsidRPr="00A45A03">
        <w:rPr>
          <w:rFonts w:ascii="Verdana" w:hAnsi="Verdana"/>
        </w:rPr>
        <w:t xml:space="preserve">In </w:t>
      </w:r>
      <w:r w:rsidR="00A45A03">
        <w:rPr>
          <w:rFonts w:ascii="Verdana" w:hAnsi="Verdana"/>
        </w:rPr>
        <w:t xml:space="preserve">2016, </w:t>
      </w:r>
      <w:r w:rsidR="00A45A03" w:rsidRPr="00A45A03">
        <w:rPr>
          <w:rFonts w:ascii="Verdana" w:hAnsi="Verdana"/>
        </w:rPr>
        <w:t>an estimated 589</w:t>
      </w:r>
      <w:r w:rsidR="00A45A03">
        <w:rPr>
          <w:rFonts w:ascii="Verdana" w:hAnsi="Verdana"/>
        </w:rPr>
        <w:t>,</w:t>
      </w:r>
      <w:r w:rsidR="00A45A03" w:rsidRPr="00A45A03">
        <w:rPr>
          <w:rFonts w:ascii="Verdana" w:hAnsi="Verdana"/>
        </w:rPr>
        <w:t>101 adults</w:t>
      </w:r>
      <w:r w:rsidR="00A45A03">
        <w:rPr>
          <w:rFonts w:ascii="Verdana" w:hAnsi="Verdana"/>
        </w:rPr>
        <w:t xml:space="preserve"> in England were </w:t>
      </w:r>
      <w:r w:rsidR="00A45A03" w:rsidRPr="00A45A03">
        <w:rPr>
          <w:rFonts w:ascii="Verdana" w:hAnsi="Verdana"/>
        </w:rPr>
        <w:t>alcohol-</w:t>
      </w:r>
      <w:proofErr w:type="gramStart"/>
      <w:r w:rsidR="00A45A03" w:rsidRPr="00A45A03">
        <w:rPr>
          <w:rFonts w:ascii="Verdana" w:hAnsi="Verdana"/>
        </w:rPr>
        <w:t>dependent</w:t>
      </w:r>
      <w:r w:rsidR="00A45A03">
        <w:rPr>
          <w:rFonts w:ascii="Verdana" w:hAnsi="Verdana"/>
        </w:rPr>
        <w:t xml:space="preserve">( </w:t>
      </w:r>
      <w:r w:rsidR="00C012D9" w:rsidRPr="00C012D9">
        <w:rPr>
          <w:rFonts w:ascii="Verdana" w:hAnsi="Verdana"/>
        </w:rPr>
        <w:t>Burton</w:t>
      </w:r>
      <w:proofErr w:type="gramEnd"/>
      <w:r w:rsidR="00C012D9" w:rsidRPr="00C012D9">
        <w:rPr>
          <w:rFonts w:ascii="Verdana" w:hAnsi="Verdana"/>
        </w:rPr>
        <w:t>, Henn, Lavoie, O'Connor, Perkins, Sweeney, Greaves,</w:t>
      </w:r>
      <w:r w:rsidR="00C012D9">
        <w:rPr>
          <w:rFonts w:ascii="Verdana" w:hAnsi="Verdana"/>
        </w:rPr>
        <w:t xml:space="preserve"> </w:t>
      </w:r>
      <w:r w:rsidR="00C012D9" w:rsidRPr="00C012D9">
        <w:rPr>
          <w:rFonts w:ascii="Verdana" w:hAnsi="Verdana"/>
        </w:rPr>
        <w:t>Ferguson, Beynon,</w:t>
      </w:r>
      <w:r w:rsidR="00C012D9">
        <w:rPr>
          <w:rFonts w:ascii="Verdana" w:hAnsi="Verdana"/>
        </w:rPr>
        <w:t xml:space="preserve"> </w:t>
      </w:r>
      <w:r w:rsidR="00C012D9" w:rsidRPr="00C012D9">
        <w:rPr>
          <w:rFonts w:ascii="Verdana" w:hAnsi="Verdana"/>
        </w:rPr>
        <w:t>Belloni, and Musto, 2016</w:t>
      </w:r>
      <w:r w:rsidR="00C012D9">
        <w:rPr>
          <w:rFonts w:ascii="Verdana" w:hAnsi="Verdana"/>
        </w:rPr>
        <w:t xml:space="preserve">), </w:t>
      </w:r>
      <w:r w:rsidR="00315A0C">
        <w:rPr>
          <w:rFonts w:ascii="Verdana" w:hAnsi="Verdana"/>
        </w:rPr>
        <w:t xml:space="preserve">If the increase </w:t>
      </w:r>
      <w:r w:rsidR="00C012D9">
        <w:rPr>
          <w:rFonts w:ascii="Verdana" w:hAnsi="Verdana"/>
        </w:rPr>
        <w:t xml:space="preserve">continues, then the impact and burden we are experiencing now, only has the </w:t>
      </w:r>
      <w:r w:rsidR="00BE6487">
        <w:rPr>
          <w:rFonts w:ascii="Verdana" w:hAnsi="Verdana"/>
        </w:rPr>
        <w:t xml:space="preserve">potential to </w:t>
      </w:r>
      <w:r w:rsidR="00C012D9">
        <w:rPr>
          <w:rFonts w:ascii="Verdana" w:hAnsi="Verdana"/>
        </w:rPr>
        <w:t>worsen</w:t>
      </w:r>
      <w:r w:rsidR="00754F45">
        <w:rPr>
          <w:rFonts w:ascii="Verdana" w:hAnsi="Verdana"/>
        </w:rPr>
        <w:t>, (</w:t>
      </w:r>
      <w:r w:rsidR="00754F45" w:rsidRPr="00754F45">
        <w:rPr>
          <w:rFonts w:ascii="Verdana" w:hAnsi="Verdana"/>
        </w:rPr>
        <w:t xml:space="preserve">Quelch, Roderique-Davies and John, </w:t>
      </w:r>
      <w:r w:rsidR="00754F45">
        <w:rPr>
          <w:rFonts w:ascii="Verdana" w:hAnsi="Verdana"/>
        </w:rPr>
        <w:t>2</w:t>
      </w:r>
      <w:r w:rsidR="00754F45" w:rsidRPr="00754F45">
        <w:rPr>
          <w:rFonts w:ascii="Verdana" w:hAnsi="Verdana"/>
        </w:rPr>
        <w:t>023</w:t>
      </w:r>
      <w:r w:rsidR="00754F45">
        <w:rPr>
          <w:rFonts w:ascii="Verdana" w:hAnsi="Verdana"/>
        </w:rPr>
        <w:t>)</w:t>
      </w:r>
    </w:p>
    <w:p w14:paraId="162D50F5" w14:textId="77777777" w:rsidR="00C96D8C" w:rsidRPr="00A358C1" w:rsidRDefault="00C96D8C" w:rsidP="00C96D8C">
      <w:pPr>
        <w:rPr>
          <w:rFonts w:ascii="Verdana" w:hAnsi="Verdana"/>
          <w:b/>
          <w:bCs/>
          <w:lang w:val="en-GB"/>
        </w:rPr>
      </w:pPr>
      <w:r w:rsidRPr="00A358C1">
        <w:rPr>
          <w:rFonts w:ascii="Verdana" w:hAnsi="Verdana"/>
          <w:b/>
          <w:bCs/>
          <w:lang w:val="en-GB"/>
        </w:rPr>
        <w:t>Clarifying ARBI vs Dementia</w:t>
      </w:r>
    </w:p>
    <w:p w14:paraId="0EC77DAF" w14:textId="548C50B3" w:rsidR="00C96D8C" w:rsidRPr="00C96D8C" w:rsidRDefault="00C96D8C" w:rsidP="00785081">
      <w:pPr>
        <w:rPr>
          <w:rFonts w:ascii="Verdana" w:hAnsi="Verdana"/>
          <w:lang w:val="en-GB"/>
        </w:rPr>
      </w:pPr>
      <w:r w:rsidRPr="00E3522C">
        <w:rPr>
          <w:rFonts w:ascii="Verdana" w:hAnsi="Verdana"/>
          <w:lang w:val="en-GB"/>
        </w:rPr>
        <w:t>Unlike dementia, ARBI is not always progressive or irreversible. A significant proportion (up to 75%) of individuals show improvement with abstinence, nutritional support, and cognitive rehabilitation.</w:t>
      </w:r>
      <w:r>
        <w:rPr>
          <w:rFonts w:ascii="Verdana" w:hAnsi="Verdana"/>
          <w:lang w:val="en-GB"/>
        </w:rPr>
        <w:t xml:space="preserve"> (</w:t>
      </w:r>
      <w:r w:rsidRPr="00CE4725">
        <w:rPr>
          <w:rFonts w:ascii="Verdana" w:hAnsi="Verdana"/>
          <w:lang w:val="en-GB"/>
        </w:rPr>
        <w:t>alcoholchange.org.uk</w:t>
      </w:r>
      <w:r>
        <w:rPr>
          <w:rFonts w:ascii="Verdana" w:hAnsi="Verdana"/>
          <w:lang w:val="en-GB"/>
        </w:rPr>
        <w:t>, 2025).</w:t>
      </w:r>
    </w:p>
    <w:p w14:paraId="54D2E29B" w14:textId="77777777" w:rsidR="006F745E" w:rsidRPr="00BB608B" w:rsidRDefault="006F745E" w:rsidP="006F745E">
      <w:pPr>
        <w:rPr>
          <w:rFonts w:ascii="Verdana" w:hAnsi="Verdana"/>
          <w:b/>
          <w:bCs/>
          <w:lang w:val="en-GB"/>
        </w:rPr>
      </w:pPr>
      <w:r>
        <w:rPr>
          <w:rFonts w:ascii="Verdana" w:hAnsi="Verdana"/>
          <w:b/>
          <w:bCs/>
          <w:lang w:val="en-GB"/>
        </w:rPr>
        <w:t>S</w:t>
      </w:r>
      <w:r w:rsidRPr="00BB608B">
        <w:rPr>
          <w:rFonts w:ascii="Verdana" w:hAnsi="Verdana"/>
          <w:b/>
          <w:bCs/>
          <w:lang w:val="en-GB"/>
        </w:rPr>
        <w:t>upporting the 25%: A Compassionate and Comprehensive Approach</w:t>
      </w:r>
    </w:p>
    <w:p w14:paraId="394C3FC2" w14:textId="77777777" w:rsidR="006F745E" w:rsidRPr="00217FC9" w:rsidRDefault="006F745E" w:rsidP="006F745E">
      <w:pPr>
        <w:rPr>
          <w:rFonts w:ascii="Verdana" w:hAnsi="Verdana"/>
          <w:b/>
          <w:bCs/>
          <w:lang w:val="en-GB"/>
        </w:rPr>
      </w:pPr>
      <w:r w:rsidRPr="00BB608B">
        <w:rPr>
          <w:rFonts w:ascii="Verdana" w:hAnsi="Verdana"/>
          <w:b/>
          <w:bCs/>
          <w:lang w:val="en-GB"/>
        </w:rPr>
        <w:t>Challenges Faced by Those with Severe or Non-Recoverable ARB</w:t>
      </w:r>
      <w:r>
        <w:rPr>
          <w:rFonts w:ascii="Verdana" w:hAnsi="Verdana"/>
          <w:b/>
          <w:bCs/>
          <w:lang w:val="en-GB"/>
        </w:rPr>
        <w:t>I</w:t>
      </w:r>
    </w:p>
    <w:p w14:paraId="3D36BB16" w14:textId="77777777" w:rsidR="006F745E" w:rsidRPr="00E3522C" w:rsidRDefault="006F745E" w:rsidP="006F745E">
      <w:pPr>
        <w:rPr>
          <w:rFonts w:ascii="Verdana" w:hAnsi="Verdana"/>
          <w:lang w:val="en-GB"/>
        </w:rPr>
      </w:pPr>
      <w:r>
        <w:rPr>
          <w:rFonts w:ascii="Verdana" w:hAnsi="Verdana"/>
          <w:lang w:val="en-GB"/>
        </w:rPr>
        <w:t xml:space="preserve">However, </w:t>
      </w:r>
      <w:r w:rsidRPr="00E3522C">
        <w:rPr>
          <w:rFonts w:ascii="Verdana" w:hAnsi="Verdana"/>
          <w:lang w:val="en-GB"/>
        </w:rPr>
        <w:t xml:space="preserve">75% is not a complete recovery - </w:t>
      </w:r>
    </w:p>
    <w:p w14:paraId="77B40B03" w14:textId="056F58CE" w:rsidR="006F745E" w:rsidRDefault="006F745E" w:rsidP="006F745E">
      <w:pPr>
        <w:rPr>
          <w:rFonts w:ascii="Verdana" w:hAnsi="Verdana"/>
          <w:lang w:val="en-GB"/>
        </w:rPr>
      </w:pPr>
      <w:r w:rsidRPr="00E3522C">
        <w:rPr>
          <w:rFonts w:ascii="Verdana" w:hAnsi="Verdana"/>
          <w:lang w:val="en-GB"/>
        </w:rPr>
        <w:t>There is an assumption that individuals have the cognitive capability to engage in a change programme</w:t>
      </w:r>
      <w:r>
        <w:rPr>
          <w:rFonts w:ascii="Verdana" w:hAnsi="Verdana"/>
          <w:lang w:val="en-GB"/>
        </w:rPr>
        <w:t>.</w:t>
      </w:r>
      <w:r w:rsidRPr="00E3522C">
        <w:rPr>
          <w:rFonts w:ascii="Verdana" w:hAnsi="Verdana"/>
          <w:lang w:val="en-GB"/>
        </w:rPr>
        <w:t xml:space="preserve"> However, 25% of individuals with ARBI</w:t>
      </w:r>
      <w:r>
        <w:rPr>
          <w:rFonts w:ascii="Verdana" w:hAnsi="Verdana"/>
          <w:lang w:val="en-GB"/>
        </w:rPr>
        <w:t xml:space="preserve">, </w:t>
      </w:r>
      <w:r w:rsidRPr="00E3522C">
        <w:rPr>
          <w:rFonts w:ascii="Verdana" w:hAnsi="Verdana"/>
          <w:lang w:val="en-GB"/>
        </w:rPr>
        <w:t xml:space="preserve">may not recover despite interventions and </w:t>
      </w:r>
      <w:r>
        <w:rPr>
          <w:rFonts w:ascii="Verdana" w:hAnsi="Verdana"/>
          <w:lang w:val="en-GB"/>
        </w:rPr>
        <w:t xml:space="preserve">many </w:t>
      </w:r>
      <w:r w:rsidRPr="00E3522C">
        <w:rPr>
          <w:rFonts w:ascii="Verdana" w:hAnsi="Verdana"/>
          <w:lang w:val="en-GB"/>
        </w:rPr>
        <w:t>face challenges in accessing appropriate long-term support.</w:t>
      </w:r>
      <w:r w:rsidR="000D637D">
        <w:rPr>
          <w:rFonts w:ascii="Verdana" w:hAnsi="Verdana"/>
          <w:lang w:val="en-GB"/>
        </w:rPr>
        <w:t xml:space="preserve"> As previously reported, over 92000 people </w:t>
      </w:r>
      <w:r w:rsidR="00A0661F">
        <w:rPr>
          <w:rFonts w:ascii="Verdana" w:hAnsi="Verdana"/>
          <w:lang w:val="en-GB"/>
        </w:rPr>
        <w:t xml:space="preserve">are living with ARBI (Alzheimer’s society, 2025). </w:t>
      </w:r>
    </w:p>
    <w:p w14:paraId="3D175F32" w14:textId="04D22A14" w:rsidR="00F749F3" w:rsidRDefault="006F745E" w:rsidP="006F745E">
      <w:pPr>
        <w:rPr>
          <w:rFonts w:ascii="Verdana" w:hAnsi="Verdana"/>
          <w:lang w:val="en-GB"/>
        </w:rPr>
      </w:pPr>
      <w:r w:rsidRPr="00473845">
        <w:rPr>
          <w:rFonts w:ascii="Verdana" w:hAnsi="Verdana"/>
          <w:lang w:val="en-GB"/>
        </w:rPr>
        <w:t>ARB</w:t>
      </w:r>
      <w:r>
        <w:rPr>
          <w:rFonts w:ascii="Verdana" w:hAnsi="Verdana"/>
          <w:lang w:val="en-GB"/>
        </w:rPr>
        <w:t>I</w:t>
      </w:r>
      <w:r w:rsidRPr="00473845">
        <w:rPr>
          <w:rFonts w:ascii="Verdana" w:hAnsi="Verdana"/>
          <w:lang w:val="en-GB"/>
        </w:rPr>
        <w:t xml:space="preserve"> may occur after several years of alcohol dependency</w:t>
      </w:r>
      <w:r>
        <w:rPr>
          <w:rFonts w:ascii="Verdana" w:hAnsi="Verdana"/>
          <w:lang w:val="en-GB"/>
        </w:rPr>
        <w:t>, with p</w:t>
      </w:r>
      <w:r w:rsidRPr="00473845">
        <w:rPr>
          <w:rFonts w:ascii="Verdana" w:hAnsi="Verdana"/>
          <w:lang w:val="en-GB"/>
        </w:rPr>
        <w:t xml:space="preserve">resentations of differing degrees and </w:t>
      </w:r>
      <w:r>
        <w:rPr>
          <w:rFonts w:ascii="Verdana" w:hAnsi="Verdana"/>
          <w:lang w:val="en-GB"/>
        </w:rPr>
        <w:t xml:space="preserve">varying </w:t>
      </w:r>
      <w:r w:rsidRPr="00473845">
        <w:rPr>
          <w:rFonts w:ascii="Verdana" w:hAnsi="Verdana"/>
          <w:lang w:val="en-GB"/>
        </w:rPr>
        <w:t xml:space="preserve">nature of cognitive damage </w:t>
      </w:r>
      <w:proofErr w:type="gramStart"/>
      <w:r w:rsidRPr="00473845">
        <w:rPr>
          <w:rFonts w:ascii="Verdana" w:hAnsi="Verdana"/>
          <w:lang w:val="en-GB"/>
        </w:rPr>
        <w:t>as a consequence of</w:t>
      </w:r>
      <w:proofErr w:type="gramEnd"/>
      <w:r w:rsidRPr="00473845">
        <w:rPr>
          <w:rFonts w:ascii="Verdana" w:hAnsi="Verdana"/>
          <w:lang w:val="en-GB"/>
        </w:rPr>
        <w:t xml:space="preserve"> alcohol dependency and/or thiamine deficiency. As there are no specific </w:t>
      </w:r>
      <w:r>
        <w:rPr>
          <w:rFonts w:ascii="Verdana" w:hAnsi="Verdana"/>
          <w:lang w:val="en-GB"/>
        </w:rPr>
        <w:t>tools</w:t>
      </w:r>
      <w:r w:rsidRPr="00473845">
        <w:rPr>
          <w:rFonts w:ascii="Verdana" w:hAnsi="Verdana"/>
          <w:lang w:val="en-GB"/>
        </w:rPr>
        <w:t xml:space="preserve"> validated for the diagnosis of ARB</w:t>
      </w:r>
      <w:r>
        <w:rPr>
          <w:rFonts w:ascii="Verdana" w:hAnsi="Verdana"/>
          <w:lang w:val="en-GB"/>
        </w:rPr>
        <w:t xml:space="preserve">I, achieving diagnosis and pathway to support is very fraught and almost impossible, although </w:t>
      </w:r>
      <w:r w:rsidRPr="00224C61">
        <w:rPr>
          <w:rFonts w:ascii="Verdana" w:hAnsi="Verdana"/>
        </w:rPr>
        <w:t xml:space="preserve">MoCA </w:t>
      </w:r>
      <w:r>
        <w:rPr>
          <w:rFonts w:ascii="Verdana" w:hAnsi="Verdana"/>
        </w:rPr>
        <w:t xml:space="preserve">may be </w:t>
      </w:r>
      <w:r w:rsidRPr="00224C61">
        <w:rPr>
          <w:rFonts w:ascii="Verdana" w:hAnsi="Verdana"/>
        </w:rPr>
        <w:t>an effective clinical tool for determining ARBI</w:t>
      </w:r>
      <w:r w:rsidR="00F749F3">
        <w:rPr>
          <w:rFonts w:ascii="Verdana" w:hAnsi="Verdana"/>
        </w:rPr>
        <w:t xml:space="preserve">, but the </w:t>
      </w:r>
      <w:r>
        <w:rPr>
          <w:rFonts w:ascii="Verdana" w:hAnsi="Verdana"/>
          <w:lang w:val="en-GB"/>
        </w:rPr>
        <w:t xml:space="preserve">the resulting impact of support for </w:t>
      </w:r>
      <w:r w:rsidR="00725B96">
        <w:rPr>
          <w:rFonts w:ascii="Verdana" w:hAnsi="Verdana"/>
          <w:lang w:val="en-GB"/>
        </w:rPr>
        <w:t>these diagnoses</w:t>
      </w:r>
      <w:r w:rsidR="00F749F3">
        <w:rPr>
          <w:rFonts w:ascii="Verdana" w:hAnsi="Verdana"/>
          <w:lang w:val="en-GB"/>
        </w:rPr>
        <w:t xml:space="preserve">, may </w:t>
      </w:r>
      <w:r>
        <w:rPr>
          <w:rFonts w:ascii="Verdana" w:hAnsi="Verdana"/>
          <w:lang w:val="en-GB"/>
        </w:rPr>
        <w:t>le</w:t>
      </w:r>
      <w:r w:rsidR="00F749F3">
        <w:rPr>
          <w:rFonts w:ascii="Verdana" w:hAnsi="Verdana"/>
          <w:lang w:val="en-GB"/>
        </w:rPr>
        <w:t>a</w:t>
      </w:r>
      <w:r>
        <w:rPr>
          <w:rFonts w:ascii="Verdana" w:hAnsi="Verdana"/>
          <w:lang w:val="en-GB"/>
        </w:rPr>
        <w:t>d to a reduction in alcohol consumption and also reduced acute hospital admissions (</w:t>
      </w:r>
      <w:r w:rsidRPr="00F83071">
        <w:rPr>
          <w:rFonts w:ascii="Verdana" w:hAnsi="Verdana"/>
        </w:rPr>
        <w:t>Owens,</w:t>
      </w:r>
      <w:r>
        <w:rPr>
          <w:rFonts w:ascii="Verdana" w:hAnsi="Verdana"/>
        </w:rPr>
        <w:t xml:space="preserve"> </w:t>
      </w:r>
      <w:r w:rsidRPr="00F83071">
        <w:rPr>
          <w:rFonts w:ascii="Verdana" w:hAnsi="Verdana"/>
        </w:rPr>
        <w:t>Thompson,</w:t>
      </w:r>
      <w:r>
        <w:rPr>
          <w:rFonts w:ascii="Verdana" w:hAnsi="Verdana"/>
        </w:rPr>
        <w:t xml:space="preserve"> </w:t>
      </w:r>
      <w:r w:rsidRPr="00F83071">
        <w:rPr>
          <w:rFonts w:ascii="Verdana" w:hAnsi="Verdana"/>
        </w:rPr>
        <w:t>Patterson</w:t>
      </w:r>
      <w:r>
        <w:rPr>
          <w:rFonts w:ascii="Verdana" w:hAnsi="Verdana"/>
        </w:rPr>
        <w:t xml:space="preserve"> and</w:t>
      </w:r>
      <w:r w:rsidR="00F749F3">
        <w:rPr>
          <w:rFonts w:ascii="Verdana" w:hAnsi="Verdana"/>
        </w:rPr>
        <w:t xml:space="preserve"> </w:t>
      </w:r>
      <w:r w:rsidRPr="00F83071">
        <w:rPr>
          <w:rFonts w:ascii="Verdana" w:hAnsi="Verdana"/>
        </w:rPr>
        <w:t>Richardson</w:t>
      </w:r>
      <w:r w:rsidR="00F749F3">
        <w:rPr>
          <w:rFonts w:ascii="Verdana" w:hAnsi="Verdana"/>
        </w:rPr>
        <w:t xml:space="preserve">, </w:t>
      </w:r>
      <w:r w:rsidRPr="00F83071">
        <w:rPr>
          <w:rFonts w:ascii="Verdana" w:hAnsi="Verdana"/>
        </w:rPr>
        <w:t>2019)</w:t>
      </w:r>
      <w:r>
        <w:rPr>
          <w:rFonts w:ascii="Verdana" w:hAnsi="Verdana"/>
          <w:lang w:val="en-GB"/>
        </w:rPr>
        <w:t xml:space="preserve">. </w:t>
      </w:r>
      <w:r w:rsidR="00212C5A" w:rsidRPr="00212C5A">
        <w:rPr>
          <w:rFonts w:ascii="Verdana" w:hAnsi="Verdana"/>
        </w:rPr>
        <w:t>Montreal Cognitive Assessment</w:t>
      </w:r>
      <w:r w:rsidR="00212C5A">
        <w:rPr>
          <w:rFonts w:ascii="Verdana" w:hAnsi="Verdana"/>
        </w:rPr>
        <w:t xml:space="preserve"> (MoCA) is a quick cognitive </w:t>
      </w:r>
      <w:r w:rsidR="00B9312C">
        <w:rPr>
          <w:rFonts w:ascii="Verdana" w:hAnsi="Verdana"/>
        </w:rPr>
        <w:t>screening</w:t>
      </w:r>
      <w:r w:rsidR="00212C5A">
        <w:rPr>
          <w:rFonts w:ascii="Verdana" w:hAnsi="Verdana"/>
        </w:rPr>
        <w:t xml:space="preserve"> tool used to determine </w:t>
      </w:r>
      <w:r w:rsidR="00EE2FCA">
        <w:rPr>
          <w:rFonts w:ascii="Verdana" w:hAnsi="Verdana"/>
        </w:rPr>
        <w:t xml:space="preserve">an individual's cognitive abilities across a range of domains - </w:t>
      </w:r>
      <w:r w:rsidR="00EE2FCA" w:rsidRPr="00EE2FCA">
        <w:rPr>
          <w:rFonts w:ascii="Verdana" w:hAnsi="Verdana"/>
        </w:rPr>
        <w:t xml:space="preserve">cognitive domains: attention and concentration, executive functions, memory, language, </w:t>
      </w:r>
      <w:proofErr w:type="spellStart"/>
      <w:r w:rsidR="00EE2FCA" w:rsidRPr="00EE2FCA">
        <w:rPr>
          <w:rFonts w:ascii="Verdana" w:hAnsi="Verdana"/>
        </w:rPr>
        <w:t>visuoconstructional</w:t>
      </w:r>
      <w:proofErr w:type="spellEnd"/>
      <w:r w:rsidR="00EE2FCA" w:rsidRPr="00EE2FCA">
        <w:rPr>
          <w:rFonts w:ascii="Verdana" w:hAnsi="Verdana"/>
        </w:rPr>
        <w:t xml:space="preserve"> skills, conceptual thinking, calculations, and orientation</w:t>
      </w:r>
      <w:r w:rsidR="00B9312C">
        <w:rPr>
          <w:rFonts w:ascii="Verdana" w:hAnsi="Verdana"/>
        </w:rPr>
        <w:t xml:space="preserve"> (</w:t>
      </w:r>
      <w:r w:rsidR="00824946" w:rsidRPr="00824946">
        <w:rPr>
          <w:rFonts w:ascii="Verdana" w:hAnsi="Verdana"/>
        </w:rPr>
        <w:t>Hobson, J., 201</w:t>
      </w:r>
      <w:r w:rsidR="00824946">
        <w:rPr>
          <w:rFonts w:ascii="Verdana" w:hAnsi="Verdana"/>
        </w:rPr>
        <w:t>5).</w:t>
      </w:r>
    </w:p>
    <w:p w14:paraId="511771FE" w14:textId="66393E49" w:rsidR="006F745E" w:rsidRDefault="006F745E" w:rsidP="006F745E">
      <w:pPr>
        <w:rPr>
          <w:rFonts w:ascii="Verdana" w:hAnsi="Verdana"/>
          <w:lang w:val="en-GB"/>
        </w:rPr>
      </w:pPr>
      <w:r>
        <w:rPr>
          <w:rFonts w:ascii="Verdana" w:hAnsi="Verdana"/>
          <w:lang w:val="en-GB"/>
        </w:rPr>
        <w:t>There is a growing network of professionals, advocating change (</w:t>
      </w:r>
      <w:proofErr w:type="spellStart"/>
      <w:r>
        <w:rPr>
          <w:rFonts w:ascii="Verdana" w:hAnsi="Verdana"/>
          <w:lang w:val="en-GB"/>
        </w:rPr>
        <w:fldChar w:fldCharType="begin"/>
      </w:r>
      <w:r>
        <w:rPr>
          <w:rFonts w:ascii="Verdana" w:hAnsi="Verdana"/>
          <w:lang w:val="en-GB"/>
        </w:rPr>
        <w:instrText>HYPERLINK "</w:instrText>
      </w:r>
      <w:r w:rsidRPr="003413CA">
        <w:rPr>
          <w:rFonts w:ascii="Verdana" w:hAnsi="Verdana"/>
          <w:lang w:val="en-GB"/>
        </w:rPr>
        <w:instrText>https://arbd</w:instrText>
      </w:r>
      <w:r>
        <w:rPr>
          <w:rFonts w:ascii="Verdana" w:hAnsi="Verdana"/>
          <w:lang w:val="en-GB"/>
        </w:rPr>
        <w:instrText>"</w:instrText>
      </w:r>
      <w:r>
        <w:rPr>
          <w:rFonts w:ascii="Verdana" w:hAnsi="Verdana"/>
          <w:lang w:val="en-GB"/>
        </w:rPr>
      </w:r>
      <w:r>
        <w:rPr>
          <w:rFonts w:ascii="Verdana" w:hAnsi="Verdana"/>
          <w:lang w:val="en-GB"/>
        </w:rPr>
        <w:fldChar w:fldCharType="separate"/>
      </w:r>
      <w:r w:rsidRPr="006C72C0">
        <w:rPr>
          <w:rStyle w:val="Hyperlink"/>
          <w:rFonts w:ascii="Verdana" w:hAnsi="Verdana"/>
          <w:lang w:val="en-GB"/>
        </w:rPr>
        <w:t>arbd</w:t>
      </w:r>
      <w:proofErr w:type="spellEnd"/>
      <w:r>
        <w:rPr>
          <w:rFonts w:ascii="Verdana" w:hAnsi="Verdana"/>
          <w:lang w:val="en-GB"/>
        </w:rPr>
        <w:fldChar w:fldCharType="end"/>
      </w:r>
      <w:r>
        <w:rPr>
          <w:rFonts w:ascii="Verdana" w:hAnsi="Verdana"/>
          <w:lang w:val="en-GB"/>
        </w:rPr>
        <w:t xml:space="preserve"> network) with other’s going as far as proposing </w:t>
      </w:r>
      <w:r w:rsidRPr="00CD18E1">
        <w:rPr>
          <w:rFonts w:ascii="Verdana" w:hAnsi="Verdana"/>
        </w:rPr>
        <w:t>strategies</w:t>
      </w:r>
      <w:r>
        <w:rPr>
          <w:rFonts w:ascii="Verdana" w:hAnsi="Verdana"/>
        </w:rPr>
        <w:t xml:space="preserve"> and new models of working</w:t>
      </w:r>
      <w:r>
        <w:rPr>
          <w:rFonts w:ascii="Verdana" w:hAnsi="Verdana"/>
          <w:lang w:val="en-GB"/>
        </w:rPr>
        <w:t xml:space="preserve">, one example of this is the work by Alcohol Change UK (2025) Blue Light approach. </w:t>
      </w:r>
    </w:p>
    <w:p w14:paraId="0B7CF984" w14:textId="233EF5B3" w:rsidR="006F745E" w:rsidRPr="00E53864" w:rsidRDefault="006F745E" w:rsidP="006F745E">
      <w:pPr>
        <w:rPr>
          <w:rFonts w:ascii="Verdana" w:hAnsi="Verdana"/>
          <w:lang w:val="en-GB"/>
        </w:rPr>
      </w:pPr>
      <w:r>
        <w:rPr>
          <w:rFonts w:ascii="Verdana" w:hAnsi="Verdana"/>
        </w:rPr>
        <w:lastRenderedPageBreak/>
        <w:t xml:space="preserve">ARBI </w:t>
      </w:r>
      <w:r w:rsidRPr="00844CDA">
        <w:rPr>
          <w:rFonts w:ascii="Verdana" w:hAnsi="Verdana"/>
        </w:rPr>
        <w:t>can severely affect a person's ability to manage day-to-day tasks</w:t>
      </w:r>
      <w:r>
        <w:rPr>
          <w:rFonts w:ascii="Verdana" w:hAnsi="Verdana"/>
        </w:rPr>
        <w:t xml:space="preserve"> such as cooking a meal or managing money. They may forget to each, pay bills or take medication. Forgetting </w:t>
      </w:r>
      <w:r w:rsidRPr="00E53864">
        <w:rPr>
          <w:rFonts w:ascii="Verdana" w:hAnsi="Verdana"/>
          <w:lang w:val="en-GB"/>
        </w:rPr>
        <w:t>recent events, conversations, or appointments</w:t>
      </w:r>
      <w:r>
        <w:rPr>
          <w:rFonts w:ascii="Verdana" w:hAnsi="Verdana"/>
          <w:lang w:val="en-GB"/>
        </w:rPr>
        <w:t xml:space="preserve"> occur due to memory loss, with poor decision making due to impaired judgement to leading to financial or social difficulties. Personality and mood changes happen, people can become more irritable, apathetic or lose their inhibitions. </w:t>
      </w:r>
      <w:r>
        <w:rPr>
          <w:rFonts w:ascii="Verdana" w:hAnsi="Verdana"/>
        </w:rPr>
        <w:t>T</w:t>
      </w:r>
      <w:r w:rsidRPr="000A76F9">
        <w:rPr>
          <w:rFonts w:ascii="Verdana" w:hAnsi="Verdana"/>
        </w:rPr>
        <w:t>he impact of ARBI on daily life can be severe, often leading to dependence on others for basic needs</w:t>
      </w:r>
      <w:r w:rsidRPr="000A76F9">
        <w:rPr>
          <w:rFonts w:ascii="Verdana" w:hAnsi="Verdana"/>
          <w:lang w:val="en-GB"/>
        </w:rPr>
        <w:t xml:space="preserve"> </w:t>
      </w:r>
      <w:r>
        <w:rPr>
          <w:rFonts w:ascii="Verdana" w:hAnsi="Verdana"/>
          <w:lang w:val="en-GB"/>
        </w:rPr>
        <w:t xml:space="preserve">(Alzheimer’s Society, 2025). This level of dependency highlights the challenge that people face with ARBI to navigate every </w:t>
      </w:r>
      <w:r w:rsidR="00725B96">
        <w:rPr>
          <w:rFonts w:ascii="Verdana" w:hAnsi="Verdana"/>
          <w:lang w:val="en-GB"/>
        </w:rPr>
        <w:t>day-to-day</w:t>
      </w:r>
      <w:r>
        <w:rPr>
          <w:rFonts w:ascii="Verdana" w:hAnsi="Verdana"/>
          <w:lang w:val="en-GB"/>
        </w:rPr>
        <w:t xml:space="preserve"> situations, let alone with been able to engage in alcohol abstinence programmes. </w:t>
      </w:r>
    </w:p>
    <w:p w14:paraId="246B772D" w14:textId="77777777" w:rsidR="004B315D" w:rsidRDefault="004B315D" w:rsidP="00785081">
      <w:pPr>
        <w:rPr>
          <w:rFonts w:ascii="Verdana" w:hAnsi="Verdana"/>
        </w:rPr>
      </w:pPr>
    </w:p>
    <w:p w14:paraId="08667EFF" w14:textId="77777777" w:rsidR="00EC6F49" w:rsidRPr="00E3096C" w:rsidRDefault="00EC6F49" w:rsidP="00EC6F49">
      <w:pPr>
        <w:rPr>
          <w:rFonts w:ascii="Verdana" w:hAnsi="Verdana"/>
          <w:b/>
          <w:bCs/>
        </w:rPr>
      </w:pPr>
      <w:r w:rsidRPr="00E3096C">
        <w:rPr>
          <w:rFonts w:ascii="Verdana" w:hAnsi="Verdana"/>
          <w:b/>
          <w:bCs/>
        </w:rPr>
        <w:t>Key Challenges for the 25% with Persistent ARBI</w:t>
      </w:r>
    </w:p>
    <w:p w14:paraId="5F22B91A" w14:textId="77777777" w:rsidR="00EC6F49" w:rsidRPr="00EC6F49" w:rsidRDefault="00EC6F49" w:rsidP="00EC6F49">
      <w:pPr>
        <w:rPr>
          <w:rFonts w:ascii="Verdana" w:hAnsi="Verdana"/>
        </w:rPr>
      </w:pPr>
      <w:r w:rsidRPr="00EC6F49">
        <w:rPr>
          <w:rFonts w:ascii="Verdana" w:hAnsi="Verdana"/>
        </w:rPr>
        <w:t>1.</w:t>
      </w:r>
      <w:r w:rsidRPr="00EC6F49">
        <w:rPr>
          <w:rFonts w:ascii="Verdana" w:hAnsi="Verdana"/>
        </w:rPr>
        <w:tab/>
        <w:t>Healthcare System Barriers:</w:t>
      </w:r>
    </w:p>
    <w:p w14:paraId="5338D4D1" w14:textId="5D263E72" w:rsidR="00752DEA" w:rsidRDefault="00752DEA" w:rsidP="00CA656D">
      <w:pPr>
        <w:pStyle w:val="ListParagraph"/>
        <w:numPr>
          <w:ilvl w:val="0"/>
          <w:numId w:val="2"/>
        </w:numPr>
        <w:rPr>
          <w:rFonts w:ascii="Verdana" w:hAnsi="Verdana"/>
        </w:rPr>
      </w:pPr>
      <w:r>
        <w:rPr>
          <w:rFonts w:ascii="Verdana" w:hAnsi="Verdana"/>
        </w:rPr>
        <w:t>S</w:t>
      </w:r>
      <w:r w:rsidRPr="00752DEA">
        <w:rPr>
          <w:rFonts w:ascii="Verdana" w:hAnsi="Verdana"/>
        </w:rPr>
        <w:t>tigma in healthcare—substance use disorders are often treated as moral failings rather than medical conditions, whereas smoking-related illnesses are more readily accepted as deserving of care. Ethically and clinically, both conditions require a non-judgmental, patient-centred approach that prioritises treatment over blame.</w:t>
      </w:r>
    </w:p>
    <w:p w14:paraId="52240AB0" w14:textId="1AF20F12" w:rsidR="00EC6F49" w:rsidRPr="00EC6F49" w:rsidRDefault="00EC6F49" w:rsidP="00CA656D">
      <w:pPr>
        <w:pStyle w:val="ListParagraph"/>
        <w:numPr>
          <w:ilvl w:val="0"/>
          <w:numId w:val="2"/>
        </w:numPr>
        <w:rPr>
          <w:rFonts w:ascii="Verdana" w:hAnsi="Verdana"/>
        </w:rPr>
      </w:pPr>
      <w:r w:rsidRPr="00EC6F49">
        <w:rPr>
          <w:rFonts w:ascii="Verdana" w:hAnsi="Verdana"/>
        </w:rPr>
        <w:t>Exclusion from memory clinics that require abstinence as a precondition.</w:t>
      </w:r>
    </w:p>
    <w:p w14:paraId="4BBADF86" w14:textId="2B07645F" w:rsidR="00EC6F49" w:rsidRDefault="00EC6F49" w:rsidP="00CA656D">
      <w:pPr>
        <w:pStyle w:val="ListParagraph"/>
        <w:numPr>
          <w:ilvl w:val="0"/>
          <w:numId w:val="2"/>
        </w:numPr>
        <w:rPr>
          <w:rFonts w:ascii="Verdana" w:hAnsi="Verdana"/>
        </w:rPr>
      </w:pPr>
      <w:r w:rsidRPr="00EC6F49">
        <w:rPr>
          <w:rFonts w:ascii="Verdana" w:hAnsi="Verdana"/>
        </w:rPr>
        <w:t>Difficulty qualifying for dementia or neurological care service</w:t>
      </w:r>
      <w:r w:rsidR="00027B48">
        <w:rPr>
          <w:rFonts w:ascii="Verdana" w:hAnsi="Verdana"/>
        </w:rPr>
        <w:t>s</w:t>
      </w:r>
    </w:p>
    <w:p w14:paraId="5204F9CF" w14:textId="1A98D033" w:rsidR="00027B48" w:rsidRDefault="00027B48" w:rsidP="00CA656D">
      <w:pPr>
        <w:pStyle w:val="ListParagraph"/>
        <w:numPr>
          <w:ilvl w:val="0"/>
          <w:numId w:val="2"/>
        </w:numPr>
        <w:rPr>
          <w:rFonts w:ascii="Verdana" w:hAnsi="Verdana"/>
        </w:rPr>
      </w:pPr>
      <w:r w:rsidRPr="00027B48">
        <w:rPr>
          <w:rFonts w:ascii="Verdana" w:hAnsi="Verdana"/>
        </w:rPr>
        <w:t>Exclusion from mental health and addiction services after abstinence is achieved</w:t>
      </w:r>
      <w:r>
        <w:rPr>
          <w:rFonts w:ascii="Verdana" w:hAnsi="Verdana"/>
        </w:rPr>
        <w:t>.</w:t>
      </w:r>
    </w:p>
    <w:p w14:paraId="1686A7C5" w14:textId="5B1C502F" w:rsidR="00EC6F49" w:rsidRDefault="001D5B94" w:rsidP="00CA656D">
      <w:pPr>
        <w:pStyle w:val="ListParagraph"/>
        <w:numPr>
          <w:ilvl w:val="0"/>
          <w:numId w:val="2"/>
        </w:numPr>
        <w:rPr>
          <w:rFonts w:ascii="Verdana" w:hAnsi="Verdana"/>
        </w:rPr>
      </w:pPr>
      <w:r>
        <w:rPr>
          <w:rFonts w:ascii="Verdana" w:hAnsi="Verdana"/>
        </w:rPr>
        <w:t xml:space="preserve">Insufficient understanding of </w:t>
      </w:r>
      <w:r w:rsidR="00613949">
        <w:rPr>
          <w:rFonts w:ascii="Verdana" w:hAnsi="Verdana"/>
        </w:rPr>
        <w:t xml:space="preserve">neurological structures and chemicals within the brain. </w:t>
      </w:r>
    </w:p>
    <w:p w14:paraId="39A5231D" w14:textId="7BA15B35" w:rsidR="00E3096C" w:rsidRDefault="00E3096C" w:rsidP="00CA656D">
      <w:pPr>
        <w:pStyle w:val="ListParagraph"/>
        <w:numPr>
          <w:ilvl w:val="0"/>
          <w:numId w:val="2"/>
        </w:numPr>
        <w:rPr>
          <w:rFonts w:ascii="Verdana" w:hAnsi="Verdana"/>
        </w:rPr>
      </w:pPr>
      <w:r w:rsidRPr="00E3096C">
        <w:rPr>
          <w:rFonts w:ascii="Verdana" w:hAnsi="Verdana"/>
        </w:rPr>
        <w:t xml:space="preserve">Do not turn up to appointments – repetitive </w:t>
      </w:r>
      <w:r w:rsidR="000876AD">
        <w:rPr>
          <w:rFonts w:ascii="Verdana" w:hAnsi="Verdana"/>
        </w:rPr>
        <w:t xml:space="preserve">“Did not attend” </w:t>
      </w:r>
      <w:r w:rsidR="001A3663">
        <w:rPr>
          <w:rFonts w:ascii="Verdana" w:hAnsi="Verdana"/>
        </w:rPr>
        <w:t xml:space="preserve">(DNA) </w:t>
      </w:r>
      <w:r w:rsidR="001A3663" w:rsidRPr="001A3663">
        <w:rPr>
          <w:rFonts w:ascii="Verdana" w:hAnsi="Verdana"/>
        </w:rPr>
        <w:t>code</w:t>
      </w:r>
      <w:r w:rsidR="001A3663">
        <w:rPr>
          <w:rFonts w:ascii="Verdana" w:hAnsi="Verdana"/>
        </w:rPr>
        <w:t xml:space="preserve">d on their </w:t>
      </w:r>
      <w:r w:rsidR="006F0BE6">
        <w:rPr>
          <w:rFonts w:ascii="Verdana" w:hAnsi="Verdana"/>
        </w:rPr>
        <w:t xml:space="preserve">records. </w:t>
      </w:r>
      <w:r w:rsidR="000876AD">
        <w:rPr>
          <w:rFonts w:ascii="Verdana" w:hAnsi="Verdana"/>
        </w:rPr>
        <w:t xml:space="preserve"> </w:t>
      </w:r>
    </w:p>
    <w:p w14:paraId="00CE6FDC" w14:textId="19F5D511" w:rsidR="00AD67C3" w:rsidRDefault="00AD67C3" w:rsidP="00CA656D">
      <w:pPr>
        <w:pStyle w:val="ListParagraph"/>
        <w:numPr>
          <w:ilvl w:val="0"/>
          <w:numId w:val="2"/>
        </w:numPr>
        <w:rPr>
          <w:rFonts w:ascii="Verdana" w:hAnsi="Verdana"/>
        </w:rPr>
      </w:pPr>
      <w:r w:rsidRPr="00AD67C3">
        <w:rPr>
          <w:rFonts w:ascii="Verdana" w:hAnsi="Verdana"/>
        </w:rPr>
        <w:t>Low treatment success –</w:t>
      </w:r>
      <w:r>
        <w:rPr>
          <w:rFonts w:ascii="Verdana" w:hAnsi="Verdana"/>
        </w:rPr>
        <w:t xml:space="preserve"> current system is </w:t>
      </w:r>
      <w:r w:rsidR="00A067CC">
        <w:rPr>
          <w:rFonts w:ascii="Verdana" w:hAnsi="Verdana"/>
        </w:rPr>
        <w:t>targeted</w:t>
      </w:r>
      <w:r>
        <w:rPr>
          <w:rFonts w:ascii="Verdana" w:hAnsi="Verdana"/>
        </w:rPr>
        <w:t xml:space="preserve"> to manage and support</w:t>
      </w:r>
      <w:r w:rsidR="008B0770">
        <w:rPr>
          <w:rFonts w:ascii="Verdana" w:hAnsi="Verdana"/>
        </w:rPr>
        <w:t xml:space="preserve"> </w:t>
      </w:r>
      <w:r w:rsidRPr="00AD67C3">
        <w:rPr>
          <w:rFonts w:ascii="Verdana" w:hAnsi="Verdana"/>
        </w:rPr>
        <w:t>people who are not dealing with addition</w:t>
      </w:r>
      <w:r w:rsidR="008B0770">
        <w:rPr>
          <w:rFonts w:ascii="Verdana" w:hAnsi="Verdana"/>
        </w:rPr>
        <w:t xml:space="preserve">al organic and cognitive challenges. </w:t>
      </w:r>
    </w:p>
    <w:p w14:paraId="29EDA930" w14:textId="154CC479" w:rsidR="008E557B" w:rsidRPr="00EC6F49" w:rsidRDefault="008E557B" w:rsidP="00CA656D">
      <w:pPr>
        <w:pStyle w:val="ListParagraph"/>
        <w:numPr>
          <w:ilvl w:val="0"/>
          <w:numId w:val="2"/>
        </w:numPr>
        <w:rPr>
          <w:rFonts w:ascii="Verdana" w:hAnsi="Verdana"/>
        </w:rPr>
      </w:pPr>
      <w:r>
        <w:rPr>
          <w:rFonts w:ascii="Verdana" w:hAnsi="Verdana"/>
        </w:rPr>
        <w:t>C</w:t>
      </w:r>
      <w:r w:rsidRPr="008E557B">
        <w:rPr>
          <w:rFonts w:ascii="Verdana" w:hAnsi="Verdana"/>
        </w:rPr>
        <w:t>apacity and consent are significant barriers when it comes to supporting individuals with ARBI</w:t>
      </w:r>
      <w:r w:rsidR="00EF60A4">
        <w:rPr>
          <w:rFonts w:ascii="Verdana" w:hAnsi="Verdana"/>
        </w:rPr>
        <w:t>.</w:t>
      </w:r>
    </w:p>
    <w:p w14:paraId="5B1DEC7F" w14:textId="77777777" w:rsidR="00EC6F49" w:rsidRPr="00EC6F49" w:rsidRDefault="00EC6F49" w:rsidP="00EC6F49">
      <w:pPr>
        <w:rPr>
          <w:rFonts w:ascii="Verdana" w:hAnsi="Verdana"/>
        </w:rPr>
      </w:pPr>
      <w:r w:rsidRPr="00EC6F49">
        <w:rPr>
          <w:rFonts w:ascii="Verdana" w:hAnsi="Verdana"/>
        </w:rPr>
        <w:t>2.</w:t>
      </w:r>
      <w:r w:rsidRPr="00EC6F49">
        <w:rPr>
          <w:rFonts w:ascii="Verdana" w:hAnsi="Verdana"/>
        </w:rPr>
        <w:tab/>
        <w:t>Cognitive and Behavioural Impairments:</w:t>
      </w:r>
    </w:p>
    <w:p w14:paraId="745FA88D" w14:textId="31E73F75" w:rsidR="00027B48" w:rsidRPr="00027B48" w:rsidRDefault="00EC6F49" w:rsidP="00CA656D">
      <w:pPr>
        <w:pStyle w:val="ListParagraph"/>
        <w:numPr>
          <w:ilvl w:val="0"/>
          <w:numId w:val="2"/>
        </w:numPr>
        <w:rPr>
          <w:rFonts w:ascii="Verdana" w:hAnsi="Verdana"/>
        </w:rPr>
      </w:pPr>
      <w:r w:rsidRPr="00EC6F49">
        <w:rPr>
          <w:rFonts w:ascii="Verdana" w:hAnsi="Verdana"/>
        </w:rPr>
        <w:t>Persistent memory loss, executive dysfunction, and behavioural challenges</w:t>
      </w:r>
      <w:r w:rsidR="001D5B94">
        <w:rPr>
          <w:rFonts w:ascii="Verdana" w:hAnsi="Verdana"/>
        </w:rPr>
        <w:t xml:space="preserve"> due to unmet needs. </w:t>
      </w:r>
    </w:p>
    <w:p w14:paraId="357B88C6" w14:textId="67773943" w:rsidR="008B0770" w:rsidRDefault="00956F22" w:rsidP="00CA656D">
      <w:pPr>
        <w:pStyle w:val="ListParagraph"/>
        <w:numPr>
          <w:ilvl w:val="0"/>
          <w:numId w:val="2"/>
        </w:numPr>
        <w:rPr>
          <w:rFonts w:ascii="Verdana" w:hAnsi="Verdana"/>
        </w:rPr>
      </w:pPr>
      <w:r>
        <w:rPr>
          <w:rFonts w:ascii="Verdana" w:hAnsi="Verdana"/>
        </w:rPr>
        <w:t>Psychological Barriers</w:t>
      </w:r>
      <w:r w:rsidR="006D620F">
        <w:rPr>
          <w:rFonts w:ascii="Verdana" w:hAnsi="Verdana"/>
        </w:rPr>
        <w:t xml:space="preserve"> and mental health problems. </w:t>
      </w:r>
    </w:p>
    <w:p w14:paraId="7A5A37BA" w14:textId="7D275CC8" w:rsidR="006D620F" w:rsidRDefault="00956F22" w:rsidP="00CA656D">
      <w:pPr>
        <w:pStyle w:val="ListParagraph"/>
        <w:numPr>
          <w:ilvl w:val="0"/>
          <w:numId w:val="2"/>
        </w:numPr>
        <w:rPr>
          <w:rFonts w:ascii="Verdana" w:hAnsi="Verdana"/>
        </w:rPr>
      </w:pPr>
      <w:r w:rsidRPr="00956F22">
        <w:rPr>
          <w:rFonts w:ascii="Verdana" w:hAnsi="Verdana"/>
        </w:rPr>
        <w:t xml:space="preserve">Evasive, </w:t>
      </w:r>
      <w:r w:rsidR="006D620F" w:rsidRPr="00956F22">
        <w:rPr>
          <w:rFonts w:ascii="Verdana" w:hAnsi="Verdana"/>
        </w:rPr>
        <w:t>provocation</w:t>
      </w:r>
      <w:r w:rsidRPr="00956F22">
        <w:rPr>
          <w:rFonts w:ascii="Verdana" w:hAnsi="Verdana"/>
        </w:rPr>
        <w:t>, procrastinating</w:t>
      </w:r>
      <w:r w:rsidR="006D620F">
        <w:rPr>
          <w:rFonts w:ascii="Verdana" w:hAnsi="Verdana"/>
        </w:rPr>
        <w:t>.</w:t>
      </w:r>
    </w:p>
    <w:p w14:paraId="5CD6C104" w14:textId="421D67E4" w:rsidR="00956F22" w:rsidRDefault="006D620F" w:rsidP="00CA656D">
      <w:pPr>
        <w:pStyle w:val="ListParagraph"/>
        <w:numPr>
          <w:ilvl w:val="0"/>
          <w:numId w:val="2"/>
        </w:numPr>
        <w:rPr>
          <w:rFonts w:ascii="Verdana" w:hAnsi="Verdana"/>
        </w:rPr>
      </w:pPr>
      <w:r>
        <w:rPr>
          <w:rFonts w:ascii="Verdana" w:hAnsi="Verdana"/>
        </w:rPr>
        <w:t>M</w:t>
      </w:r>
      <w:r w:rsidR="00956F22" w:rsidRPr="00956F22">
        <w:rPr>
          <w:rFonts w:ascii="Verdana" w:hAnsi="Verdana"/>
        </w:rPr>
        <w:t>ental health problems</w:t>
      </w:r>
      <w:r>
        <w:rPr>
          <w:rFonts w:ascii="Verdana" w:hAnsi="Verdana"/>
        </w:rPr>
        <w:t>.</w:t>
      </w:r>
    </w:p>
    <w:p w14:paraId="77FF8518" w14:textId="76F6D963" w:rsidR="000C0B0A" w:rsidRPr="00EC6F49" w:rsidRDefault="000C0B0A" w:rsidP="00CA656D">
      <w:pPr>
        <w:pStyle w:val="ListParagraph"/>
        <w:numPr>
          <w:ilvl w:val="0"/>
          <w:numId w:val="2"/>
        </w:numPr>
        <w:rPr>
          <w:rFonts w:ascii="Verdana" w:hAnsi="Verdana"/>
        </w:rPr>
      </w:pPr>
      <w:r>
        <w:rPr>
          <w:rFonts w:ascii="Verdana" w:hAnsi="Verdana"/>
        </w:rPr>
        <w:t xml:space="preserve">Lack of insight or denial. </w:t>
      </w:r>
    </w:p>
    <w:p w14:paraId="6A73A89F" w14:textId="77777777" w:rsidR="00EC6F49" w:rsidRPr="00EC6F49" w:rsidRDefault="00EC6F49" w:rsidP="00EC6F49">
      <w:pPr>
        <w:rPr>
          <w:rFonts w:ascii="Verdana" w:hAnsi="Verdana"/>
        </w:rPr>
      </w:pPr>
      <w:r w:rsidRPr="00EC6F49">
        <w:rPr>
          <w:rFonts w:ascii="Verdana" w:hAnsi="Verdana"/>
        </w:rPr>
        <w:t>3.</w:t>
      </w:r>
      <w:r w:rsidRPr="00EC6F49">
        <w:rPr>
          <w:rFonts w:ascii="Verdana" w:hAnsi="Verdana"/>
        </w:rPr>
        <w:tab/>
        <w:t>Social Isolation:</w:t>
      </w:r>
    </w:p>
    <w:p w14:paraId="7218DD9C" w14:textId="47ECE968" w:rsidR="00EC6F49" w:rsidRDefault="00EC6F49" w:rsidP="00CA656D">
      <w:pPr>
        <w:pStyle w:val="ListParagraph"/>
        <w:numPr>
          <w:ilvl w:val="0"/>
          <w:numId w:val="2"/>
        </w:numPr>
        <w:rPr>
          <w:rFonts w:ascii="Verdana" w:hAnsi="Verdana"/>
        </w:rPr>
      </w:pPr>
      <w:r w:rsidRPr="00EC6F49">
        <w:rPr>
          <w:rFonts w:ascii="Verdana" w:hAnsi="Verdana"/>
        </w:rPr>
        <w:t>Stigma, strained family relationships, and loss of social networks.</w:t>
      </w:r>
    </w:p>
    <w:p w14:paraId="0ED6F9A2" w14:textId="3A0A150F" w:rsidR="00033D47" w:rsidRDefault="00033D47" w:rsidP="00CA656D">
      <w:pPr>
        <w:pStyle w:val="ListParagraph"/>
        <w:numPr>
          <w:ilvl w:val="0"/>
          <w:numId w:val="2"/>
        </w:numPr>
        <w:rPr>
          <w:rFonts w:ascii="Verdana" w:hAnsi="Verdana"/>
        </w:rPr>
      </w:pPr>
      <w:r w:rsidRPr="00033D47">
        <w:rPr>
          <w:rFonts w:ascii="Verdana" w:hAnsi="Verdana"/>
        </w:rPr>
        <w:t>Prejudice – normal or choice, moral fibre to withstand what life threw at them</w:t>
      </w:r>
      <w:r w:rsidR="000876AD">
        <w:rPr>
          <w:rFonts w:ascii="Verdana" w:hAnsi="Verdana"/>
        </w:rPr>
        <w:t>.</w:t>
      </w:r>
    </w:p>
    <w:p w14:paraId="63FA7BB6" w14:textId="77777777" w:rsidR="0049027F" w:rsidRDefault="0049027F" w:rsidP="00CA656D">
      <w:pPr>
        <w:pStyle w:val="ListParagraph"/>
        <w:numPr>
          <w:ilvl w:val="0"/>
          <w:numId w:val="2"/>
        </w:numPr>
        <w:rPr>
          <w:rFonts w:ascii="Verdana" w:hAnsi="Verdana"/>
        </w:rPr>
      </w:pPr>
      <w:r w:rsidRPr="0049027F">
        <w:rPr>
          <w:rFonts w:ascii="Verdana" w:hAnsi="Verdana"/>
        </w:rPr>
        <w:t>Loss of employment, strained family relationships, and stigma associated with alcohol misuse.</w:t>
      </w:r>
    </w:p>
    <w:p w14:paraId="674AB778" w14:textId="0B2232F8" w:rsidR="00027B48" w:rsidRPr="0049027F" w:rsidRDefault="00027B48" w:rsidP="00CA656D">
      <w:pPr>
        <w:pStyle w:val="ListParagraph"/>
        <w:numPr>
          <w:ilvl w:val="0"/>
          <w:numId w:val="2"/>
        </w:numPr>
        <w:rPr>
          <w:rFonts w:ascii="Verdana" w:hAnsi="Verdana"/>
        </w:rPr>
      </w:pPr>
      <w:r w:rsidRPr="00027B48">
        <w:rPr>
          <w:rFonts w:ascii="Verdana" w:hAnsi="Verdana"/>
        </w:rPr>
        <w:lastRenderedPageBreak/>
        <w:t>Persistent memory loss, executive dysfunction, and behavioural changes that impact daily living</w:t>
      </w:r>
      <w:r w:rsidR="000876AD">
        <w:rPr>
          <w:rFonts w:ascii="Verdana" w:hAnsi="Verdana"/>
        </w:rPr>
        <w:t>.</w:t>
      </w:r>
    </w:p>
    <w:p w14:paraId="1D65FF87" w14:textId="77777777" w:rsidR="0049027F" w:rsidRPr="00EC6F49" w:rsidRDefault="0049027F" w:rsidP="0049027F">
      <w:pPr>
        <w:pStyle w:val="ListParagraph"/>
        <w:rPr>
          <w:rFonts w:ascii="Verdana" w:hAnsi="Verdana"/>
        </w:rPr>
      </w:pPr>
    </w:p>
    <w:p w14:paraId="3EFAA18F" w14:textId="77777777" w:rsidR="00EC6F49" w:rsidRPr="00EC6F49" w:rsidRDefault="00EC6F49" w:rsidP="00EC6F49">
      <w:pPr>
        <w:rPr>
          <w:rFonts w:ascii="Verdana" w:hAnsi="Verdana"/>
        </w:rPr>
      </w:pPr>
      <w:r w:rsidRPr="00EC6F49">
        <w:rPr>
          <w:rFonts w:ascii="Verdana" w:hAnsi="Verdana"/>
        </w:rPr>
        <w:t>4.</w:t>
      </w:r>
      <w:r w:rsidRPr="00EC6F49">
        <w:rPr>
          <w:rFonts w:ascii="Verdana" w:hAnsi="Verdana"/>
        </w:rPr>
        <w:tab/>
        <w:t>Financial and Housing Insecurity:</w:t>
      </w:r>
    </w:p>
    <w:p w14:paraId="2C7826A2" w14:textId="0CBCE0FE" w:rsidR="005534C1" w:rsidRDefault="00EC6F49" w:rsidP="00CA656D">
      <w:pPr>
        <w:pStyle w:val="ListParagraph"/>
        <w:numPr>
          <w:ilvl w:val="0"/>
          <w:numId w:val="2"/>
        </w:numPr>
        <w:rPr>
          <w:rFonts w:ascii="Verdana" w:hAnsi="Verdana"/>
        </w:rPr>
      </w:pPr>
      <w:r w:rsidRPr="00A067CC">
        <w:rPr>
          <w:rFonts w:ascii="Verdana" w:hAnsi="Verdana"/>
        </w:rPr>
        <w:t>Difficulty</w:t>
      </w:r>
      <w:r w:rsidR="0049027F" w:rsidRPr="00A067CC">
        <w:rPr>
          <w:rFonts w:ascii="Verdana" w:hAnsi="Verdana"/>
        </w:rPr>
        <w:t xml:space="preserve"> or limited access to benefits or appropriate housing when ARBI is not formally classified as a long-term neurological condition</w:t>
      </w:r>
      <w:r w:rsidR="00CB1757">
        <w:rPr>
          <w:rFonts w:ascii="Verdana" w:hAnsi="Verdana"/>
        </w:rPr>
        <w:t>.</w:t>
      </w:r>
    </w:p>
    <w:p w14:paraId="26DF391B" w14:textId="77777777" w:rsidR="00CB1757" w:rsidRPr="00CB1757" w:rsidRDefault="00CB1757" w:rsidP="00CB1757">
      <w:pPr>
        <w:rPr>
          <w:rFonts w:ascii="Verdana" w:hAnsi="Verdana"/>
        </w:rPr>
      </w:pPr>
    </w:p>
    <w:p w14:paraId="19F06FAE" w14:textId="77777777" w:rsidR="00C449B3" w:rsidRDefault="000C0B0A" w:rsidP="00785081">
      <w:pPr>
        <w:rPr>
          <w:rFonts w:ascii="Verdana" w:hAnsi="Verdana"/>
        </w:rPr>
      </w:pPr>
      <w:r>
        <w:rPr>
          <w:rFonts w:ascii="Verdana" w:hAnsi="Verdana"/>
        </w:rPr>
        <w:t>A</w:t>
      </w:r>
      <w:r w:rsidR="006C7E8B">
        <w:rPr>
          <w:rFonts w:ascii="Verdana" w:hAnsi="Verdana"/>
        </w:rPr>
        <w:t xml:space="preserve"> </w:t>
      </w:r>
      <w:r w:rsidR="00414DB1">
        <w:rPr>
          <w:rFonts w:ascii="Verdana" w:hAnsi="Verdana"/>
        </w:rPr>
        <w:t>novel</w:t>
      </w:r>
      <w:r w:rsidR="006C7E8B">
        <w:rPr>
          <w:rFonts w:ascii="Verdana" w:hAnsi="Verdana"/>
        </w:rPr>
        <w:t xml:space="preserve"> approach is needed to support people who are </w:t>
      </w:r>
      <w:r w:rsidR="002E11DE">
        <w:rPr>
          <w:rFonts w:ascii="Verdana" w:hAnsi="Verdana"/>
        </w:rPr>
        <w:t>experiencing</w:t>
      </w:r>
      <w:r w:rsidR="006C7E8B">
        <w:rPr>
          <w:rFonts w:ascii="Verdana" w:hAnsi="Verdana"/>
        </w:rPr>
        <w:t xml:space="preserve"> </w:t>
      </w:r>
      <w:r w:rsidR="00414DB1">
        <w:rPr>
          <w:rFonts w:ascii="Verdana" w:hAnsi="Verdana"/>
        </w:rPr>
        <w:t>cognitive</w:t>
      </w:r>
      <w:r w:rsidR="000C2F25">
        <w:rPr>
          <w:rFonts w:ascii="Verdana" w:hAnsi="Verdana"/>
        </w:rPr>
        <w:t xml:space="preserve"> impairment will need an adapted pathway for support</w:t>
      </w:r>
      <w:r w:rsidR="00E750BA">
        <w:rPr>
          <w:rFonts w:ascii="Verdana" w:hAnsi="Verdana"/>
        </w:rPr>
        <w:t>, a pathway that will take a whole systems approach</w:t>
      </w:r>
      <w:r w:rsidR="00C449B3">
        <w:rPr>
          <w:rFonts w:ascii="Verdana" w:hAnsi="Verdana"/>
        </w:rPr>
        <w:t>.</w:t>
      </w:r>
    </w:p>
    <w:p w14:paraId="76B432D5" w14:textId="37F92D2B" w:rsidR="00E750BA" w:rsidRDefault="00C449B3" w:rsidP="00785081">
      <w:pPr>
        <w:rPr>
          <w:rFonts w:ascii="Verdana" w:hAnsi="Verdana"/>
        </w:rPr>
      </w:pPr>
      <w:r>
        <w:rPr>
          <w:rFonts w:ascii="Verdana" w:hAnsi="Verdana"/>
        </w:rPr>
        <w:t>T</w:t>
      </w:r>
      <w:r w:rsidR="00044B32">
        <w:rPr>
          <w:rFonts w:ascii="Verdana" w:hAnsi="Verdana"/>
        </w:rPr>
        <w:t xml:space="preserve">here </w:t>
      </w:r>
      <w:r w:rsidR="00044B32" w:rsidRPr="00044B32">
        <w:rPr>
          <w:rFonts w:ascii="Verdana" w:hAnsi="Verdana"/>
        </w:rPr>
        <w:t>is a crucial and often controversial aspect of dealing with Alcohol-Related Brain Injury (ARBI)</w:t>
      </w:r>
      <w:r w:rsidR="00044B32">
        <w:rPr>
          <w:rFonts w:ascii="Verdana" w:hAnsi="Verdana"/>
        </w:rPr>
        <w:t xml:space="preserve"> to be considered</w:t>
      </w:r>
      <w:r w:rsidR="00044B32" w:rsidRPr="00044B32">
        <w:rPr>
          <w:rFonts w:ascii="Verdana" w:hAnsi="Verdana"/>
        </w:rPr>
        <w:t>—some individuals may be unwilling or unable to acknowledge their condition due to denial, lack of insight, or cognitive impairment itself. However, this does not mean they should be abandoned; they still deserve dignity, respect, and support.</w:t>
      </w:r>
    </w:p>
    <w:p w14:paraId="68E3708A" w14:textId="77777777" w:rsidR="00D15F57" w:rsidRDefault="00D15F57" w:rsidP="00785081">
      <w:pPr>
        <w:rPr>
          <w:rFonts w:ascii="Verdana" w:hAnsi="Verdana"/>
        </w:rPr>
      </w:pPr>
    </w:p>
    <w:p w14:paraId="1ACF2888" w14:textId="77777777" w:rsidR="00E451FF" w:rsidRDefault="00E451FF" w:rsidP="00785081">
      <w:pPr>
        <w:rPr>
          <w:rFonts w:ascii="Verdana" w:hAnsi="Verdana"/>
        </w:rPr>
      </w:pPr>
    </w:p>
    <w:p w14:paraId="1A2D9550" w14:textId="685A3486" w:rsidR="00742E1F" w:rsidRDefault="00D420E2" w:rsidP="00785081">
      <w:pPr>
        <w:rPr>
          <w:rFonts w:ascii="Verdana" w:hAnsi="Verdana"/>
          <w:b/>
          <w:bCs/>
        </w:rPr>
      </w:pPr>
      <w:r>
        <w:rPr>
          <w:rFonts w:ascii="Verdana" w:hAnsi="Verdana"/>
          <w:b/>
          <w:bCs/>
        </w:rPr>
        <w:t xml:space="preserve">Considerations for a new </w:t>
      </w:r>
      <w:r w:rsidR="00742E1F" w:rsidRPr="00742E1F">
        <w:rPr>
          <w:rFonts w:ascii="Verdana" w:hAnsi="Verdana"/>
          <w:b/>
          <w:bCs/>
        </w:rPr>
        <w:t>Diagnosis</w:t>
      </w:r>
      <w:r>
        <w:rPr>
          <w:rFonts w:ascii="Verdana" w:hAnsi="Verdana"/>
          <w:b/>
          <w:bCs/>
        </w:rPr>
        <w:t xml:space="preserve"> and Support </w:t>
      </w:r>
      <w:r w:rsidR="00742E1F" w:rsidRPr="00742E1F">
        <w:rPr>
          <w:rFonts w:ascii="Verdana" w:hAnsi="Verdana"/>
          <w:b/>
          <w:bCs/>
        </w:rPr>
        <w:t>Pathway</w:t>
      </w:r>
    </w:p>
    <w:p w14:paraId="1644FA6A" w14:textId="77777777" w:rsidR="006E01ED" w:rsidRPr="00CD24C2" w:rsidRDefault="006E01ED" w:rsidP="00D15F57">
      <w:pPr>
        <w:rPr>
          <w:rFonts w:ascii="Verdana" w:hAnsi="Verdana"/>
        </w:rPr>
      </w:pPr>
    </w:p>
    <w:p w14:paraId="74511214" w14:textId="7B4FA159" w:rsidR="00BB608B" w:rsidRPr="00F65D5E" w:rsidRDefault="00BB608B" w:rsidP="00CA656D">
      <w:pPr>
        <w:pStyle w:val="ListParagraph"/>
        <w:numPr>
          <w:ilvl w:val="0"/>
          <w:numId w:val="11"/>
        </w:numPr>
        <w:rPr>
          <w:rFonts w:ascii="Verdana" w:hAnsi="Verdana"/>
          <w:b/>
          <w:bCs/>
          <w:lang w:val="en-GB"/>
        </w:rPr>
      </w:pPr>
      <w:r w:rsidRPr="00F65D5E">
        <w:rPr>
          <w:rFonts w:ascii="Verdana" w:hAnsi="Verdana"/>
          <w:b/>
          <w:bCs/>
          <w:lang w:val="en-GB"/>
        </w:rPr>
        <w:t xml:space="preserve">Recognition of </w:t>
      </w:r>
      <w:r w:rsidR="00122E50" w:rsidRPr="00F65D5E">
        <w:rPr>
          <w:rFonts w:ascii="Verdana" w:hAnsi="Verdana"/>
          <w:b/>
          <w:bCs/>
          <w:lang w:val="en-GB"/>
        </w:rPr>
        <w:t>ARBI</w:t>
      </w:r>
      <w:r w:rsidRPr="00F65D5E">
        <w:rPr>
          <w:rFonts w:ascii="Verdana" w:hAnsi="Verdana"/>
          <w:b/>
          <w:bCs/>
          <w:lang w:val="en-GB"/>
        </w:rPr>
        <w:t xml:space="preserve"> as a Long-Term Neurological Condition</w:t>
      </w:r>
    </w:p>
    <w:p w14:paraId="530B808E" w14:textId="77777777" w:rsidR="00F65D5E" w:rsidRDefault="00F65D5E" w:rsidP="00F65D5E">
      <w:pPr>
        <w:pStyle w:val="ListParagraph"/>
        <w:rPr>
          <w:rFonts w:ascii="Verdana" w:hAnsi="Verdana"/>
          <w:b/>
          <w:bCs/>
          <w:lang w:val="en-GB"/>
        </w:rPr>
      </w:pPr>
    </w:p>
    <w:p w14:paraId="36302CCD" w14:textId="558C0297" w:rsidR="00F65D5E" w:rsidRPr="00F65D5E" w:rsidRDefault="00F65D5E" w:rsidP="00CA656D">
      <w:pPr>
        <w:pStyle w:val="ListParagraph"/>
        <w:numPr>
          <w:ilvl w:val="0"/>
          <w:numId w:val="12"/>
        </w:numPr>
        <w:rPr>
          <w:rFonts w:ascii="Verdana" w:hAnsi="Verdana"/>
          <w:b/>
          <w:bCs/>
          <w:lang w:val="en-GB"/>
        </w:rPr>
      </w:pPr>
      <w:r w:rsidRPr="00F65D5E">
        <w:rPr>
          <w:rFonts w:ascii="Verdana" w:hAnsi="Verdana"/>
          <w:b/>
          <w:bCs/>
          <w:lang w:val="en-GB"/>
        </w:rPr>
        <w:t>Advocacy for Policy Change:</w:t>
      </w:r>
    </w:p>
    <w:p w14:paraId="47DEEF41" w14:textId="528BE285" w:rsidR="00F65D5E" w:rsidRPr="00F65D5E" w:rsidRDefault="00F65D5E" w:rsidP="00F65D5E">
      <w:pPr>
        <w:pStyle w:val="ListParagraph"/>
        <w:rPr>
          <w:rFonts w:ascii="Verdana" w:hAnsi="Verdana"/>
          <w:lang w:val="en-GB"/>
        </w:rPr>
      </w:pPr>
      <w:r w:rsidRPr="00F65D5E">
        <w:rPr>
          <w:rFonts w:ascii="Verdana" w:hAnsi="Verdana"/>
          <w:lang w:val="en-GB"/>
        </w:rPr>
        <w:t>Work with organi</w:t>
      </w:r>
      <w:r>
        <w:rPr>
          <w:rFonts w:ascii="Verdana" w:hAnsi="Verdana"/>
          <w:lang w:val="en-GB"/>
        </w:rPr>
        <w:t>s</w:t>
      </w:r>
      <w:r w:rsidRPr="00F65D5E">
        <w:rPr>
          <w:rFonts w:ascii="Verdana" w:hAnsi="Verdana"/>
          <w:lang w:val="en-GB"/>
        </w:rPr>
        <w:t xml:space="preserve">ations like the Alzheimer's Society </w:t>
      </w:r>
      <w:r w:rsidR="006F0BE6">
        <w:rPr>
          <w:rFonts w:ascii="Verdana" w:hAnsi="Verdana"/>
          <w:lang w:val="en-GB"/>
        </w:rPr>
        <w:t xml:space="preserve">and Alcohol Change UK, </w:t>
      </w:r>
      <w:r w:rsidR="000218AF">
        <w:rPr>
          <w:rFonts w:ascii="Verdana" w:hAnsi="Verdana"/>
          <w:lang w:val="en-GB"/>
        </w:rPr>
        <w:t xml:space="preserve">and other partners across the Health, Social and VCSE system, </w:t>
      </w:r>
      <w:r w:rsidRPr="00F65D5E">
        <w:rPr>
          <w:rFonts w:ascii="Verdana" w:hAnsi="Verdana"/>
          <w:lang w:val="en-GB"/>
        </w:rPr>
        <w:t>to formally recognise ARBI as a condition requiring long-term support, whereby abstinence is not required.</w:t>
      </w:r>
    </w:p>
    <w:p w14:paraId="652F8186" w14:textId="0A7EC5FF" w:rsidR="00BB608B" w:rsidRPr="00BB608B" w:rsidRDefault="00BB608B" w:rsidP="00CA656D">
      <w:pPr>
        <w:numPr>
          <w:ilvl w:val="0"/>
          <w:numId w:val="3"/>
        </w:numPr>
        <w:rPr>
          <w:rFonts w:ascii="Verdana" w:hAnsi="Verdana"/>
          <w:lang w:val="en-GB"/>
        </w:rPr>
      </w:pPr>
      <w:r w:rsidRPr="00BB608B">
        <w:rPr>
          <w:rFonts w:ascii="Verdana" w:hAnsi="Verdana"/>
          <w:b/>
          <w:bCs/>
          <w:lang w:val="en-GB"/>
        </w:rPr>
        <w:t>Advocacy for Diagnostic Criteria:</w:t>
      </w:r>
      <w:r w:rsidRPr="00BB608B">
        <w:rPr>
          <w:rFonts w:ascii="Verdana" w:hAnsi="Verdana"/>
          <w:lang w:val="en-GB"/>
        </w:rPr>
        <w:t xml:space="preserve"> Push for recognition of </w:t>
      </w:r>
      <w:r w:rsidR="00122E50">
        <w:rPr>
          <w:rFonts w:ascii="Verdana" w:hAnsi="Verdana"/>
          <w:lang w:val="en-GB"/>
        </w:rPr>
        <w:t>ARBI</w:t>
      </w:r>
      <w:r w:rsidRPr="00BB608B">
        <w:rPr>
          <w:rFonts w:ascii="Verdana" w:hAnsi="Verdana"/>
          <w:lang w:val="en-GB"/>
        </w:rPr>
        <w:t xml:space="preserve"> in clinical guidelines (ICD and DSM) to formali</w:t>
      </w:r>
      <w:r w:rsidR="000218AF">
        <w:rPr>
          <w:rFonts w:ascii="Verdana" w:hAnsi="Verdana"/>
          <w:lang w:val="en-GB"/>
        </w:rPr>
        <w:t>s</w:t>
      </w:r>
      <w:r w:rsidRPr="00BB608B">
        <w:rPr>
          <w:rFonts w:ascii="Verdana" w:hAnsi="Verdana"/>
          <w:lang w:val="en-GB"/>
        </w:rPr>
        <w:t>e its status and enable access to services.</w:t>
      </w:r>
    </w:p>
    <w:p w14:paraId="1EA7A38A" w14:textId="77777777" w:rsidR="00326F8C" w:rsidRDefault="00BB608B" w:rsidP="00CA656D">
      <w:pPr>
        <w:numPr>
          <w:ilvl w:val="0"/>
          <w:numId w:val="3"/>
        </w:numPr>
        <w:rPr>
          <w:rFonts w:ascii="Verdana" w:hAnsi="Verdana"/>
          <w:lang w:val="en-GB"/>
        </w:rPr>
      </w:pPr>
      <w:r w:rsidRPr="00BB608B">
        <w:rPr>
          <w:rFonts w:ascii="Verdana" w:hAnsi="Verdana"/>
          <w:b/>
          <w:bCs/>
          <w:lang w:val="en-GB"/>
        </w:rPr>
        <w:t>Healthcare Training:</w:t>
      </w:r>
      <w:r w:rsidRPr="00BB608B">
        <w:rPr>
          <w:rFonts w:ascii="Verdana" w:hAnsi="Verdana"/>
          <w:lang w:val="en-GB"/>
        </w:rPr>
        <w:t xml:space="preserve"> Equip primary care and neurological specialists with knowledge to diagnose and manage </w:t>
      </w:r>
      <w:r w:rsidR="00122E50">
        <w:rPr>
          <w:rFonts w:ascii="Verdana" w:hAnsi="Verdana"/>
          <w:lang w:val="en-GB"/>
        </w:rPr>
        <w:t>ARBI</w:t>
      </w:r>
      <w:r w:rsidRPr="00BB608B">
        <w:rPr>
          <w:rFonts w:ascii="Verdana" w:hAnsi="Verdana"/>
          <w:lang w:val="en-GB"/>
        </w:rPr>
        <w:t xml:space="preserve"> compassionately.</w:t>
      </w:r>
    </w:p>
    <w:p w14:paraId="3DD1E048" w14:textId="0FA1BD26" w:rsidR="00326F8C" w:rsidRDefault="00326F8C" w:rsidP="00CA656D">
      <w:pPr>
        <w:numPr>
          <w:ilvl w:val="0"/>
          <w:numId w:val="3"/>
        </w:numPr>
        <w:rPr>
          <w:rFonts w:ascii="Verdana" w:hAnsi="Verdana"/>
        </w:rPr>
      </w:pPr>
      <w:r w:rsidRPr="00326F8C">
        <w:rPr>
          <w:rFonts w:ascii="Verdana" w:hAnsi="Verdana"/>
          <w:b/>
          <w:bCs/>
        </w:rPr>
        <w:t>Training for Professionals -</w:t>
      </w:r>
      <w:r w:rsidRPr="00326F8C">
        <w:rPr>
          <w:rFonts w:ascii="Verdana" w:hAnsi="Verdana"/>
          <w:lang w:val="en-GB"/>
        </w:rPr>
        <w:t xml:space="preserve"> </w:t>
      </w:r>
      <w:r w:rsidRPr="00326F8C">
        <w:rPr>
          <w:rFonts w:ascii="Verdana" w:hAnsi="Verdana"/>
        </w:rPr>
        <w:t xml:space="preserve">Training for professionals to understand the biological challenges and the barriers these present to access current treatment pathways. </w:t>
      </w:r>
    </w:p>
    <w:p w14:paraId="2A064229" w14:textId="76AE7E5E" w:rsidR="00200DDE" w:rsidRPr="00326F8C" w:rsidRDefault="00D5246B" w:rsidP="00CA656D">
      <w:pPr>
        <w:numPr>
          <w:ilvl w:val="0"/>
          <w:numId w:val="3"/>
        </w:numPr>
        <w:rPr>
          <w:rFonts w:ascii="Verdana" w:hAnsi="Verdana"/>
        </w:rPr>
      </w:pPr>
      <w:r>
        <w:rPr>
          <w:rFonts w:ascii="Verdana" w:hAnsi="Verdana"/>
          <w:b/>
          <w:bCs/>
        </w:rPr>
        <w:t xml:space="preserve">No discharge policy </w:t>
      </w:r>
      <w:r w:rsidR="003F5C16">
        <w:rPr>
          <w:rFonts w:ascii="Verdana" w:hAnsi="Verdana"/>
          <w:b/>
          <w:bCs/>
        </w:rPr>
        <w:t>–</w:t>
      </w:r>
      <w:r>
        <w:rPr>
          <w:rFonts w:ascii="Verdana" w:hAnsi="Verdana"/>
        </w:rPr>
        <w:t xml:space="preserve"> </w:t>
      </w:r>
      <w:r w:rsidR="003F5C16">
        <w:rPr>
          <w:rFonts w:ascii="Verdana" w:hAnsi="Verdana"/>
        </w:rPr>
        <w:t xml:space="preserve">consider </w:t>
      </w:r>
      <w:r w:rsidR="00B4531D">
        <w:rPr>
          <w:rFonts w:ascii="Verdana" w:hAnsi="Verdana"/>
        </w:rPr>
        <w:t>e</w:t>
      </w:r>
      <w:r w:rsidR="00B4531D" w:rsidRPr="00B4531D">
        <w:rPr>
          <w:rFonts w:ascii="Verdana" w:hAnsi="Verdana"/>
        </w:rPr>
        <w:t>liminating the need for referrals</w:t>
      </w:r>
      <w:r w:rsidR="00B4531D">
        <w:rPr>
          <w:rFonts w:ascii="Verdana" w:hAnsi="Verdana"/>
        </w:rPr>
        <w:t xml:space="preserve">, </w:t>
      </w:r>
      <w:r w:rsidR="00700819">
        <w:rPr>
          <w:rFonts w:ascii="Verdana" w:hAnsi="Verdana"/>
        </w:rPr>
        <w:t xml:space="preserve">to </w:t>
      </w:r>
      <w:r w:rsidR="00700819" w:rsidRPr="00B4531D">
        <w:rPr>
          <w:rFonts w:ascii="Verdana" w:hAnsi="Verdana"/>
        </w:rPr>
        <w:t>make</w:t>
      </w:r>
      <w:r w:rsidR="00B4531D" w:rsidRPr="00B4531D">
        <w:rPr>
          <w:rFonts w:ascii="Verdana" w:hAnsi="Verdana"/>
        </w:rPr>
        <w:t xml:space="preserve"> support more accessible and reduce barriers for individuals seeking help. A </w:t>
      </w:r>
      <w:r w:rsidR="003D1E92">
        <w:rPr>
          <w:rFonts w:ascii="Verdana" w:hAnsi="Verdana"/>
        </w:rPr>
        <w:t>“N</w:t>
      </w:r>
      <w:r w:rsidR="00B4531D" w:rsidRPr="00B4531D">
        <w:rPr>
          <w:rFonts w:ascii="Verdana" w:hAnsi="Verdana"/>
        </w:rPr>
        <w:t xml:space="preserve">o </w:t>
      </w:r>
      <w:r w:rsidR="003D1E92">
        <w:rPr>
          <w:rFonts w:ascii="Verdana" w:hAnsi="Verdana"/>
        </w:rPr>
        <w:t>D</w:t>
      </w:r>
      <w:r w:rsidR="00B4531D" w:rsidRPr="00B4531D">
        <w:rPr>
          <w:rFonts w:ascii="Verdana" w:hAnsi="Verdana"/>
        </w:rPr>
        <w:t xml:space="preserve">ischarge </w:t>
      </w:r>
      <w:r w:rsidR="003D1E92">
        <w:rPr>
          <w:rFonts w:ascii="Verdana" w:hAnsi="Verdana"/>
        </w:rPr>
        <w:t>P</w:t>
      </w:r>
      <w:r w:rsidR="00B4531D" w:rsidRPr="00B4531D">
        <w:rPr>
          <w:rFonts w:ascii="Verdana" w:hAnsi="Verdana"/>
        </w:rPr>
        <w:t>olicy</w:t>
      </w:r>
      <w:r w:rsidR="003D1E92">
        <w:rPr>
          <w:rFonts w:ascii="Verdana" w:hAnsi="Verdana"/>
        </w:rPr>
        <w:t>”</w:t>
      </w:r>
      <w:r w:rsidR="00B4531D" w:rsidRPr="00B4531D">
        <w:rPr>
          <w:rFonts w:ascii="Verdana" w:hAnsi="Verdana"/>
        </w:rPr>
        <w:t xml:space="preserve"> could create a centralis</w:t>
      </w:r>
      <w:r w:rsidR="00B4531D">
        <w:rPr>
          <w:rFonts w:ascii="Verdana" w:hAnsi="Verdana"/>
        </w:rPr>
        <w:t>e</w:t>
      </w:r>
      <w:r w:rsidR="00B4531D" w:rsidRPr="00B4531D">
        <w:rPr>
          <w:rFonts w:ascii="Verdana" w:hAnsi="Verdana"/>
        </w:rPr>
        <w:t>d, continuous care system where people can access services whenever they need them, without the hassle of re-entry or additional paperwor</w:t>
      </w:r>
      <w:r w:rsidR="00B4531D">
        <w:rPr>
          <w:rFonts w:ascii="Verdana" w:hAnsi="Verdana"/>
        </w:rPr>
        <w:t>k</w:t>
      </w:r>
      <w:r w:rsidR="00700819">
        <w:rPr>
          <w:rFonts w:ascii="Verdana" w:hAnsi="Verdana"/>
        </w:rPr>
        <w:t xml:space="preserve"> and the </w:t>
      </w:r>
      <w:r w:rsidR="00700819" w:rsidRPr="00700819">
        <w:rPr>
          <w:rFonts w:ascii="Verdana" w:hAnsi="Verdana"/>
        </w:rPr>
        <w:t>level of engagement and support adjust</w:t>
      </w:r>
      <w:r w:rsidR="00700819">
        <w:rPr>
          <w:rFonts w:ascii="Verdana" w:hAnsi="Verdana"/>
        </w:rPr>
        <w:t>ed to meet</w:t>
      </w:r>
      <w:r w:rsidR="00700819" w:rsidRPr="00700819">
        <w:rPr>
          <w:rFonts w:ascii="Verdana" w:hAnsi="Verdana"/>
        </w:rPr>
        <w:t xml:space="preserve"> their needs</w:t>
      </w:r>
      <w:r w:rsidR="00700819">
        <w:rPr>
          <w:rFonts w:ascii="Verdana" w:hAnsi="Verdana"/>
        </w:rPr>
        <w:t>.</w:t>
      </w:r>
    </w:p>
    <w:p w14:paraId="519BFB98" w14:textId="5A4E31DF" w:rsidR="00244B4E" w:rsidRPr="002D3A83" w:rsidRDefault="00244B4E" w:rsidP="00CA656D">
      <w:pPr>
        <w:pStyle w:val="ListParagraph"/>
        <w:numPr>
          <w:ilvl w:val="0"/>
          <w:numId w:val="3"/>
        </w:numPr>
        <w:rPr>
          <w:rFonts w:ascii="Verdana" w:hAnsi="Verdana"/>
        </w:rPr>
      </w:pPr>
      <w:r w:rsidRPr="00244B4E">
        <w:rPr>
          <w:rFonts w:ascii="Verdana" w:hAnsi="Verdana"/>
          <w:b/>
          <w:bCs/>
        </w:rPr>
        <w:lastRenderedPageBreak/>
        <w:t xml:space="preserve">Abstinence not </w:t>
      </w:r>
      <w:proofErr w:type="gramStart"/>
      <w:r w:rsidRPr="00244B4E">
        <w:rPr>
          <w:rFonts w:ascii="Verdana" w:hAnsi="Verdana"/>
          <w:b/>
          <w:bCs/>
        </w:rPr>
        <w:t>required</w:t>
      </w:r>
      <w:r w:rsidRPr="002D3A83">
        <w:rPr>
          <w:rFonts w:ascii="Verdana" w:hAnsi="Verdana"/>
        </w:rPr>
        <w:t xml:space="preserve">  -</w:t>
      </w:r>
      <w:proofErr w:type="gramEnd"/>
      <w:r w:rsidRPr="002D3A83">
        <w:rPr>
          <w:rFonts w:ascii="Verdana" w:hAnsi="Verdana"/>
        </w:rPr>
        <w:t xml:space="preserve"> although</w:t>
      </w:r>
      <w:r w:rsidR="009F7E81">
        <w:rPr>
          <w:rFonts w:ascii="Verdana" w:hAnsi="Verdana"/>
        </w:rPr>
        <w:t xml:space="preserve"> the</w:t>
      </w:r>
      <w:r w:rsidRPr="002D3A83">
        <w:rPr>
          <w:rFonts w:ascii="Verdana" w:hAnsi="Verdana"/>
        </w:rPr>
        <w:t xml:space="preserve"> support pathway will look to work with the individual in reducing alcohol consumption. </w:t>
      </w:r>
    </w:p>
    <w:p w14:paraId="088AD863" w14:textId="77777777" w:rsidR="00244B4E" w:rsidRPr="00BB608B" w:rsidRDefault="00244B4E" w:rsidP="00244B4E">
      <w:pPr>
        <w:ind w:left="720"/>
        <w:rPr>
          <w:rFonts w:ascii="Verdana" w:hAnsi="Verdana"/>
          <w:lang w:val="en-GB"/>
        </w:rPr>
      </w:pPr>
    </w:p>
    <w:p w14:paraId="5C2DFB99" w14:textId="77777777" w:rsidR="00C171FA" w:rsidRDefault="00BB608B" w:rsidP="00C171FA">
      <w:pPr>
        <w:rPr>
          <w:rFonts w:ascii="Verdana" w:hAnsi="Verdana"/>
          <w:b/>
          <w:bCs/>
          <w:lang w:val="en-GB"/>
        </w:rPr>
      </w:pPr>
      <w:r w:rsidRPr="00BB608B">
        <w:rPr>
          <w:rFonts w:ascii="Verdana" w:hAnsi="Verdana"/>
          <w:b/>
          <w:bCs/>
          <w:lang w:val="en-GB"/>
        </w:rPr>
        <w:t>2. Specialist Care Pathways</w:t>
      </w:r>
    </w:p>
    <w:p w14:paraId="574536A6" w14:textId="5BA82205" w:rsidR="00C171FA" w:rsidRPr="00C171FA" w:rsidRDefault="00C171FA" w:rsidP="00C171FA">
      <w:pPr>
        <w:rPr>
          <w:rFonts w:ascii="Verdana" w:hAnsi="Verdana"/>
          <w:b/>
          <w:bCs/>
          <w:lang w:val="en-GB"/>
        </w:rPr>
      </w:pPr>
      <w:r w:rsidRPr="00C171FA">
        <w:rPr>
          <w:rFonts w:ascii="Verdana" w:hAnsi="Verdana"/>
          <w:b/>
          <w:bCs/>
          <w:lang w:val="en-GB"/>
        </w:rPr>
        <w:t>Establish ARBI Specialist Clinics:</w:t>
      </w:r>
    </w:p>
    <w:p w14:paraId="4F069019" w14:textId="154E6EB3" w:rsidR="00C171FA" w:rsidRPr="00C171FA" w:rsidRDefault="00C171FA" w:rsidP="00C171FA">
      <w:pPr>
        <w:rPr>
          <w:rFonts w:ascii="Verdana" w:hAnsi="Verdana"/>
          <w:lang w:val="en-GB"/>
        </w:rPr>
      </w:pPr>
      <w:r w:rsidRPr="00C171FA">
        <w:rPr>
          <w:rFonts w:ascii="Verdana" w:hAnsi="Verdana"/>
          <w:lang w:val="en-GB"/>
        </w:rPr>
        <w:t>Focus on neurorehabilitation and sustained care for those with chronic ARBI, integrating memory assessment services without a strict abstinence requirement.</w:t>
      </w:r>
    </w:p>
    <w:p w14:paraId="7215DF57" w14:textId="5F4DA325" w:rsidR="00BB608B" w:rsidRPr="00BB608B" w:rsidRDefault="00BB608B" w:rsidP="00CA656D">
      <w:pPr>
        <w:numPr>
          <w:ilvl w:val="0"/>
          <w:numId w:val="4"/>
        </w:numPr>
        <w:rPr>
          <w:rFonts w:ascii="Verdana" w:hAnsi="Verdana"/>
          <w:lang w:val="en-GB"/>
        </w:rPr>
      </w:pPr>
      <w:r w:rsidRPr="00BB608B">
        <w:rPr>
          <w:rFonts w:ascii="Verdana" w:hAnsi="Verdana"/>
          <w:b/>
          <w:bCs/>
          <w:lang w:val="en-GB"/>
        </w:rPr>
        <w:t xml:space="preserve">Memory Clinics with </w:t>
      </w:r>
      <w:r w:rsidR="00122E50">
        <w:rPr>
          <w:rFonts w:ascii="Verdana" w:hAnsi="Verdana"/>
          <w:b/>
          <w:bCs/>
          <w:lang w:val="en-GB"/>
        </w:rPr>
        <w:t>ARBI</w:t>
      </w:r>
      <w:r w:rsidRPr="00BB608B">
        <w:rPr>
          <w:rFonts w:ascii="Verdana" w:hAnsi="Verdana"/>
          <w:b/>
          <w:bCs/>
          <w:lang w:val="en-GB"/>
        </w:rPr>
        <w:t xml:space="preserve"> Expertise:</w:t>
      </w:r>
      <w:r w:rsidRPr="00BB608B">
        <w:rPr>
          <w:rFonts w:ascii="Verdana" w:hAnsi="Verdana"/>
          <w:lang w:val="en-GB"/>
        </w:rPr>
        <w:t xml:space="preserve"> Develop assessment pathways that accommodate alcohol-related cognitive impairment without requiring abstinence as a precondition.</w:t>
      </w:r>
    </w:p>
    <w:p w14:paraId="4C25F4C1" w14:textId="77777777" w:rsidR="00BB608B" w:rsidRDefault="00BB608B" w:rsidP="00CA656D">
      <w:pPr>
        <w:numPr>
          <w:ilvl w:val="0"/>
          <w:numId w:val="4"/>
        </w:numPr>
        <w:rPr>
          <w:rFonts w:ascii="Verdana" w:hAnsi="Verdana"/>
          <w:lang w:val="en-GB"/>
        </w:rPr>
      </w:pPr>
      <w:r w:rsidRPr="00BB608B">
        <w:rPr>
          <w:rFonts w:ascii="Verdana" w:hAnsi="Verdana"/>
          <w:b/>
          <w:bCs/>
          <w:lang w:val="en-GB"/>
        </w:rPr>
        <w:t>Neuropsychological Support:</w:t>
      </w:r>
      <w:r w:rsidRPr="00BB608B">
        <w:rPr>
          <w:rFonts w:ascii="Verdana" w:hAnsi="Verdana"/>
          <w:lang w:val="en-GB"/>
        </w:rPr>
        <w:t xml:space="preserve"> Provide tailored interventions to maintain cognitive functions and develop compensatory strategies.</w:t>
      </w:r>
    </w:p>
    <w:p w14:paraId="5523B2C4" w14:textId="4F6E1327" w:rsidR="00244B4E" w:rsidRPr="00244B4E" w:rsidRDefault="00244B4E" w:rsidP="00CA656D">
      <w:pPr>
        <w:pStyle w:val="ListParagraph"/>
        <w:numPr>
          <w:ilvl w:val="0"/>
          <w:numId w:val="9"/>
        </w:numPr>
        <w:rPr>
          <w:rFonts w:ascii="Verdana" w:hAnsi="Verdana"/>
        </w:rPr>
      </w:pPr>
      <w:r w:rsidRPr="00186321">
        <w:rPr>
          <w:rFonts w:ascii="Verdana" w:hAnsi="Verdana"/>
          <w:b/>
          <w:bCs/>
        </w:rPr>
        <w:t xml:space="preserve">Nutritional </w:t>
      </w:r>
      <w:r w:rsidR="00417CEA">
        <w:rPr>
          <w:rFonts w:ascii="Verdana" w:hAnsi="Verdana"/>
          <w:b/>
          <w:bCs/>
        </w:rPr>
        <w:t>and</w:t>
      </w:r>
      <w:r w:rsidRPr="00186321">
        <w:rPr>
          <w:rFonts w:ascii="Verdana" w:hAnsi="Verdana"/>
          <w:b/>
          <w:bCs/>
        </w:rPr>
        <w:t xml:space="preserve"> Metabolic Correction</w:t>
      </w:r>
      <w:r w:rsidRPr="00244B4E">
        <w:rPr>
          <w:rFonts w:ascii="Verdana" w:hAnsi="Verdana"/>
        </w:rPr>
        <w:t xml:space="preserve"> - High-Dose Thiamine (Vitamin B1) Therapy</w:t>
      </w:r>
    </w:p>
    <w:p w14:paraId="7FE18905" w14:textId="77777777" w:rsidR="00244B4E" w:rsidRDefault="00244B4E" w:rsidP="00CA656D">
      <w:pPr>
        <w:pStyle w:val="ListParagraph"/>
        <w:numPr>
          <w:ilvl w:val="0"/>
          <w:numId w:val="9"/>
        </w:numPr>
        <w:rPr>
          <w:rFonts w:ascii="Verdana" w:hAnsi="Verdana"/>
        </w:rPr>
      </w:pPr>
      <w:r w:rsidRPr="00186321">
        <w:rPr>
          <w:rFonts w:ascii="Verdana" w:hAnsi="Verdana"/>
          <w:b/>
          <w:bCs/>
        </w:rPr>
        <w:t>MoCA</w:t>
      </w:r>
      <w:r w:rsidRPr="002D3A83">
        <w:rPr>
          <w:rFonts w:ascii="Verdana" w:hAnsi="Verdana"/>
        </w:rPr>
        <w:t xml:space="preserve"> for psychometric testing. </w:t>
      </w:r>
    </w:p>
    <w:p w14:paraId="6D893941" w14:textId="77777777" w:rsidR="00244B4E" w:rsidRPr="002D3A83" w:rsidRDefault="00244B4E" w:rsidP="00CA656D">
      <w:pPr>
        <w:pStyle w:val="ListParagraph"/>
        <w:numPr>
          <w:ilvl w:val="0"/>
          <w:numId w:val="9"/>
        </w:numPr>
        <w:rPr>
          <w:rFonts w:ascii="Verdana" w:hAnsi="Verdana"/>
        </w:rPr>
      </w:pPr>
      <w:r w:rsidRPr="00186321">
        <w:rPr>
          <w:rFonts w:ascii="Verdana" w:hAnsi="Verdana"/>
          <w:b/>
          <w:bCs/>
        </w:rPr>
        <w:t>Neuroimaging</w:t>
      </w:r>
      <w:r w:rsidRPr="002D3A83">
        <w:rPr>
          <w:rFonts w:ascii="Verdana" w:hAnsi="Verdana"/>
        </w:rPr>
        <w:t xml:space="preserve"> (MRI &amp; CT </w:t>
      </w:r>
      <w:proofErr w:type="gramStart"/>
      <w:r w:rsidRPr="002D3A83">
        <w:rPr>
          <w:rFonts w:ascii="Verdana" w:hAnsi="Verdana"/>
        </w:rPr>
        <w:t>Scans)  if</w:t>
      </w:r>
      <w:proofErr w:type="gramEnd"/>
      <w:r w:rsidRPr="002D3A83">
        <w:rPr>
          <w:rFonts w:ascii="Verdana" w:hAnsi="Verdana"/>
        </w:rPr>
        <w:t xml:space="preserve"> can be tolerated, consider Neuro-imaging irrelevant is achieved abstinence or not</w:t>
      </w:r>
    </w:p>
    <w:p w14:paraId="44665AB0" w14:textId="77777777" w:rsidR="00244B4E" w:rsidRPr="006E01ED" w:rsidRDefault="00244B4E" w:rsidP="00244B4E">
      <w:pPr>
        <w:pStyle w:val="ListParagraph"/>
        <w:ind w:left="2160"/>
        <w:rPr>
          <w:rFonts w:ascii="Verdana" w:hAnsi="Verdana"/>
        </w:rPr>
      </w:pPr>
    </w:p>
    <w:p w14:paraId="6EECF119" w14:textId="77777777" w:rsidR="00981699" w:rsidRDefault="00244B4E" w:rsidP="00CA656D">
      <w:pPr>
        <w:pStyle w:val="ListParagraph"/>
        <w:numPr>
          <w:ilvl w:val="1"/>
          <w:numId w:val="9"/>
        </w:numPr>
        <w:rPr>
          <w:rFonts w:ascii="Verdana" w:hAnsi="Verdana"/>
        </w:rPr>
      </w:pPr>
      <w:r w:rsidRPr="00981699">
        <w:rPr>
          <w:rFonts w:ascii="Verdana" w:hAnsi="Verdana"/>
        </w:rPr>
        <w:t>MRI (Preferred over CT)</w:t>
      </w:r>
    </w:p>
    <w:p w14:paraId="504A8A01" w14:textId="77777777" w:rsidR="00981699" w:rsidRDefault="00244B4E" w:rsidP="00CA656D">
      <w:pPr>
        <w:pStyle w:val="ListParagraph"/>
        <w:numPr>
          <w:ilvl w:val="1"/>
          <w:numId w:val="9"/>
        </w:numPr>
        <w:rPr>
          <w:rFonts w:ascii="Verdana" w:hAnsi="Verdana"/>
        </w:rPr>
      </w:pPr>
      <w:r w:rsidRPr="00981699">
        <w:rPr>
          <w:rFonts w:ascii="Verdana" w:hAnsi="Verdana"/>
        </w:rPr>
        <w:t>Detects brain atrophy, particularly in the frontal lobes and corpus callosum (typical in ARBI).</w:t>
      </w:r>
    </w:p>
    <w:p w14:paraId="32C65FCA" w14:textId="77777777" w:rsidR="00981699" w:rsidRDefault="00244B4E" w:rsidP="00CA656D">
      <w:pPr>
        <w:pStyle w:val="ListParagraph"/>
        <w:numPr>
          <w:ilvl w:val="1"/>
          <w:numId w:val="9"/>
        </w:numPr>
        <w:rPr>
          <w:rFonts w:ascii="Verdana" w:hAnsi="Verdana"/>
        </w:rPr>
      </w:pPr>
      <w:r w:rsidRPr="00981699">
        <w:rPr>
          <w:rFonts w:ascii="Verdana" w:hAnsi="Verdana"/>
        </w:rPr>
        <w:t>Identifies white matter lesions and microbleeds in vascular dementia.</w:t>
      </w:r>
    </w:p>
    <w:p w14:paraId="59CD144A" w14:textId="77777777" w:rsidR="00981699" w:rsidRDefault="00244B4E" w:rsidP="00CA656D">
      <w:pPr>
        <w:pStyle w:val="ListParagraph"/>
        <w:numPr>
          <w:ilvl w:val="1"/>
          <w:numId w:val="9"/>
        </w:numPr>
        <w:rPr>
          <w:rFonts w:ascii="Verdana" w:hAnsi="Verdana"/>
        </w:rPr>
      </w:pPr>
      <w:r w:rsidRPr="00981699">
        <w:rPr>
          <w:rFonts w:ascii="Verdana" w:hAnsi="Verdana"/>
        </w:rPr>
        <w:t>Shows hippocampal atrophy in Alzheimer’s disease.</w:t>
      </w:r>
    </w:p>
    <w:p w14:paraId="0CDDB99B" w14:textId="096FEFE8" w:rsidR="00981699" w:rsidRPr="00D32B06" w:rsidRDefault="00244B4E" w:rsidP="00CA656D">
      <w:pPr>
        <w:pStyle w:val="ListParagraph"/>
        <w:numPr>
          <w:ilvl w:val="1"/>
          <w:numId w:val="9"/>
        </w:numPr>
        <w:rPr>
          <w:rFonts w:ascii="Verdana" w:hAnsi="Verdana"/>
        </w:rPr>
      </w:pPr>
      <w:r w:rsidRPr="00D32B06">
        <w:rPr>
          <w:rFonts w:ascii="Verdana" w:hAnsi="Verdana"/>
        </w:rPr>
        <w:t xml:space="preserve">CT </w:t>
      </w:r>
      <w:proofErr w:type="gramStart"/>
      <w:r w:rsidRPr="00D32B06">
        <w:rPr>
          <w:rFonts w:ascii="Verdana" w:hAnsi="Verdana"/>
        </w:rPr>
        <w:t>Scan</w:t>
      </w:r>
      <w:r w:rsidR="00D32B06" w:rsidRPr="00D32B06">
        <w:rPr>
          <w:rFonts w:ascii="Verdana" w:hAnsi="Verdana"/>
        </w:rPr>
        <w:t xml:space="preserve"> </w:t>
      </w:r>
      <w:r w:rsidR="00D32B06">
        <w:rPr>
          <w:rFonts w:ascii="Verdana" w:hAnsi="Verdana"/>
        </w:rPr>
        <w:t xml:space="preserve"> -</w:t>
      </w:r>
      <w:proofErr w:type="gramEnd"/>
      <w:r w:rsidR="00D32B06">
        <w:rPr>
          <w:rFonts w:ascii="Verdana" w:hAnsi="Verdana"/>
        </w:rPr>
        <w:t xml:space="preserve"> </w:t>
      </w:r>
      <w:r w:rsidRPr="00D32B06">
        <w:rPr>
          <w:rFonts w:ascii="Verdana" w:hAnsi="Verdana"/>
        </w:rPr>
        <w:t>Used when MRI is unavailable.</w:t>
      </w:r>
    </w:p>
    <w:p w14:paraId="63302A65" w14:textId="3215E422" w:rsidR="00244B4E" w:rsidRDefault="00244B4E" w:rsidP="00CA656D">
      <w:pPr>
        <w:pStyle w:val="ListParagraph"/>
        <w:numPr>
          <w:ilvl w:val="1"/>
          <w:numId w:val="9"/>
        </w:numPr>
        <w:rPr>
          <w:rFonts w:ascii="Verdana" w:hAnsi="Verdana"/>
        </w:rPr>
      </w:pPr>
      <w:r w:rsidRPr="00981699">
        <w:rPr>
          <w:rFonts w:ascii="Verdana" w:hAnsi="Verdana"/>
        </w:rPr>
        <w:t>Can detect enlarged ventricles and brain shrinkage.</w:t>
      </w:r>
    </w:p>
    <w:p w14:paraId="20A0D8B8" w14:textId="77777777" w:rsidR="00981699" w:rsidRPr="00981699" w:rsidRDefault="00981699" w:rsidP="00981699">
      <w:pPr>
        <w:pStyle w:val="ListParagraph"/>
        <w:ind w:left="1440"/>
        <w:rPr>
          <w:rFonts w:ascii="Verdana" w:hAnsi="Verdana"/>
        </w:rPr>
      </w:pPr>
    </w:p>
    <w:p w14:paraId="64BFB3F6" w14:textId="0D92D41C" w:rsidR="00244B4E" w:rsidRPr="002D3A83" w:rsidRDefault="00244B4E" w:rsidP="00CA656D">
      <w:pPr>
        <w:pStyle w:val="ListParagraph"/>
        <w:numPr>
          <w:ilvl w:val="0"/>
          <w:numId w:val="10"/>
        </w:numPr>
        <w:rPr>
          <w:rFonts w:ascii="Verdana" w:hAnsi="Verdana"/>
        </w:rPr>
      </w:pPr>
      <w:r w:rsidRPr="00186321">
        <w:rPr>
          <w:rFonts w:ascii="Verdana" w:hAnsi="Verdana"/>
          <w:b/>
          <w:bCs/>
        </w:rPr>
        <w:t xml:space="preserve">Blood Tests </w:t>
      </w:r>
      <w:r w:rsidR="00417CEA">
        <w:rPr>
          <w:rFonts w:ascii="Verdana" w:hAnsi="Verdana"/>
          <w:b/>
          <w:bCs/>
        </w:rPr>
        <w:t xml:space="preserve">and </w:t>
      </w:r>
      <w:r w:rsidRPr="00186321">
        <w:rPr>
          <w:rFonts w:ascii="Verdana" w:hAnsi="Verdana"/>
          <w:b/>
          <w:bCs/>
        </w:rPr>
        <w:t>Biomarkers</w:t>
      </w:r>
      <w:r w:rsidRPr="002D3A83">
        <w:rPr>
          <w:rFonts w:ascii="Verdana" w:hAnsi="Verdana"/>
        </w:rPr>
        <w:t xml:space="preserve"> – consider medication where appropriate</w:t>
      </w:r>
    </w:p>
    <w:p w14:paraId="2967C447" w14:textId="77777777" w:rsidR="00244B4E" w:rsidRDefault="00244B4E" w:rsidP="00CA656D">
      <w:pPr>
        <w:pStyle w:val="ListParagraph"/>
        <w:numPr>
          <w:ilvl w:val="0"/>
          <w:numId w:val="8"/>
        </w:numPr>
        <w:rPr>
          <w:rFonts w:ascii="Verdana" w:hAnsi="Verdana"/>
        </w:rPr>
      </w:pPr>
      <w:r w:rsidRPr="0086010F">
        <w:rPr>
          <w:rFonts w:ascii="Verdana" w:hAnsi="Verdana"/>
        </w:rPr>
        <w:t>Thiamine (Vitamin B1) Levels: Low levels suggest Wernicke-Korsakoff syndrome (a severe ARBI subtype).</w:t>
      </w:r>
    </w:p>
    <w:p w14:paraId="0CE19E74" w14:textId="77777777" w:rsidR="00244B4E" w:rsidRDefault="00244B4E" w:rsidP="00CA656D">
      <w:pPr>
        <w:pStyle w:val="ListParagraph"/>
        <w:numPr>
          <w:ilvl w:val="0"/>
          <w:numId w:val="8"/>
        </w:numPr>
        <w:rPr>
          <w:rFonts w:ascii="Verdana" w:hAnsi="Verdana"/>
        </w:rPr>
      </w:pPr>
      <w:r w:rsidRPr="0086010F">
        <w:rPr>
          <w:rFonts w:ascii="Verdana" w:hAnsi="Verdana"/>
        </w:rPr>
        <w:t>Liver Function Tests (LFTs): Identifies alcohol-related liver damage that may impact brain function.</w:t>
      </w:r>
    </w:p>
    <w:p w14:paraId="468886A1" w14:textId="77777777" w:rsidR="00244B4E" w:rsidRDefault="00244B4E" w:rsidP="00CA656D">
      <w:pPr>
        <w:pStyle w:val="ListParagraph"/>
        <w:numPr>
          <w:ilvl w:val="0"/>
          <w:numId w:val="8"/>
        </w:numPr>
        <w:rPr>
          <w:rFonts w:ascii="Verdana" w:hAnsi="Verdana"/>
        </w:rPr>
      </w:pPr>
      <w:r w:rsidRPr="0086010F">
        <w:rPr>
          <w:rFonts w:ascii="Verdana" w:hAnsi="Verdana"/>
        </w:rPr>
        <w:t>Vitamin &amp; Nutritional Deficiencies: Deficiencies in folate, B12, and magnesium can worsen cognitive impairment.</w:t>
      </w:r>
    </w:p>
    <w:p w14:paraId="7EA1BB0E" w14:textId="77777777" w:rsidR="00244B4E" w:rsidRDefault="00244B4E" w:rsidP="00CA656D">
      <w:pPr>
        <w:pStyle w:val="ListParagraph"/>
        <w:numPr>
          <w:ilvl w:val="0"/>
          <w:numId w:val="8"/>
        </w:numPr>
        <w:rPr>
          <w:rFonts w:ascii="Verdana" w:hAnsi="Verdana"/>
        </w:rPr>
      </w:pPr>
      <w:r w:rsidRPr="0086010F">
        <w:rPr>
          <w:rFonts w:ascii="Verdana" w:hAnsi="Verdana"/>
        </w:rPr>
        <w:t>Inflammatory &amp; Metabolic Markers: Rule out conditions like hypothyroidism or infections that can mimic dementia.</w:t>
      </w:r>
    </w:p>
    <w:p w14:paraId="0BC0DB92" w14:textId="77777777" w:rsidR="00244B4E" w:rsidRPr="00BB608B" w:rsidRDefault="00244B4E" w:rsidP="00326F8C">
      <w:pPr>
        <w:rPr>
          <w:rFonts w:ascii="Verdana" w:hAnsi="Verdana"/>
          <w:lang w:val="en-GB"/>
        </w:rPr>
      </w:pPr>
    </w:p>
    <w:p w14:paraId="672B7C88" w14:textId="77777777" w:rsidR="00BB608B" w:rsidRPr="00BB608B" w:rsidRDefault="00BB608B" w:rsidP="00BB608B">
      <w:pPr>
        <w:rPr>
          <w:rFonts w:ascii="Verdana" w:hAnsi="Verdana"/>
          <w:b/>
          <w:bCs/>
          <w:lang w:val="en-GB"/>
        </w:rPr>
      </w:pPr>
      <w:r w:rsidRPr="00BB608B">
        <w:rPr>
          <w:rFonts w:ascii="Verdana" w:hAnsi="Verdana"/>
          <w:b/>
          <w:bCs/>
          <w:lang w:val="en-GB"/>
        </w:rPr>
        <w:t>3. Tailored Social and Care Support</w:t>
      </w:r>
    </w:p>
    <w:p w14:paraId="0A55673E" w14:textId="6EBF9FF0" w:rsidR="00BB608B" w:rsidRDefault="00BB608B" w:rsidP="00CA656D">
      <w:pPr>
        <w:numPr>
          <w:ilvl w:val="0"/>
          <w:numId w:val="5"/>
        </w:numPr>
        <w:rPr>
          <w:rFonts w:ascii="Verdana" w:hAnsi="Verdana"/>
          <w:lang w:val="en-GB"/>
        </w:rPr>
      </w:pPr>
      <w:r w:rsidRPr="00BB608B">
        <w:rPr>
          <w:rFonts w:ascii="Verdana" w:hAnsi="Verdana"/>
          <w:b/>
          <w:bCs/>
          <w:lang w:val="en-GB"/>
        </w:rPr>
        <w:t>Case Management Services:</w:t>
      </w:r>
      <w:r w:rsidRPr="00BB608B">
        <w:rPr>
          <w:rFonts w:ascii="Verdana" w:hAnsi="Verdana"/>
          <w:lang w:val="en-GB"/>
        </w:rPr>
        <w:t xml:space="preserve"> Professionals to coordinate healthcare, housing, and benefits for those with </w:t>
      </w:r>
      <w:r w:rsidR="00122E50">
        <w:rPr>
          <w:rFonts w:ascii="Verdana" w:hAnsi="Verdana"/>
          <w:lang w:val="en-GB"/>
        </w:rPr>
        <w:t>ARBI</w:t>
      </w:r>
      <w:r w:rsidRPr="00BB608B">
        <w:rPr>
          <w:rFonts w:ascii="Verdana" w:hAnsi="Verdana"/>
          <w:lang w:val="en-GB"/>
        </w:rPr>
        <w:t>.</w:t>
      </w:r>
    </w:p>
    <w:p w14:paraId="14368C1C" w14:textId="3276FF7C" w:rsidR="00981699" w:rsidRPr="007D5C2B" w:rsidRDefault="00186321" w:rsidP="00CA656D">
      <w:pPr>
        <w:numPr>
          <w:ilvl w:val="0"/>
          <w:numId w:val="1"/>
        </w:numPr>
        <w:rPr>
          <w:rFonts w:ascii="Verdana" w:hAnsi="Verdana"/>
          <w:lang w:val="en-GB"/>
        </w:rPr>
      </w:pPr>
      <w:r w:rsidRPr="00326F8C">
        <w:rPr>
          <w:rFonts w:ascii="Verdana" w:hAnsi="Verdana"/>
          <w:b/>
          <w:bCs/>
        </w:rPr>
        <w:lastRenderedPageBreak/>
        <w:t xml:space="preserve">Specialist Allocated </w:t>
      </w:r>
      <w:r w:rsidR="00326F8C" w:rsidRPr="00326F8C">
        <w:rPr>
          <w:rFonts w:ascii="Verdana" w:hAnsi="Verdana"/>
          <w:b/>
          <w:bCs/>
        </w:rPr>
        <w:t>ARBI support worker/adviser</w:t>
      </w:r>
      <w:r w:rsidR="00252A6A">
        <w:rPr>
          <w:rFonts w:ascii="Verdana" w:hAnsi="Verdana"/>
        </w:rPr>
        <w:t xml:space="preserve"> - Alzheimer's Society provide </w:t>
      </w:r>
      <w:r w:rsidR="002D476F">
        <w:rPr>
          <w:rFonts w:ascii="Verdana" w:hAnsi="Verdana"/>
        </w:rPr>
        <w:t xml:space="preserve">some helpful information and supporting a person who has ARBI </w:t>
      </w:r>
      <w:r w:rsidR="00CF56D0">
        <w:rPr>
          <w:rFonts w:ascii="Verdana" w:hAnsi="Verdana"/>
        </w:rPr>
        <w:t>(Alzheimer’s Society, 2025</w:t>
      </w:r>
      <w:r w:rsidR="002D476F">
        <w:rPr>
          <w:rFonts w:ascii="Verdana" w:hAnsi="Verdana"/>
        </w:rPr>
        <w:t>)</w:t>
      </w:r>
      <w:r w:rsidR="00CF56D0">
        <w:rPr>
          <w:rFonts w:ascii="Verdana" w:hAnsi="Verdana"/>
        </w:rPr>
        <w:t>.</w:t>
      </w:r>
      <w:r w:rsidR="00F443A9">
        <w:rPr>
          <w:rFonts w:ascii="Verdana" w:hAnsi="Verdana"/>
        </w:rPr>
        <w:t xml:space="preserve"> </w:t>
      </w:r>
      <w:r w:rsidR="00981699">
        <w:rPr>
          <w:rFonts w:ascii="Verdana" w:hAnsi="Verdana"/>
          <w:lang w:val="en-GB"/>
        </w:rPr>
        <w:t>A support worker can provide tailored assistance and p</w:t>
      </w:r>
      <w:r w:rsidR="00981699" w:rsidRPr="007D5C2B">
        <w:rPr>
          <w:rFonts w:ascii="Verdana" w:hAnsi="Verdana"/>
          <w:lang w:val="en-GB"/>
        </w:rPr>
        <w:t>ersonali</w:t>
      </w:r>
      <w:r w:rsidR="00981699">
        <w:rPr>
          <w:rFonts w:ascii="Verdana" w:hAnsi="Verdana"/>
          <w:lang w:val="en-GB"/>
        </w:rPr>
        <w:t>s</w:t>
      </w:r>
      <w:r w:rsidR="00981699" w:rsidRPr="007D5C2B">
        <w:rPr>
          <w:rFonts w:ascii="Verdana" w:hAnsi="Verdana"/>
          <w:lang w:val="en-GB"/>
        </w:rPr>
        <w:t>ed Care</w:t>
      </w:r>
      <w:r w:rsidR="00981699">
        <w:rPr>
          <w:rFonts w:ascii="Verdana" w:hAnsi="Verdana"/>
          <w:lang w:val="en-GB"/>
        </w:rPr>
        <w:t>, based on the individu</w:t>
      </w:r>
      <w:r w:rsidR="00981699" w:rsidRPr="007D5C2B">
        <w:rPr>
          <w:rFonts w:ascii="Verdana" w:hAnsi="Verdana"/>
          <w:lang w:val="en-GB"/>
        </w:rPr>
        <w:t>al’s unique needs and circumstances, improving the overall quality of care.</w:t>
      </w:r>
    </w:p>
    <w:p w14:paraId="0BA9DBCD" w14:textId="77777777" w:rsidR="00981699" w:rsidRPr="007D5C2B" w:rsidRDefault="00981699" w:rsidP="00CA656D">
      <w:pPr>
        <w:numPr>
          <w:ilvl w:val="1"/>
          <w:numId w:val="1"/>
        </w:numPr>
        <w:rPr>
          <w:rFonts w:ascii="Verdana" w:hAnsi="Verdana"/>
          <w:lang w:val="en-GB"/>
        </w:rPr>
      </w:pPr>
      <w:r w:rsidRPr="007D5C2B">
        <w:rPr>
          <w:rFonts w:ascii="Verdana" w:hAnsi="Verdana"/>
          <w:lang w:val="en-GB"/>
        </w:rPr>
        <w:t>Consistency and Trust</w:t>
      </w:r>
      <w:r>
        <w:rPr>
          <w:rFonts w:ascii="Verdana" w:hAnsi="Verdana"/>
          <w:lang w:val="en-GB"/>
        </w:rPr>
        <w:t>.</w:t>
      </w:r>
    </w:p>
    <w:p w14:paraId="0E6201D8" w14:textId="77777777" w:rsidR="00981699" w:rsidRPr="007D5C2B" w:rsidRDefault="00981699" w:rsidP="00CA656D">
      <w:pPr>
        <w:numPr>
          <w:ilvl w:val="1"/>
          <w:numId w:val="1"/>
        </w:numPr>
        <w:rPr>
          <w:rFonts w:ascii="Verdana" w:hAnsi="Verdana"/>
          <w:lang w:val="en-GB"/>
        </w:rPr>
      </w:pPr>
      <w:r w:rsidRPr="007D5C2B">
        <w:rPr>
          <w:rFonts w:ascii="Verdana" w:hAnsi="Verdana"/>
          <w:lang w:val="en-GB"/>
        </w:rPr>
        <w:t>Navigation of Services</w:t>
      </w:r>
      <w:r>
        <w:rPr>
          <w:rFonts w:ascii="Verdana" w:hAnsi="Verdana"/>
          <w:lang w:val="en-GB"/>
        </w:rPr>
        <w:t>.</w:t>
      </w:r>
      <w:r w:rsidRPr="007D5C2B">
        <w:rPr>
          <w:rFonts w:ascii="Verdana" w:hAnsi="Verdana"/>
          <w:lang w:val="en-GB"/>
        </w:rPr>
        <w:t xml:space="preserve"> </w:t>
      </w:r>
    </w:p>
    <w:p w14:paraId="60ED820D" w14:textId="77777777" w:rsidR="00981699" w:rsidRDefault="00981699" w:rsidP="00CA656D">
      <w:pPr>
        <w:numPr>
          <w:ilvl w:val="1"/>
          <w:numId w:val="1"/>
        </w:numPr>
        <w:rPr>
          <w:rFonts w:ascii="Verdana" w:hAnsi="Verdana"/>
          <w:lang w:val="en-GB"/>
        </w:rPr>
      </w:pPr>
      <w:r w:rsidRPr="007D5C2B">
        <w:rPr>
          <w:rFonts w:ascii="Verdana" w:hAnsi="Verdana"/>
          <w:lang w:val="en-GB"/>
        </w:rPr>
        <w:t>Advocac</w:t>
      </w:r>
      <w:r>
        <w:rPr>
          <w:rFonts w:ascii="Verdana" w:hAnsi="Verdana"/>
          <w:lang w:val="en-GB"/>
        </w:rPr>
        <w:t>y.</w:t>
      </w:r>
    </w:p>
    <w:p w14:paraId="12A30A9C" w14:textId="77777777" w:rsidR="00981699" w:rsidRPr="007D5C2B" w:rsidRDefault="00981699" w:rsidP="00CA656D">
      <w:pPr>
        <w:numPr>
          <w:ilvl w:val="1"/>
          <w:numId w:val="1"/>
        </w:numPr>
        <w:rPr>
          <w:rFonts w:ascii="Verdana" w:hAnsi="Verdana"/>
          <w:lang w:val="en-GB"/>
        </w:rPr>
      </w:pPr>
      <w:r w:rsidRPr="007D5C2B">
        <w:rPr>
          <w:rFonts w:ascii="Verdana" w:hAnsi="Verdana"/>
          <w:lang w:val="en-GB"/>
        </w:rPr>
        <w:t>Monitoring and Early Intervention</w:t>
      </w:r>
      <w:r>
        <w:rPr>
          <w:rFonts w:ascii="Verdana" w:hAnsi="Verdana"/>
          <w:lang w:val="en-GB"/>
        </w:rPr>
        <w:t>.</w:t>
      </w:r>
    </w:p>
    <w:p w14:paraId="702A9C84" w14:textId="4E08C8B5" w:rsidR="00186321" w:rsidRPr="00981699" w:rsidRDefault="00981699" w:rsidP="00CA656D">
      <w:pPr>
        <w:numPr>
          <w:ilvl w:val="1"/>
          <w:numId w:val="1"/>
        </w:numPr>
        <w:rPr>
          <w:rFonts w:ascii="Verdana" w:hAnsi="Verdana"/>
          <w:lang w:val="en-GB"/>
        </w:rPr>
      </w:pPr>
      <w:r w:rsidRPr="007D5C2B">
        <w:rPr>
          <w:rFonts w:ascii="Verdana" w:hAnsi="Verdana"/>
          <w:lang w:val="en-GB"/>
        </w:rPr>
        <w:t>Emotional Support</w:t>
      </w:r>
    </w:p>
    <w:p w14:paraId="09667657" w14:textId="4B27A586" w:rsidR="00BB608B" w:rsidRPr="00BB608B" w:rsidRDefault="00BB608B" w:rsidP="00CA656D">
      <w:pPr>
        <w:numPr>
          <w:ilvl w:val="0"/>
          <w:numId w:val="5"/>
        </w:numPr>
        <w:rPr>
          <w:rFonts w:ascii="Verdana" w:hAnsi="Verdana"/>
          <w:lang w:val="en-GB"/>
        </w:rPr>
      </w:pPr>
      <w:r w:rsidRPr="00BB608B">
        <w:rPr>
          <w:rFonts w:ascii="Verdana" w:hAnsi="Verdana"/>
          <w:b/>
          <w:bCs/>
          <w:lang w:val="en-GB"/>
        </w:rPr>
        <w:t>Specialist Residential Facilities:</w:t>
      </w:r>
      <w:r w:rsidRPr="00BB608B">
        <w:rPr>
          <w:rFonts w:ascii="Verdana" w:hAnsi="Verdana"/>
          <w:lang w:val="en-GB"/>
        </w:rPr>
        <w:t xml:space="preserve"> Long-term supported housing with trained staff who understand </w:t>
      </w:r>
      <w:r w:rsidR="00122E50">
        <w:rPr>
          <w:rFonts w:ascii="Verdana" w:hAnsi="Verdana"/>
          <w:lang w:val="en-GB"/>
        </w:rPr>
        <w:t>ARBI</w:t>
      </w:r>
      <w:r w:rsidRPr="00BB608B">
        <w:rPr>
          <w:rFonts w:ascii="Verdana" w:hAnsi="Verdana"/>
          <w:lang w:val="en-GB"/>
        </w:rPr>
        <w:t>'s complexities.</w:t>
      </w:r>
    </w:p>
    <w:p w14:paraId="3AD69FA7" w14:textId="4FADB0D5" w:rsidR="00BB608B" w:rsidRDefault="00BB608B" w:rsidP="00CA656D">
      <w:pPr>
        <w:numPr>
          <w:ilvl w:val="0"/>
          <w:numId w:val="5"/>
        </w:numPr>
        <w:rPr>
          <w:rFonts w:ascii="Verdana" w:hAnsi="Verdana"/>
          <w:lang w:val="en-GB"/>
        </w:rPr>
      </w:pPr>
      <w:r w:rsidRPr="00BB608B">
        <w:rPr>
          <w:rFonts w:ascii="Verdana" w:hAnsi="Verdana"/>
          <w:b/>
          <w:bCs/>
          <w:lang w:val="en-GB"/>
        </w:rPr>
        <w:t>Daily Living Assistance:</w:t>
      </w:r>
      <w:r w:rsidRPr="00BB608B">
        <w:rPr>
          <w:rFonts w:ascii="Verdana" w:hAnsi="Verdana"/>
          <w:lang w:val="en-GB"/>
        </w:rPr>
        <w:t xml:space="preserve"> Support with routines, medication management, and </w:t>
      </w:r>
      <w:r w:rsidR="00C449B3" w:rsidRPr="00BB608B">
        <w:rPr>
          <w:rFonts w:ascii="Verdana" w:hAnsi="Verdana"/>
          <w:lang w:val="en-GB"/>
        </w:rPr>
        <w:t>behavioural</w:t>
      </w:r>
      <w:r w:rsidRPr="00BB608B">
        <w:rPr>
          <w:rFonts w:ascii="Verdana" w:hAnsi="Verdana"/>
          <w:lang w:val="en-GB"/>
        </w:rPr>
        <w:t xml:space="preserve"> challenges.</w:t>
      </w:r>
    </w:p>
    <w:p w14:paraId="11941E03" w14:textId="04930F77" w:rsidR="00F65D5E" w:rsidRPr="00F65D5E" w:rsidRDefault="00F65D5E" w:rsidP="00CA656D">
      <w:pPr>
        <w:pStyle w:val="ListParagraph"/>
        <w:numPr>
          <w:ilvl w:val="0"/>
          <w:numId w:val="5"/>
        </w:numPr>
        <w:rPr>
          <w:rFonts w:ascii="Verdana" w:hAnsi="Verdana"/>
          <w:lang w:val="en-GB"/>
        </w:rPr>
      </w:pPr>
      <w:r w:rsidRPr="00F65D5E">
        <w:rPr>
          <w:rFonts w:ascii="Verdana" w:hAnsi="Verdana"/>
          <w:b/>
          <w:bCs/>
          <w:lang w:val="en-GB"/>
        </w:rPr>
        <w:t>Training Programs for Care Providers:</w:t>
      </w:r>
      <w:r w:rsidRPr="00F65D5E">
        <w:rPr>
          <w:rFonts w:ascii="Verdana" w:hAnsi="Verdana"/>
          <w:lang w:val="en-GB"/>
        </w:rPr>
        <w:br/>
        <w:t>Equip healthcare professionals and support staff with the knowledge to manage ARBI compassionately.</w:t>
      </w:r>
    </w:p>
    <w:p w14:paraId="68514A16" w14:textId="77777777" w:rsidR="00F65D5E" w:rsidRPr="00BB608B" w:rsidRDefault="00F65D5E" w:rsidP="00981699">
      <w:pPr>
        <w:ind w:left="360"/>
        <w:rPr>
          <w:rFonts w:ascii="Verdana" w:hAnsi="Verdana"/>
          <w:lang w:val="en-GB"/>
        </w:rPr>
      </w:pPr>
    </w:p>
    <w:p w14:paraId="56B79E69" w14:textId="77777777" w:rsidR="00BB608B" w:rsidRPr="00BB608B" w:rsidRDefault="00BB608B" w:rsidP="00BB608B">
      <w:pPr>
        <w:rPr>
          <w:rFonts w:ascii="Verdana" w:hAnsi="Verdana"/>
          <w:b/>
          <w:bCs/>
          <w:lang w:val="en-GB"/>
        </w:rPr>
      </w:pPr>
      <w:r w:rsidRPr="00BB608B">
        <w:rPr>
          <w:rFonts w:ascii="Verdana" w:hAnsi="Verdana"/>
          <w:b/>
          <w:bCs/>
          <w:lang w:val="en-GB"/>
        </w:rPr>
        <w:t>4. Holistic Well-Being Focus</w:t>
      </w:r>
    </w:p>
    <w:p w14:paraId="5D450CB1" w14:textId="77777777" w:rsidR="00BB608B" w:rsidRPr="00BB608B" w:rsidRDefault="00BB608B" w:rsidP="00CA656D">
      <w:pPr>
        <w:numPr>
          <w:ilvl w:val="0"/>
          <w:numId w:val="6"/>
        </w:numPr>
        <w:rPr>
          <w:rFonts w:ascii="Verdana" w:hAnsi="Verdana"/>
          <w:lang w:val="en-GB"/>
        </w:rPr>
      </w:pPr>
      <w:r w:rsidRPr="00BB608B">
        <w:rPr>
          <w:rFonts w:ascii="Verdana" w:hAnsi="Verdana"/>
          <w:b/>
          <w:bCs/>
          <w:lang w:val="en-GB"/>
        </w:rPr>
        <w:t>Mental Health Support:</w:t>
      </w:r>
      <w:r w:rsidRPr="00BB608B">
        <w:rPr>
          <w:rFonts w:ascii="Verdana" w:hAnsi="Verdana"/>
          <w:lang w:val="en-GB"/>
        </w:rPr>
        <w:t xml:space="preserve"> Therapeutic interventions to manage anxiety, depression, and social isolation.</w:t>
      </w:r>
    </w:p>
    <w:p w14:paraId="3D04C761" w14:textId="3DA448BC" w:rsidR="00BB608B" w:rsidRPr="00BB608B" w:rsidRDefault="00BB608B" w:rsidP="00CA656D">
      <w:pPr>
        <w:numPr>
          <w:ilvl w:val="0"/>
          <w:numId w:val="6"/>
        </w:numPr>
        <w:rPr>
          <w:rFonts w:ascii="Verdana" w:hAnsi="Verdana"/>
          <w:lang w:val="en-GB"/>
        </w:rPr>
      </w:pPr>
      <w:r w:rsidRPr="00BB608B">
        <w:rPr>
          <w:rFonts w:ascii="Verdana" w:hAnsi="Verdana"/>
          <w:b/>
          <w:bCs/>
          <w:lang w:val="en-GB"/>
        </w:rPr>
        <w:t>Peer Support Networks:</w:t>
      </w:r>
      <w:r w:rsidRPr="00BB608B">
        <w:rPr>
          <w:rFonts w:ascii="Verdana" w:hAnsi="Verdana"/>
          <w:lang w:val="en-GB"/>
        </w:rPr>
        <w:t xml:space="preserve"> Programs for individuals with </w:t>
      </w:r>
      <w:r w:rsidR="00122E50">
        <w:rPr>
          <w:rFonts w:ascii="Verdana" w:hAnsi="Verdana"/>
          <w:lang w:val="en-GB"/>
        </w:rPr>
        <w:t>ARBI</w:t>
      </w:r>
      <w:r w:rsidRPr="00BB608B">
        <w:rPr>
          <w:rFonts w:ascii="Verdana" w:hAnsi="Verdana"/>
          <w:lang w:val="en-GB"/>
        </w:rPr>
        <w:t xml:space="preserve"> to connect, share experiences, and reduce isolation.</w:t>
      </w:r>
    </w:p>
    <w:p w14:paraId="7B61AF59" w14:textId="77777777" w:rsidR="00BB608B" w:rsidRPr="00BB608B" w:rsidRDefault="00BB608B" w:rsidP="00CA656D">
      <w:pPr>
        <w:numPr>
          <w:ilvl w:val="0"/>
          <w:numId w:val="6"/>
        </w:numPr>
        <w:rPr>
          <w:rFonts w:ascii="Verdana" w:hAnsi="Verdana"/>
          <w:lang w:val="en-GB"/>
        </w:rPr>
      </w:pPr>
      <w:r w:rsidRPr="00BB608B">
        <w:rPr>
          <w:rFonts w:ascii="Verdana" w:hAnsi="Verdana"/>
          <w:b/>
          <w:bCs/>
          <w:lang w:val="en-GB"/>
        </w:rPr>
        <w:t>Recreational and Cognitive Stimulation Activities:</w:t>
      </w:r>
      <w:r w:rsidRPr="00BB608B">
        <w:rPr>
          <w:rFonts w:ascii="Verdana" w:hAnsi="Verdana"/>
          <w:lang w:val="en-GB"/>
        </w:rPr>
        <w:t xml:space="preserve"> Tailored programs to enhance cognitive function and emotional well-being.</w:t>
      </w:r>
    </w:p>
    <w:p w14:paraId="6D90E4BD" w14:textId="77777777" w:rsidR="00BB608B" w:rsidRPr="00BB608B" w:rsidRDefault="00BB608B" w:rsidP="00BB608B">
      <w:pPr>
        <w:rPr>
          <w:rFonts w:ascii="Verdana" w:hAnsi="Verdana"/>
          <w:b/>
          <w:bCs/>
          <w:lang w:val="en-GB"/>
        </w:rPr>
      </w:pPr>
      <w:r w:rsidRPr="00BB608B">
        <w:rPr>
          <w:rFonts w:ascii="Verdana" w:hAnsi="Verdana"/>
          <w:b/>
          <w:bCs/>
          <w:lang w:val="en-GB"/>
        </w:rPr>
        <w:t>5. Financial and Legal Assistance</w:t>
      </w:r>
    </w:p>
    <w:p w14:paraId="6AA406CA" w14:textId="780D1A5B" w:rsidR="00BB608B" w:rsidRPr="00BB608B" w:rsidRDefault="00BB608B" w:rsidP="00CA656D">
      <w:pPr>
        <w:numPr>
          <w:ilvl w:val="0"/>
          <w:numId w:val="7"/>
        </w:numPr>
        <w:rPr>
          <w:rFonts w:ascii="Verdana" w:hAnsi="Verdana"/>
          <w:lang w:val="en-GB"/>
        </w:rPr>
      </w:pPr>
      <w:r w:rsidRPr="00BB608B">
        <w:rPr>
          <w:rFonts w:ascii="Verdana" w:hAnsi="Verdana"/>
          <w:b/>
          <w:bCs/>
          <w:lang w:val="en-GB"/>
        </w:rPr>
        <w:t>Benefit Navigation:</w:t>
      </w:r>
      <w:r w:rsidRPr="00BB608B">
        <w:rPr>
          <w:rFonts w:ascii="Verdana" w:hAnsi="Verdana"/>
          <w:lang w:val="en-GB"/>
        </w:rPr>
        <w:t xml:space="preserve"> Support accessing disability benefits when </w:t>
      </w:r>
      <w:r w:rsidR="00122E50">
        <w:rPr>
          <w:rFonts w:ascii="Verdana" w:hAnsi="Verdana"/>
          <w:lang w:val="en-GB"/>
        </w:rPr>
        <w:t>ARBI</w:t>
      </w:r>
      <w:r w:rsidRPr="00BB608B">
        <w:rPr>
          <w:rFonts w:ascii="Verdana" w:hAnsi="Verdana"/>
          <w:lang w:val="en-GB"/>
        </w:rPr>
        <w:t xml:space="preserve"> limits employment.</w:t>
      </w:r>
    </w:p>
    <w:p w14:paraId="31A57562" w14:textId="77777777" w:rsidR="00BB608B" w:rsidRDefault="00BB608B" w:rsidP="00CA656D">
      <w:pPr>
        <w:numPr>
          <w:ilvl w:val="0"/>
          <w:numId w:val="7"/>
        </w:numPr>
        <w:rPr>
          <w:rFonts w:ascii="Verdana" w:hAnsi="Verdana"/>
          <w:lang w:val="en-GB"/>
        </w:rPr>
      </w:pPr>
      <w:r w:rsidRPr="00BB608B">
        <w:rPr>
          <w:rFonts w:ascii="Verdana" w:hAnsi="Verdana"/>
          <w:b/>
          <w:bCs/>
          <w:lang w:val="en-GB"/>
        </w:rPr>
        <w:t>Legal Advocacy:</w:t>
      </w:r>
      <w:r w:rsidRPr="00BB608B">
        <w:rPr>
          <w:rFonts w:ascii="Verdana" w:hAnsi="Verdana"/>
          <w:lang w:val="en-GB"/>
        </w:rPr>
        <w:t xml:space="preserve"> Assistance in securing appropriate care and housing.</w:t>
      </w:r>
    </w:p>
    <w:p w14:paraId="400EEDAE" w14:textId="77777777" w:rsidR="0011009F" w:rsidRPr="00742E1F" w:rsidRDefault="0011009F" w:rsidP="0011009F">
      <w:pPr>
        <w:rPr>
          <w:rFonts w:ascii="Verdana" w:hAnsi="Verdana"/>
          <w:b/>
          <w:bCs/>
        </w:rPr>
      </w:pPr>
      <w:r>
        <w:rPr>
          <w:rFonts w:ascii="Verdana" w:hAnsi="Verdana"/>
          <w:b/>
          <w:bCs/>
          <w:lang w:val="en-GB"/>
        </w:rPr>
        <w:t xml:space="preserve">6. </w:t>
      </w:r>
      <w:r w:rsidRPr="00742E1F">
        <w:rPr>
          <w:rFonts w:ascii="Verdana" w:hAnsi="Verdana"/>
          <w:b/>
          <w:bCs/>
        </w:rPr>
        <w:t>Support for Families and Carers</w:t>
      </w:r>
    </w:p>
    <w:p w14:paraId="17C103BB" w14:textId="6ECF161D" w:rsidR="0011009F" w:rsidRPr="001C195B" w:rsidRDefault="0011009F" w:rsidP="0011009F">
      <w:pPr>
        <w:rPr>
          <w:rFonts w:ascii="Verdana" w:hAnsi="Verdana"/>
        </w:rPr>
      </w:pPr>
      <w:r w:rsidRPr="00742E1F">
        <w:rPr>
          <w:rFonts w:ascii="Verdana" w:hAnsi="Verdana"/>
        </w:rPr>
        <w:t xml:space="preserve">Support for family to understand the changes and the impact. Alzheimers Society </w:t>
      </w:r>
      <w:r>
        <w:rPr>
          <w:rFonts w:ascii="Verdana" w:hAnsi="Verdana"/>
        </w:rPr>
        <w:t xml:space="preserve">(Alzheimer’s Society, 2025) </w:t>
      </w:r>
      <w:r w:rsidRPr="00742E1F">
        <w:rPr>
          <w:rFonts w:ascii="Verdana" w:hAnsi="Verdana"/>
        </w:rPr>
        <w:t xml:space="preserve">offer </w:t>
      </w:r>
      <w:r w:rsidR="00727B7D">
        <w:rPr>
          <w:rFonts w:ascii="Verdana" w:hAnsi="Verdana"/>
        </w:rPr>
        <w:t xml:space="preserve">the Carers Information Support Programme, a training programme </w:t>
      </w:r>
      <w:r w:rsidRPr="00742E1F">
        <w:rPr>
          <w:rFonts w:ascii="Verdana" w:hAnsi="Verdana"/>
        </w:rPr>
        <w:t>for carers of people with M</w:t>
      </w:r>
      <w:r w:rsidR="00EC1370">
        <w:rPr>
          <w:rFonts w:ascii="Verdana" w:hAnsi="Verdana"/>
        </w:rPr>
        <w:t xml:space="preserve">ild </w:t>
      </w:r>
      <w:r w:rsidRPr="00742E1F">
        <w:rPr>
          <w:rFonts w:ascii="Verdana" w:hAnsi="Verdana"/>
        </w:rPr>
        <w:t>C</w:t>
      </w:r>
      <w:r w:rsidR="00EC1370">
        <w:rPr>
          <w:rFonts w:ascii="Verdana" w:hAnsi="Verdana"/>
        </w:rPr>
        <w:t xml:space="preserve">ognitive </w:t>
      </w:r>
      <w:r w:rsidR="00EC1370" w:rsidRPr="00742E1F">
        <w:rPr>
          <w:rFonts w:ascii="Verdana" w:hAnsi="Verdana"/>
        </w:rPr>
        <w:t>I</w:t>
      </w:r>
      <w:r w:rsidR="00EC1370">
        <w:rPr>
          <w:rFonts w:ascii="Verdana" w:hAnsi="Verdana"/>
        </w:rPr>
        <w:t>mpairment</w:t>
      </w:r>
      <w:r w:rsidRPr="00742E1F">
        <w:rPr>
          <w:rFonts w:ascii="Verdana" w:hAnsi="Verdana"/>
        </w:rPr>
        <w:t xml:space="preserve"> or dementia. Th</w:t>
      </w:r>
      <w:r w:rsidR="00727B7D">
        <w:rPr>
          <w:rFonts w:ascii="Verdana" w:hAnsi="Verdana"/>
        </w:rPr>
        <w:t>is</w:t>
      </w:r>
      <w:r w:rsidRPr="00742E1F">
        <w:rPr>
          <w:rFonts w:ascii="Verdana" w:hAnsi="Verdana"/>
        </w:rPr>
        <w:t xml:space="preserve"> 4-week programme provides support and up-to-date, relevant information in a group environment, where carers can share experiences and find out about local and national services that can offer support. </w:t>
      </w:r>
      <w:r w:rsidRPr="001C195B">
        <w:rPr>
          <w:rFonts w:ascii="Verdana" w:hAnsi="Verdana"/>
        </w:rPr>
        <w:t>The programme enable</w:t>
      </w:r>
      <w:r w:rsidR="004A539D">
        <w:rPr>
          <w:rFonts w:ascii="Verdana" w:hAnsi="Verdana"/>
        </w:rPr>
        <w:t>s</w:t>
      </w:r>
      <w:r w:rsidRPr="001C195B">
        <w:rPr>
          <w:rFonts w:ascii="Verdana" w:hAnsi="Verdana"/>
        </w:rPr>
        <w:t xml:space="preserve"> carers to have increased knowledge of dementia, </w:t>
      </w:r>
      <w:r w:rsidRPr="001C195B">
        <w:rPr>
          <w:rFonts w:ascii="Verdana" w:hAnsi="Verdana"/>
        </w:rPr>
        <w:lastRenderedPageBreak/>
        <w:t>providing carers with practical information that they can use in coping with living with dementia day-to-day.</w:t>
      </w:r>
    </w:p>
    <w:p w14:paraId="62B8D667" w14:textId="77777777" w:rsidR="0011009F" w:rsidRDefault="0011009F" w:rsidP="0011009F">
      <w:pPr>
        <w:rPr>
          <w:rFonts w:ascii="Verdana" w:hAnsi="Verdana"/>
        </w:rPr>
      </w:pPr>
      <w:r>
        <w:rPr>
          <w:rFonts w:ascii="Verdana" w:hAnsi="Verdana"/>
        </w:rPr>
        <w:t xml:space="preserve">A similar initiative could be considered for this cohort of people. </w:t>
      </w:r>
    </w:p>
    <w:p w14:paraId="6F363868" w14:textId="5BE676AF" w:rsidR="006F2670" w:rsidRPr="00742E1F" w:rsidRDefault="006F2670" w:rsidP="006F2670">
      <w:pPr>
        <w:rPr>
          <w:rFonts w:ascii="Verdana" w:hAnsi="Verdana"/>
          <w:b/>
          <w:bCs/>
        </w:rPr>
      </w:pPr>
      <w:r>
        <w:rPr>
          <w:rFonts w:ascii="Verdana" w:hAnsi="Verdana"/>
        </w:rPr>
        <w:t xml:space="preserve">7. </w:t>
      </w:r>
      <w:r w:rsidRPr="006F2670">
        <w:rPr>
          <w:rFonts w:ascii="Verdana" w:hAnsi="Verdana"/>
          <w:b/>
          <w:bCs/>
        </w:rPr>
        <w:t>Long Term Support</w:t>
      </w:r>
      <w:r>
        <w:rPr>
          <w:rFonts w:ascii="Verdana" w:hAnsi="Verdana"/>
        </w:rPr>
        <w:t xml:space="preserve"> - </w:t>
      </w:r>
      <w:r w:rsidRPr="00742E1F">
        <w:rPr>
          <w:rFonts w:ascii="Verdana" w:hAnsi="Verdana"/>
          <w:b/>
          <w:bCs/>
        </w:rPr>
        <w:t xml:space="preserve">Alternate support pathway </w:t>
      </w:r>
    </w:p>
    <w:p w14:paraId="0E1EF36B" w14:textId="77777777" w:rsidR="006F2670" w:rsidRDefault="006F2670" w:rsidP="00AD4E6A">
      <w:pPr>
        <w:rPr>
          <w:rFonts w:ascii="Verdana" w:hAnsi="Verdana"/>
        </w:rPr>
      </w:pPr>
      <w:r w:rsidRPr="00AD4E6A">
        <w:rPr>
          <w:rFonts w:ascii="Verdana" w:hAnsi="Verdana"/>
        </w:rPr>
        <w:t xml:space="preserve">Consider long term support pathway if abstinence is not achievable </w:t>
      </w:r>
    </w:p>
    <w:p w14:paraId="4493CC3D" w14:textId="63DD280E" w:rsidR="000F2ADB" w:rsidRPr="00AD4E6A" w:rsidRDefault="000F2ADB" w:rsidP="000F2ADB">
      <w:pPr>
        <w:rPr>
          <w:rFonts w:ascii="Verdana" w:hAnsi="Verdana"/>
        </w:rPr>
      </w:pPr>
      <w:r w:rsidRPr="00E6782B">
        <w:rPr>
          <w:rFonts w:ascii="Verdana" w:hAnsi="Verdana"/>
        </w:rPr>
        <w:t>C</w:t>
      </w:r>
      <w:r w:rsidRPr="00E6782B">
        <w:rPr>
          <w:rFonts w:ascii="Verdana" w:hAnsi="Verdana"/>
        </w:rPr>
        <w:t>onsider</w:t>
      </w:r>
      <w:r>
        <w:rPr>
          <w:rFonts w:ascii="Verdana" w:hAnsi="Verdana"/>
        </w:rPr>
        <w:t xml:space="preserve"> </w:t>
      </w:r>
      <w:r w:rsidRPr="00E6782B">
        <w:rPr>
          <w:rFonts w:ascii="Verdana" w:hAnsi="Verdana"/>
        </w:rPr>
        <w:t xml:space="preserve">what other pathways exist within dementia diagnosis, like learning disability, where </w:t>
      </w:r>
      <w:r>
        <w:rPr>
          <w:rFonts w:ascii="Verdana" w:hAnsi="Verdana"/>
        </w:rPr>
        <w:t>assessment is</w:t>
      </w:r>
      <w:r w:rsidRPr="00E6782B">
        <w:rPr>
          <w:rFonts w:ascii="Verdana" w:hAnsi="Verdana"/>
        </w:rPr>
        <w:t xml:space="preserve"> over a longer </w:t>
      </w:r>
      <w:proofErr w:type="gramStart"/>
      <w:r w:rsidRPr="00E6782B">
        <w:rPr>
          <w:rFonts w:ascii="Verdana" w:hAnsi="Verdana"/>
        </w:rPr>
        <w:t>period of time</w:t>
      </w:r>
      <w:proofErr w:type="gramEnd"/>
      <w:r>
        <w:rPr>
          <w:rFonts w:ascii="Verdana" w:hAnsi="Verdana"/>
        </w:rPr>
        <w:t>.</w:t>
      </w:r>
    </w:p>
    <w:p w14:paraId="410E4ADF" w14:textId="5C68C6A0" w:rsidR="006F2670" w:rsidRDefault="006F2670" w:rsidP="0011009F">
      <w:pPr>
        <w:rPr>
          <w:rFonts w:ascii="Verdana" w:hAnsi="Verdana"/>
          <w:b/>
          <w:bCs/>
        </w:rPr>
      </w:pPr>
      <w:r>
        <w:rPr>
          <w:rFonts w:ascii="Verdana" w:hAnsi="Verdana"/>
          <w:b/>
          <w:bCs/>
        </w:rPr>
        <w:t>8</w:t>
      </w:r>
      <w:r w:rsidRPr="006F2670">
        <w:rPr>
          <w:rFonts w:ascii="Verdana" w:hAnsi="Verdana"/>
          <w:b/>
          <w:bCs/>
        </w:rPr>
        <w:t>. Advanc</w:t>
      </w:r>
      <w:r w:rsidR="00D04382">
        <w:rPr>
          <w:rFonts w:ascii="Verdana" w:hAnsi="Verdana"/>
          <w:b/>
          <w:bCs/>
        </w:rPr>
        <w:t>e</w:t>
      </w:r>
      <w:r w:rsidRPr="006F2670">
        <w:rPr>
          <w:rFonts w:ascii="Verdana" w:hAnsi="Verdana"/>
          <w:b/>
          <w:bCs/>
        </w:rPr>
        <w:t>d Care Planning</w:t>
      </w:r>
    </w:p>
    <w:p w14:paraId="205003A2" w14:textId="6E14B65C" w:rsidR="00D04382" w:rsidRDefault="00D04382" w:rsidP="00D04382">
      <w:pPr>
        <w:rPr>
          <w:rFonts w:ascii="Verdana" w:hAnsi="Verdana"/>
        </w:rPr>
      </w:pPr>
      <w:r w:rsidRPr="00D04382">
        <w:rPr>
          <w:rFonts w:ascii="Verdana" w:hAnsi="Verdana"/>
        </w:rPr>
        <w:t>Advanced care planning (ACP) for individuals with Alcohol-Related Brain Injury (ARBI) is a vital process that ensures their future care aligns with their preferences and needs</w:t>
      </w:r>
      <w:r w:rsidR="00AD4E6A">
        <w:rPr>
          <w:rFonts w:ascii="Verdana" w:hAnsi="Verdana"/>
        </w:rPr>
        <w:t>.</w:t>
      </w:r>
      <w:r w:rsidR="000559EB">
        <w:rPr>
          <w:rFonts w:ascii="Verdana" w:hAnsi="Verdana"/>
        </w:rPr>
        <w:t xml:space="preserve"> Lasting Power of Attorney may be a priority if the person </w:t>
      </w:r>
      <w:proofErr w:type="gramStart"/>
      <w:r w:rsidR="000559EB">
        <w:rPr>
          <w:rFonts w:ascii="Verdana" w:hAnsi="Verdana"/>
        </w:rPr>
        <w:t>whom</w:t>
      </w:r>
      <w:proofErr w:type="gramEnd"/>
      <w:r w:rsidR="000559EB">
        <w:rPr>
          <w:rFonts w:ascii="Verdana" w:hAnsi="Verdana"/>
        </w:rPr>
        <w:t xml:space="preserve"> is experiencing cognitive impairment still has capacity. </w:t>
      </w:r>
    </w:p>
    <w:p w14:paraId="35C90244" w14:textId="77777777" w:rsidR="001D5316" w:rsidRDefault="001D5316" w:rsidP="00D04382">
      <w:pPr>
        <w:rPr>
          <w:rFonts w:ascii="Verdana" w:hAnsi="Verdana"/>
        </w:rPr>
      </w:pPr>
    </w:p>
    <w:p w14:paraId="66E56454" w14:textId="67DF164B" w:rsidR="00EF50D8" w:rsidRDefault="00EF50D8" w:rsidP="00EF50D8">
      <w:pPr>
        <w:rPr>
          <w:rFonts w:ascii="Verdana" w:hAnsi="Verdana"/>
          <w:b/>
          <w:bCs/>
          <w:lang w:val="en-GB"/>
        </w:rPr>
      </w:pPr>
      <w:r w:rsidRPr="00EF50D8">
        <w:rPr>
          <w:rFonts w:ascii="Verdana" w:hAnsi="Verdana"/>
          <w:b/>
          <w:bCs/>
          <w:lang w:val="en-GB"/>
        </w:rPr>
        <w:t>Recommendations for Support During Abstinence</w:t>
      </w:r>
    </w:p>
    <w:p w14:paraId="22763184" w14:textId="09C2D5D4" w:rsidR="001D5316" w:rsidRPr="00EF50D8" w:rsidRDefault="001D5316" w:rsidP="00EF50D8">
      <w:pPr>
        <w:rPr>
          <w:rFonts w:ascii="Verdana" w:hAnsi="Verdana"/>
          <w:b/>
          <w:bCs/>
          <w:lang w:val="en-GB"/>
        </w:rPr>
      </w:pPr>
      <w:r>
        <w:rPr>
          <w:rFonts w:ascii="Verdana" w:hAnsi="Verdana"/>
        </w:rPr>
        <w:t>Where a person is willing and able to engage in a programme to achieve abstinence, a comprehensive and holistic person-centred approach should be considered</w:t>
      </w:r>
      <w:r w:rsidR="00A501E7">
        <w:rPr>
          <w:rFonts w:ascii="Verdana" w:hAnsi="Verdana"/>
        </w:rPr>
        <w:t xml:space="preserve">, that takes in to account the complexities of cognitive impairment and skills to engage in any type of behaviour. </w:t>
      </w:r>
    </w:p>
    <w:p w14:paraId="7E518169" w14:textId="14F92D24" w:rsidR="00EF50D8" w:rsidRPr="00EF50D8" w:rsidRDefault="00EF50D8" w:rsidP="00CA656D">
      <w:pPr>
        <w:numPr>
          <w:ilvl w:val="0"/>
          <w:numId w:val="1"/>
        </w:numPr>
        <w:rPr>
          <w:rFonts w:ascii="Verdana" w:hAnsi="Verdana"/>
          <w:lang w:val="en-GB"/>
        </w:rPr>
      </w:pPr>
      <w:r w:rsidRPr="00EF50D8">
        <w:rPr>
          <w:rFonts w:ascii="Verdana" w:hAnsi="Verdana"/>
          <w:b/>
          <w:bCs/>
          <w:lang w:val="en-GB"/>
        </w:rPr>
        <w:t>Addiction Support:</w:t>
      </w:r>
      <w:r w:rsidRPr="00EF50D8">
        <w:rPr>
          <w:rFonts w:ascii="Verdana" w:hAnsi="Verdana"/>
          <w:lang w:val="en-GB"/>
        </w:rPr>
        <w:t xml:space="preserve"> Engage in </w:t>
      </w:r>
      <w:r w:rsidR="00A501E7">
        <w:rPr>
          <w:rFonts w:ascii="Verdana" w:hAnsi="Verdana"/>
          <w:lang w:val="en-GB"/>
        </w:rPr>
        <w:t xml:space="preserve">either a </w:t>
      </w:r>
      <w:r w:rsidRPr="00EF50D8">
        <w:rPr>
          <w:rFonts w:ascii="Verdana" w:hAnsi="Verdana"/>
          <w:lang w:val="en-GB"/>
        </w:rPr>
        <w:t xml:space="preserve">community-based addiction recovery programs </w:t>
      </w:r>
      <w:r w:rsidR="00A501E7">
        <w:rPr>
          <w:rFonts w:ascii="Verdana" w:hAnsi="Verdana"/>
          <w:lang w:val="en-GB"/>
        </w:rPr>
        <w:t xml:space="preserve">or a residential based programme, </w:t>
      </w:r>
      <w:r w:rsidR="001166CB">
        <w:rPr>
          <w:rFonts w:ascii="Verdana" w:hAnsi="Verdana"/>
          <w:lang w:val="en-GB"/>
        </w:rPr>
        <w:t xml:space="preserve">without any recourse should this not be sustainable. </w:t>
      </w:r>
    </w:p>
    <w:p w14:paraId="17DEA616" w14:textId="6F452FAC" w:rsidR="00EF50D8" w:rsidRPr="00EF50D8" w:rsidRDefault="00EF50D8" w:rsidP="00CA656D">
      <w:pPr>
        <w:numPr>
          <w:ilvl w:val="0"/>
          <w:numId w:val="1"/>
        </w:numPr>
        <w:rPr>
          <w:rFonts w:ascii="Verdana" w:hAnsi="Verdana"/>
          <w:lang w:val="en-GB"/>
        </w:rPr>
      </w:pPr>
      <w:r w:rsidRPr="00EF50D8">
        <w:rPr>
          <w:rFonts w:ascii="Verdana" w:hAnsi="Verdana"/>
          <w:b/>
          <w:bCs/>
          <w:lang w:val="en-GB"/>
        </w:rPr>
        <w:t>Mental Health Support:</w:t>
      </w:r>
      <w:r w:rsidRPr="00EF50D8">
        <w:rPr>
          <w:rFonts w:ascii="Verdana" w:hAnsi="Verdana"/>
          <w:lang w:val="en-GB"/>
        </w:rPr>
        <w:t xml:space="preserve"> Counsel</w:t>
      </w:r>
      <w:r w:rsidR="001166CB">
        <w:rPr>
          <w:rFonts w:ascii="Verdana" w:hAnsi="Verdana"/>
          <w:lang w:val="en-GB"/>
        </w:rPr>
        <w:t>l</w:t>
      </w:r>
      <w:r w:rsidRPr="00EF50D8">
        <w:rPr>
          <w:rFonts w:ascii="Verdana" w:hAnsi="Verdana"/>
          <w:lang w:val="en-GB"/>
        </w:rPr>
        <w:t>ing to manage anxiety, depression, or motivation issues.</w:t>
      </w:r>
    </w:p>
    <w:p w14:paraId="53966718" w14:textId="77777777" w:rsidR="00EF50D8" w:rsidRPr="00EF50D8" w:rsidRDefault="00EF50D8" w:rsidP="00CA656D">
      <w:pPr>
        <w:numPr>
          <w:ilvl w:val="0"/>
          <w:numId w:val="1"/>
        </w:numPr>
        <w:rPr>
          <w:rFonts w:ascii="Verdana" w:hAnsi="Verdana"/>
          <w:lang w:val="en-GB"/>
        </w:rPr>
      </w:pPr>
      <w:r w:rsidRPr="00EF50D8">
        <w:rPr>
          <w:rFonts w:ascii="Verdana" w:hAnsi="Verdana"/>
          <w:b/>
          <w:bCs/>
          <w:lang w:val="en-GB"/>
        </w:rPr>
        <w:t>Nutritional Therapy:</w:t>
      </w:r>
      <w:r w:rsidRPr="00EF50D8">
        <w:rPr>
          <w:rFonts w:ascii="Verdana" w:hAnsi="Verdana"/>
          <w:lang w:val="en-GB"/>
        </w:rPr>
        <w:t xml:space="preserve"> Vitamin supplementation, particularly thiamine, to support brain health.</w:t>
      </w:r>
    </w:p>
    <w:p w14:paraId="4BFDDA09" w14:textId="1684E12A" w:rsidR="00EF50D8" w:rsidRDefault="000A02DE" w:rsidP="00CA656D">
      <w:pPr>
        <w:numPr>
          <w:ilvl w:val="0"/>
          <w:numId w:val="1"/>
        </w:numPr>
        <w:rPr>
          <w:rFonts w:ascii="Verdana" w:hAnsi="Verdana"/>
          <w:lang w:val="en-GB"/>
        </w:rPr>
      </w:pPr>
      <w:r>
        <w:rPr>
          <w:rFonts w:ascii="Verdana" w:hAnsi="Verdana"/>
          <w:b/>
          <w:bCs/>
          <w:lang w:val="en-GB"/>
        </w:rPr>
        <w:t>Health</w:t>
      </w:r>
      <w:r w:rsidR="00EF50D8" w:rsidRPr="00EF50D8">
        <w:rPr>
          <w:rFonts w:ascii="Verdana" w:hAnsi="Verdana"/>
          <w:b/>
          <w:bCs/>
          <w:lang w:val="en-GB"/>
        </w:rPr>
        <w:t xml:space="preserve"> Care Monitoring:</w:t>
      </w:r>
      <w:r w:rsidR="00EF50D8" w:rsidRPr="00EF50D8">
        <w:rPr>
          <w:rFonts w:ascii="Verdana" w:hAnsi="Verdana"/>
          <w:lang w:val="en-GB"/>
        </w:rPr>
        <w:t xml:space="preserve"> </w:t>
      </w:r>
      <w:r>
        <w:rPr>
          <w:rFonts w:ascii="Verdana" w:hAnsi="Verdana"/>
          <w:lang w:val="en-GB"/>
        </w:rPr>
        <w:t xml:space="preserve">MDT team to </w:t>
      </w:r>
      <w:r w:rsidR="00EF50D8" w:rsidRPr="00EF50D8">
        <w:rPr>
          <w:rFonts w:ascii="Verdana" w:hAnsi="Verdana"/>
          <w:lang w:val="en-GB"/>
        </w:rPr>
        <w:t xml:space="preserve">provide routine </w:t>
      </w:r>
      <w:r>
        <w:rPr>
          <w:rFonts w:ascii="Verdana" w:hAnsi="Verdana"/>
          <w:lang w:val="en-GB"/>
        </w:rPr>
        <w:t xml:space="preserve">physical and </w:t>
      </w:r>
      <w:r w:rsidR="00EF50D8" w:rsidRPr="00EF50D8">
        <w:rPr>
          <w:rFonts w:ascii="Verdana" w:hAnsi="Verdana"/>
          <w:lang w:val="en-GB"/>
        </w:rPr>
        <w:t xml:space="preserve">cognitive screenings during </w:t>
      </w:r>
      <w:r>
        <w:rPr>
          <w:rFonts w:ascii="Verdana" w:hAnsi="Verdana"/>
          <w:lang w:val="en-GB"/>
        </w:rPr>
        <w:t>the programme and afterwards</w:t>
      </w:r>
      <w:r w:rsidR="00F51F03">
        <w:rPr>
          <w:rFonts w:ascii="Verdana" w:hAnsi="Verdana"/>
          <w:lang w:val="en-GB"/>
        </w:rPr>
        <w:t xml:space="preserve">, especially if </w:t>
      </w:r>
      <w:r w:rsidR="00EF50D8" w:rsidRPr="00EF50D8">
        <w:rPr>
          <w:rFonts w:ascii="Verdana" w:hAnsi="Verdana"/>
          <w:lang w:val="en-GB"/>
        </w:rPr>
        <w:t>abstinence</w:t>
      </w:r>
      <w:r w:rsidR="00F51F03">
        <w:rPr>
          <w:rFonts w:ascii="Verdana" w:hAnsi="Verdana"/>
          <w:lang w:val="en-GB"/>
        </w:rPr>
        <w:t xml:space="preserve"> is sustained. </w:t>
      </w:r>
    </w:p>
    <w:p w14:paraId="6BF838AA" w14:textId="78B3FB36" w:rsidR="00F51F03" w:rsidRDefault="00F51F03" w:rsidP="00CA656D">
      <w:pPr>
        <w:numPr>
          <w:ilvl w:val="0"/>
          <w:numId w:val="1"/>
        </w:numPr>
        <w:rPr>
          <w:rFonts w:ascii="Verdana" w:hAnsi="Verdana"/>
          <w:lang w:val="en-GB"/>
        </w:rPr>
      </w:pPr>
      <w:r>
        <w:rPr>
          <w:rFonts w:ascii="Verdana" w:hAnsi="Verdana"/>
          <w:b/>
          <w:bCs/>
          <w:lang w:val="en-GB"/>
        </w:rPr>
        <w:t>Peer Support –</w:t>
      </w:r>
      <w:r>
        <w:rPr>
          <w:rFonts w:ascii="Verdana" w:hAnsi="Verdana"/>
          <w:lang w:val="en-GB"/>
        </w:rPr>
        <w:t xml:space="preserve"> consider the development of a peer support network</w:t>
      </w:r>
      <w:r w:rsidR="00F06F20">
        <w:rPr>
          <w:rFonts w:ascii="Verdana" w:hAnsi="Verdana"/>
          <w:lang w:val="en-GB"/>
        </w:rPr>
        <w:t>.</w:t>
      </w:r>
    </w:p>
    <w:p w14:paraId="310BBEED" w14:textId="62E9BCC1" w:rsidR="007D5C2B" w:rsidRPr="007D5C2B" w:rsidRDefault="004E2AC9" w:rsidP="00CA656D">
      <w:pPr>
        <w:numPr>
          <w:ilvl w:val="0"/>
          <w:numId w:val="1"/>
        </w:numPr>
        <w:rPr>
          <w:rFonts w:ascii="Verdana" w:hAnsi="Verdana"/>
          <w:lang w:val="en-GB"/>
        </w:rPr>
      </w:pPr>
      <w:r>
        <w:rPr>
          <w:rFonts w:ascii="Verdana" w:hAnsi="Verdana"/>
          <w:b/>
          <w:bCs/>
          <w:lang w:val="en-GB"/>
        </w:rPr>
        <w:t xml:space="preserve">Allocated Support </w:t>
      </w:r>
      <w:proofErr w:type="gramStart"/>
      <w:r>
        <w:rPr>
          <w:rFonts w:ascii="Verdana" w:hAnsi="Verdana"/>
          <w:b/>
          <w:bCs/>
          <w:lang w:val="en-GB"/>
        </w:rPr>
        <w:t>Worker  -</w:t>
      </w:r>
      <w:proofErr w:type="gramEnd"/>
      <w:r>
        <w:rPr>
          <w:rFonts w:ascii="Verdana" w:hAnsi="Verdana"/>
          <w:lang w:val="en-GB"/>
        </w:rPr>
        <w:t xml:space="preserve"> </w:t>
      </w:r>
      <w:r w:rsidR="007D5C2B">
        <w:rPr>
          <w:rFonts w:ascii="Verdana" w:hAnsi="Verdana"/>
          <w:lang w:val="en-GB"/>
        </w:rPr>
        <w:t>A support worker can provid</w:t>
      </w:r>
      <w:r w:rsidR="00013EB8">
        <w:rPr>
          <w:rFonts w:ascii="Verdana" w:hAnsi="Verdana"/>
          <w:lang w:val="en-GB"/>
        </w:rPr>
        <w:t>e</w:t>
      </w:r>
      <w:r w:rsidR="007D5C2B">
        <w:rPr>
          <w:rFonts w:ascii="Verdana" w:hAnsi="Verdana"/>
          <w:lang w:val="en-GB"/>
        </w:rPr>
        <w:t xml:space="preserve"> tailored assistance and p</w:t>
      </w:r>
      <w:r w:rsidR="007D5C2B" w:rsidRPr="007D5C2B">
        <w:rPr>
          <w:rFonts w:ascii="Verdana" w:hAnsi="Verdana"/>
          <w:lang w:val="en-GB"/>
        </w:rPr>
        <w:t>ersonali</w:t>
      </w:r>
      <w:r w:rsidR="007D5C2B">
        <w:rPr>
          <w:rFonts w:ascii="Verdana" w:hAnsi="Verdana"/>
          <w:lang w:val="en-GB"/>
        </w:rPr>
        <w:t>s</w:t>
      </w:r>
      <w:r w:rsidR="007D5C2B" w:rsidRPr="007D5C2B">
        <w:rPr>
          <w:rFonts w:ascii="Verdana" w:hAnsi="Verdana"/>
          <w:lang w:val="en-GB"/>
        </w:rPr>
        <w:t>ed Care</w:t>
      </w:r>
      <w:r w:rsidR="007D5C2B">
        <w:rPr>
          <w:rFonts w:ascii="Verdana" w:hAnsi="Verdana"/>
          <w:lang w:val="en-GB"/>
        </w:rPr>
        <w:t>, based on the individu</w:t>
      </w:r>
      <w:r w:rsidR="007D5C2B" w:rsidRPr="007D5C2B">
        <w:rPr>
          <w:rFonts w:ascii="Verdana" w:hAnsi="Verdana"/>
          <w:lang w:val="en-GB"/>
        </w:rPr>
        <w:t>al’s unique needs and circumstances, improving the overall quality of care.</w:t>
      </w:r>
    </w:p>
    <w:p w14:paraId="17FACC47" w14:textId="1E6669B0" w:rsidR="007D5C2B" w:rsidRPr="007D5C2B" w:rsidRDefault="007D5C2B" w:rsidP="00CA656D">
      <w:pPr>
        <w:numPr>
          <w:ilvl w:val="1"/>
          <w:numId w:val="1"/>
        </w:numPr>
        <w:rPr>
          <w:rFonts w:ascii="Verdana" w:hAnsi="Verdana"/>
          <w:lang w:val="en-GB"/>
        </w:rPr>
      </w:pPr>
      <w:r w:rsidRPr="007D5C2B">
        <w:rPr>
          <w:rFonts w:ascii="Verdana" w:hAnsi="Verdana"/>
          <w:lang w:val="en-GB"/>
        </w:rPr>
        <w:t>Consistency and Trust</w:t>
      </w:r>
      <w:r>
        <w:rPr>
          <w:rFonts w:ascii="Verdana" w:hAnsi="Verdana"/>
          <w:lang w:val="en-GB"/>
        </w:rPr>
        <w:t>.</w:t>
      </w:r>
    </w:p>
    <w:p w14:paraId="1BBC9BD3" w14:textId="0E2AE380" w:rsidR="007D5C2B" w:rsidRPr="007D5C2B" w:rsidRDefault="007D5C2B" w:rsidP="00CA656D">
      <w:pPr>
        <w:numPr>
          <w:ilvl w:val="1"/>
          <w:numId w:val="1"/>
        </w:numPr>
        <w:rPr>
          <w:rFonts w:ascii="Verdana" w:hAnsi="Verdana"/>
          <w:lang w:val="en-GB"/>
        </w:rPr>
      </w:pPr>
      <w:r w:rsidRPr="007D5C2B">
        <w:rPr>
          <w:rFonts w:ascii="Verdana" w:hAnsi="Verdana"/>
          <w:lang w:val="en-GB"/>
        </w:rPr>
        <w:t>Navigation of Services</w:t>
      </w:r>
      <w:r>
        <w:rPr>
          <w:rFonts w:ascii="Verdana" w:hAnsi="Verdana"/>
          <w:lang w:val="en-GB"/>
        </w:rPr>
        <w:t>.</w:t>
      </w:r>
      <w:r w:rsidRPr="007D5C2B">
        <w:rPr>
          <w:rFonts w:ascii="Verdana" w:hAnsi="Verdana"/>
          <w:lang w:val="en-GB"/>
        </w:rPr>
        <w:t xml:space="preserve"> </w:t>
      </w:r>
    </w:p>
    <w:p w14:paraId="1366BBB8" w14:textId="77777777" w:rsidR="007D5C2B" w:rsidRDefault="007D5C2B" w:rsidP="00CA656D">
      <w:pPr>
        <w:numPr>
          <w:ilvl w:val="1"/>
          <w:numId w:val="1"/>
        </w:numPr>
        <w:rPr>
          <w:rFonts w:ascii="Verdana" w:hAnsi="Verdana"/>
          <w:lang w:val="en-GB"/>
        </w:rPr>
      </w:pPr>
      <w:r w:rsidRPr="007D5C2B">
        <w:rPr>
          <w:rFonts w:ascii="Verdana" w:hAnsi="Verdana"/>
          <w:lang w:val="en-GB"/>
        </w:rPr>
        <w:t>Advocac</w:t>
      </w:r>
      <w:r>
        <w:rPr>
          <w:rFonts w:ascii="Verdana" w:hAnsi="Verdana"/>
          <w:lang w:val="en-GB"/>
        </w:rPr>
        <w:t>y.</w:t>
      </w:r>
    </w:p>
    <w:p w14:paraId="12B6977A" w14:textId="3336996D" w:rsidR="007D5C2B" w:rsidRPr="007D5C2B" w:rsidRDefault="007D5C2B" w:rsidP="00CA656D">
      <w:pPr>
        <w:numPr>
          <w:ilvl w:val="1"/>
          <w:numId w:val="1"/>
        </w:numPr>
        <w:rPr>
          <w:rFonts w:ascii="Verdana" w:hAnsi="Verdana"/>
          <w:lang w:val="en-GB"/>
        </w:rPr>
      </w:pPr>
      <w:r w:rsidRPr="007D5C2B">
        <w:rPr>
          <w:rFonts w:ascii="Verdana" w:hAnsi="Verdana"/>
          <w:lang w:val="en-GB"/>
        </w:rPr>
        <w:t>Monitoring and Early Intervention</w:t>
      </w:r>
      <w:r>
        <w:rPr>
          <w:rFonts w:ascii="Verdana" w:hAnsi="Verdana"/>
          <w:lang w:val="en-GB"/>
        </w:rPr>
        <w:t>.</w:t>
      </w:r>
    </w:p>
    <w:p w14:paraId="7B5AD500" w14:textId="3A90F339" w:rsidR="00F06F20" w:rsidRPr="007D5C2B" w:rsidRDefault="007D5C2B" w:rsidP="00CA656D">
      <w:pPr>
        <w:numPr>
          <w:ilvl w:val="1"/>
          <w:numId w:val="1"/>
        </w:numPr>
        <w:rPr>
          <w:rFonts w:ascii="Verdana" w:hAnsi="Verdana"/>
          <w:lang w:val="en-GB"/>
        </w:rPr>
      </w:pPr>
      <w:r w:rsidRPr="007D5C2B">
        <w:rPr>
          <w:rFonts w:ascii="Verdana" w:hAnsi="Verdana"/>
          <w:lang w:val="en-GB"/>
        </w:rPr>
        <w:t>Emotional Support</w:t>
      </w:r>
    </w:p>
    <w:p w14:paraId="64A26EB3" w14:textId="7798C1F8" w:rsidR="00EF50D8" w:rsidRDefault="00EF50D8" w:rsidP="00EF50D8">
      <w:pPr>
        <w:rPr>
          <w:rFonts w:ascii="Verdana" w:hAnsi="Verdana"/>
          <w:lang w:val="en-GB"/>
        </w:rPr>
      </w:pPr>
    </w:p>
    <w:p w14:paraId="37861519" w14:textId="03E4A0FC" w:rsidR="00950446" w:rsidRDefault="00BC4948" w:rsidP="00EF50D8">
      <w:pPr>
        <w:rPr>
          <w:rFonts w:ascii="Verdana" w:hAnsi="Verdana"/>
          <w:b/>
          <w:bCs/>
          <w:lang w:val="en-GB"/>
        </w:rPr>
      </w:pPr>
      <w:r w:rsidRPr="00BC4948">
        <w:rPr>
          <w:rFonts w:ascii="Verdana" w:hAnsi="Verdana"/>
          <w:b/>
          <w:bCs/>
          <w:lang w:val="en-GB"/>
        </w:rPr>
        <w:t xml:space="preserve">Prevention as an Optimal Approach. </w:t>
      </w:r>
    </w:p>
    <w:p w14:paraId="289D1840" w14:textId="10E77124" w:rsidR="00950446" w:rsidRDefault="00950446" w:rsidP="00EF50D8">
      <w:pPr>
        <w:rPr>
          <w:rFonts w:ascii="Verdana" w:hAnsi="Verdana"/>
          <w:lang w:val="en-GB"/>
        </w:rPr>
      </w:pPr>
      <w:r>
        <w:rPr>
          <w:rFonts w:ascii="Verdana" w:hAnsi="Verdana"/>
          <w:lang w:val="en-GB"/>
        </w:rPr>
        <w:t xml:space="preserve">Of course, the </w:t>
      </w:r>
      <w:r w:rsidR="007A679B">
        <w:rPr>
          <w:rFonts w:ascii="Verdana" w:hAnsi="Verdana"/>
          <w:lang w:val="en-GB"/>
        </w:rPr>
        <w:t>optimal</w:t>
      </w:r>
      <w:r>
        <w:rPr>
          <w:rFonts w:ascii="Verdana" w:hAnsi="Verdana"/>
          <w:lang w:val="en-GB"/>
        </w:rPr>
        <w:t xml:space="preserve"> approach would be a preventative </w:t>
      </w:r>
      <w:r w:rsidR="00685B10">
        <w:rPr>
          <w:rFonts w:ascii="Verdana" w:hAnsi="Verdana"/>
          <w:lang w:val="en-GB"/>
        </w:rPr>
        <w:t xml:space="preserve">approach to </w:t>
      </w:r>
      <w:r w:rsidR="001712E7">
        <w:rPr>
          <w:rFonts w:ascii="Verdana" w:hAnsi="Verdana"/>
          <w:lang w:val="en-GB"/>
        </w:rPr>
        <w:t xml:space="preserve">mitigate why people have </w:t>
      </w:r>
      <w:r w:rsidR="00685B10">
        <w:rPr>
          <w:rFonts w:ascii="Verdana" w:hAnsi="Verdana"/>
          <w:lang w:val="en-GB"/>
        </w:rPr>
        <w:t xml:space="preserve">higher levels of alcohol consumption </w:t>
      </w:r>
      <w:r w:rsidR="001712E7">
        <w:rPr>
          <w:rFonts w:ascii="Verdana" w:hAnsi="Verdana"/>
          <w:lang w:val="en-GB"/>
        </w:rPr>
        <w:t xml:space="preserve">or dependency </w:t>
      </w:r>
      <w:r w:rsidR="00685B10">
        <w:rPr>
          <w:rFonts w:ascii="Verdana" w:hAnsi="Verdana"/>
          <w:lang w:val="en-GB"/>
        </w:rPr>
        <w:t xml:space="preserve">with a great risk to health. </w:t>
      </w:r>
      <w:r>
        <w:rPr>
          <w:rFonts w:ascii="Verdana" w:hAnsi="Verdana"/>
          <w:lang w:val="en-GB"/>
        </w:rPr>
        <w:t>(</w:t>
      </w:r>
      <w:r w:rsidR="00E65D0D">
        <w:rPr>
          <w:rFonts w:ascii="Verdana" w:hAnsi="Verdana"/>
          <w:lang w:val="en-GB"/>
        </w:rPr>
        <w:t>H</w:t>
      </w:r>
      <w:r>
        <w:rPr>
          <w:rFonts w:ascii="Verdana" w:hAnsi="Verdana"/>
          <w:lang w:val="en-GB"/>
        </w:rPr>
        <w:t xml:space="preserve">ouse of </w:t>
      </w:r>
      <w:r w:rsidR="00E65D0D">
        <w:rPr>
          <w:rFonts w:ascii="Verdana" w:hAnsi="Verdana"/>
          <w:lang w:val="en-GB"/>
        </w:rPr>
        <w:t>C</w:t>
      </w:r>
      <w:r>
        <w:rPr>
          <w:rFonts w:ascii="Verdana" w:hAnsi="Verdana"/>
          <w:lang w:val="en-GB"/>
        </w:rPr>
        <w:t>ommons, 2023)</w:t>
      </w:r>
      <w:r w:rsidR="00BC4948">
        <w:rPr>
          <w:rFonts w:ascii="Verdana" w:hAnsi="Verdana"/>
          <w:lang w:val="en-GB"/>
        </w:rPr>
        <w:t xml:space="preserve">. </w:t>
      </w:r>
    </w:p>
    <w:p w14:paraId="77442457" w14:textId="77777777" w:rsidR="003600BD" w:rsidRDefault="003600BD" w:rsidP="00EF50D8">
      <w:pPr>
        <w:rPr>
          <w:rFonts w:ascii="Verdana" w:hAnsi="Verdana"/>
          <w:lang w:val="en-GB"/>
        </w:rPr>
      </w:pPr>
    </w:p>
    <w:p w14:paraId="5DDF0E19" w14:textId="3C532D7B" w:rsidR="00E879D4" w:rsidRDefault="00F41E83" w:rsidP="00217FC9">
      <w:pPr>
        <w:rPr>
          <w:rFonts w:ascii="Verdana" w:hAnsi="Verdana"/>
          <w:b/>
          <w:bCs/>
          <w:lang w:val="en-GB"/>
        </w:rPr>
      </w:pPr>
      <w:r w:rsidRPr="00A738C3">
        <w:rPr>
          <w:rFonts w:ascii="Verdana" w:hAnsi="Verdana"/>
          <w:b/>
          <w:bCs/>
          <w:lang w:val="en-GB"/>
        </w:rPr>
        <w:t>Recommendation</w:t>
      </w:r>
      <w:r w:rsidR="00E879D4" w:rsidRPr="00A738C3">
        <w:rPr>
          <w:rFonts w:ascii="Verdana" w:hAnsi="Verdana"/>
          <w:b/>
          <w:bCs/>
          <w:lang w:val="en-GB"/>
        </w:rPr>
        <w:t>s</w:t>
      </w:r>
      <w:r w:rsidRPr="00A738C3">
        <w:rPr>
          <w:rFonts w:ascii="Verdana" w:hAnsi="Verdana"/>
          <w:b/>
          <w:bCs/>
          <w:lang w:val="en-GB"/>
        </w:rPr>
        <w:t xml:space="preserve"> </w:t>
      </w:r>
    </w:p>
    <w:p w14:paraId="79949887" w14:textId="7BFA3459" w:rsidR="00E60114" w:rsidRPr="00E60114" w:rsidRDefault="00E60114" w:rsidP="00217FC9">
      <w:pPr>
        <w:rPr>
          <w:rFonts w:ascii="Verdana" w:hAnsi="Verdana"/>
          <w:lang w:val="en-GB"/>
        </w:rPr>
      </w:pPr>
      <w:r w:rsidRPr="00E60114">
        <w:rPr>
          <w:rFonts w:ascii="Verdana" w:hAnsi="Verdana"/>
        </w:rPr>
        <w:t xml:space="preserve">There is immense potential for investment in specialist pathways to not only improve outcomes for individuals with ARBI but also create efficiencies </w:t>
      </w:r>
      <w:r w:rsidR="003015E7">
        <w:rPr>
          <w:rFonts w:ascii="Verdana" w:hAnsi="Verdana"/>
        </w:rPr>
        <w:t>across the</w:t>
      </w:r>
      <w:r w:rsidRPr="00E60114">
        <w:rPr>
          <w:rFonts w:ascii="Verdana" w:hAnsi="Verdana"/>
        </w:rPr>
        <w:t xml:space="preserve"> system. Prioritising physical and emotional well-being through a humane approach is key.</w:t>
      </w:r>
    </w:p>
    <w:p w14:paraId="54127548" w14:textId="7712B6E5" w:rsidR="00101886" w:rsidRPr="00A72777" w:rsidRDefault="00101886" w:rsidP="00101886">
      <w:pPr>
        <w:rPr>
          <w:rFonts w:ascii="Verdana" w:hAnsi="Verdana"/>
          <w:lang w:val="en-GB"/>
        </w:rPr>
      </w:pPr>
      <w:r w:rsidRPr="00A72777">
        <w:rPr>
          <w:rFonts w:ascii="Verdana" w:hAnsi="Verdana"/>
          <w:lang w:val="en-GB"/>
        </w:rPr>
        <w:t>Professional networks are improving</w:t>
      </w:r>
      <w:r>
        <w:rPr>
          <w:rFonts w:ascii="Verdana" w:hAnsi="Verdana"/>
          <w:lang w:val="en-GB"/>
        </w:rPr>
        <w:t xml:space="preserve">, although limited research exists. There is still a lot of ground to </w:t>
      </w:r>
      <w:r w:rsidR="004C7CF7">
        <w:rPr>
          <w:rFonts w:ascii="Verdana" w:hAnsi="Verdana"/>
          <w:lang w:val="en-GB"/>
        </w:rPr>
        <w:t>cover</w:t>
      </w:r>
      <w:r>
        <w:rPr>
          <w:rFonts w:ascii="Verdana" w:hAnsi="Verdana"/>
          <w:lang w:val="en-GB"/>
        </w:rPr>
        <w:t xml:space="preserve">, </w:t>
      </w:r>
      <w:r w:rsidR="003015E7">
        <w:rPr>
          <w:rFonts w:ascii="Verdana" w:hAnsi="Verdana"/>
          <w:lang w:val="en-GB"/>
        </w:rPr>
        <w:t xml:space="preserve">in particular in recognising </w:t>
      </w:r>
      <w:r w:rsidR="00620584">
        <w:rPr>
          <w:rFonts w:ascii="Verdana" w:hAnsi="Verdana"/>
          <w:lang w:val="en-GB"/>
        </w:rPr>
        <w:t>people’s</w:t>
      </w:r>
      <w:r w:rsidR="003015E7">
        <w:rPr>
          <w:rFonts w:ascii="Verdana" w:hAnsi="Verdana"/>
          <w:lang w:val="en-GB"/>
        </w:rPr>
        <w:t xml:space="preserve"> human rights</w:t>
      </w:r>
      <w:r w:rsidR="00086346">
        <w:rPr>
          <w:rFonts w:ascii="Verdana" w:hAnsi="Verdana"/>
          <w:lang w:val="en-GB"/>
        </w:rPr>
        <w:t>. F</w:t>
      </w:r>
      <w:r>
        <w:rPr>
          <w:rFonts w:ascii="Verdana" w:hAnsi="Verdana"/>
          <w:lang w:val="en-GB"/>
        </w:rPr>
        <w:t xml:space="preserve">or the health and social care commissioners, investing in specialist pathways and services could </w:t>
      </w:r>
      <w:r w:rsidRPr="00A72777">
        <w:rPr>
          <w:rFonts w:ascii="Verdana" w:hAnsi="Verdana"/>
          <w:lang w:val="en-GB"/>
        </w:rPr>
        <w:t>save money</w:t>
      </w:r>
      <w:r>
        <w:rPr>
          <w:rFonts w:ascii="Verdana" w:hAnsi="Verdana"/>
          <w:lang w:val="en-GB"/>
        </w:rPr>
        <w:t xml:space="preserve">, reduce </w:t>
      </w:r>
      <w:r w:rsidRPr="00A72777">
        <w:rPr>
          <w:rFonts w:ascii="Verdana" w:hAnsi="Verdana"/>
          <w:lang w:val="en-GB"/>
        </w:rPr>
        <w:t xml:space="preserve">emergency admissions to </w:t>
      </w:r>
      <w:r>
        <w:rPr>
          <w:rFonts w:ascii="Verdana" w:hAnsi="Verdana"/>
          <w:lang w:val="en-GB"/>
        </w:rPr>
        <w:t xml:space="preserve">Emergency Departments, reduce </w:t>
      </w:r>
      <w:r w:rsidRPr="00A72777">
        <w:rPr>
          <w:rFonts w:ascii="Verdana" w:hAnsi="Verdana"/>
          <w:lang w:val="en-GB"/>
        </w:rPr>
        <w:t>falls</w:t>
      </w:r>
      <w:r>
        <w:rPr>
          <w:rFonts w:ascii="Verdana" w:hAnsi="Verdana"/>
          <w:lang w:val="en-GB"/>
        </w:rPr>
        <w:t>, reduce the risk of</w:t>
      </w:r>
      <w:r w:rsidRPr="00A72777">
        <w:rPr>
          <w:rFonts w:ascii="Verdana" w:hAnsi="Verdana"/>
          <w:lang w:val="en-GB"/>
        </w:rPr>
        <w:t xml:space="preserve"> traumatic brain injuries, </w:t>
      </w:r>
      <w:r>
        <w:rPr>
          <w:rFonts w:ascii="Verdana" w:hAnsi="Verdana"/>
          <w:lang w:val="en-GB"/>
        </w:rPr>
        <w:t xml:space="preserve">and </w:t>
      </w:r>
      <w:r w:rsidR="00AB0CDF">
        <w:rPr>
          <w:rFonts w:ascii="Verdana" w:hAnsi="Verdana"/>
          <w:lang w:val="en-GB"/>
        </w:rPr>
        <w:t xml:space="preserve">reduce the impact and complexities of having </w:t>
      </w:r>
      <w:r>
        <w:rPr>
          <w:rFonts w:ascii="Verdana" w:hAnsi="Verdana"/>
          <w:lang w:val="en-GB"/>
        </w:rPr>
        <w:t xml:space="preserve">such a </w:t>
      </w:r>
      <w:r w:rsidRPr="00A72777">
        <w:rPr>
          <w:rFonts w:ascii="Verdana" w:hAnsi="Verdana"/>
          <w:lang w:val="en-GB"/>
        </w:rPr>
        <w:t xml:space="preserve">neurological mess </w:t>
      </w:r>
      <w:r>
        <w:rPr>
          <w:rFonts w:ascii="Verdana" w:hAnsi="Verdana"/>
          <w:lang w:val="en-GB"/>
        </w:rPr>
        <w:t xml:space="preserve">to unpick, but </w:t>
      </w:r>
      <w:r w:rsidR="00AB0CDF">
        <w:rPr>
          <w:rFonts w:ascii="Verdana" w:hAnsi="Verdana"/>
          <w:lang w:val="en-GB"/>
        </w:rPr>
        <w:t xml:space="preserve">most important, to </w:t>
      </w:r>
      <w:r>
        <w:rPr>
          <w:rFonts w:ascii="Verdana" w:hAnsi="Verdana"/>
          <w:lang w:val="en-GB"/>
        </w:rPr>
        <w:t>ultimately save lives.</w:t>
      </w:r>
    </w:p>
    <w:p w14:paraId="6BD2EBFB" w14:textId="48CB7C04" w:rsidR="003552BF" w:rsidRPr="00FB2457" w:rsidRDefault="003552BF" w:rsidP="00217FC9">
      <w:pPr>
        <w:rPr>
          <w:rFonts w:ascii="Verdana" w:hAnsi="Verdana"/>
          <w:lang w:val="en-GB"/>
        </w:rPr>
      </w:pPr>
      <w:r>
        <w:rPr>
          <w:rFonts w:ascii="Verdana" w:hAnsi="Verdana"/>
          <w:lang w:val="en-GB"/>
        </w:rPr>
        <w:t>H</w:t>
      </w:r>
      <w:r w:rsidRPr="003552BF">
        <w:rPr>
          <w:rFonts w:ascii="Verdana" w:hAnsi="Verdana"/>
          <w:lang w:val="en-GB"/>
        </w:rPr>
        <w:t xml:space="preserve">ealthcare </w:t>
      </w:r>
      <w:r>
        <w:rPr>
          <w:rFonts w:ascii="Verdana" w:hAnsi="Verdana"/>
          <w:lang w:val="en-GB"/>
        </w:rPr>
        <w:t xml:space="preserve">should be upheld as </w:t>
      </w:r>
      <w:r w:rsidRPr="003552BF">
        <w:rPr>
          <w:rFonts w:ascii="Verdana" w:hAnsi="Verdana"/>
          <w:lang w:val="en-GB"/>
        </w:rPr>
        <w:t>a fundamental human right by ensuring equitable access for all patients, regardless of their substance use status.</w:t>
      </w:r>
    </w:p>
    <w:p w14:paraId="19F07D80" w14:textId="7D85DB77" w:rsidR="00FB2457" w:rsidRDefault="00FB2457" w:rsidP="00FB2457">
      <w:pPr>
        <w:rPr>
          <w:rFonts w:ascii="Verdana" w:hAnsi="Verdana"/>
          <w:lang w:val="en-GB"/>
        </w:rPr>
      </w:pPr>
      <w:r w:rsidRPr="00FB2457">
        <w:rPr>
          <w:rFonts w:ascii="Verdana" w:hAnsi="Verdana"/>
          <w:lang w:val="en-GB"/>
        </w:rPr>
        <w:t>Substance use disorders, including AUD, are widely recogni</w:t>
      </w:r>
      <w:r w:rsidR="003552BF">
        <w:rPr>
          <w:rFonts w:ascii="Verdana" w:hAnsi="Verdana"/>
          <w:lang w:val="en-GB"/>
        </w:rPr>
        <w:t>s</w:t>
      </w:r>
      <w:r w:rsidRPr="00FB2457">
        <w:rPr>
          <w:rFonts w:ascii="Verdana" w:hAnsi="Verdana"/>
          <w:lang w:val="en-GB"/>
        </w:rPr>
        <w:t>ed as chronic medical conditions that require comprehensive, evidence-based treatment. The refusal to assess and support cognitive function in individuals with AUD not only contradicts best medical practices but also exacerbates health disparities. Cognitive impairments associated with AUD—such as memory deficits, executive dysfunction,</w:t>
      </w:r>
      <w:r w:rsidR="00B07022">
        <w:rPr>
          <w:rFonts w:ascii="Verdana" w:hAnsi="Verdana"/>
          <w:lang w:val="en-GB"/>
        </w:rPr>
        <w:t xml:space="preserve"> </w:t>
      </w:r>
      <w:r w:rsidRPr="00FB2457">
        <w:rPr>
          <w:rFonts w:ascii="Verdana" w:hAnsi="Verdana"/>
          <w:lang w:val="en-GB"/>
        </w:rPr>
        <w:t>impaired judgment</w:t>
      </w:r>
      <w:r w:rsidR="004E442F">
        <w:rPr>
          <w:rFonts w:ascii="Verdana" w:hAnsi="Verdana"/>
          <w:lang w:val="en-GB"/>
        </w:rPr>
        <w:t xml:space="preserve">. </w:t>
      </w:r>
      <w:r w:rsidR="00B07022">
        <w:rPr>
          <w:rFonts w:ascii="Verdana" w:hAnsi="Verdana"/>
          <w:lang w:val="en-GB"/>
        </w:rPr>
        <w:t>ARBI</w:t>
      </w:r>
      <w:r w:rsidR="004E442F">
        <w:rPr>
          <w:rFonts w:ascii="Verdana" w:hAnsi="Verdana"/>
          <w:lang w:val="en-GB"/>
        </w:rPr>
        <w:t xml:space="preserve"> </w:t>
      </w:r>
      <w:r w:rsidRPr="00FB2457">
        <w:rPr>
          <w:rFonts w:ascii="Verdana" w:hAnsi="Verdana"/>
          <w:lang w:val="en-GB"/>
        </w:rPr>
        <w:t>can significantly impact an individual’s ability to engage in treatment, maintain employment, and sustain relationships. Early and consistent intervention is critical to improving outcomes and fostering long-term recovery.</w:t>
      </w:r>
    </w:p>
    <w:p w14:paraId="49FDDF4D" w14:textId="78A2C91C" w:rsidR="00126D4E" w:rsidRPr="00FB2457" w:rsidRDefault="00126D4E" w:rsidP="00FB2457">
      <w:pPr>
        <w:rPr>
          <w:rFonts w:ascii="Verdana" w:hAnsi="Verdana"/>
          <w:lang w:val="en-GB"/>
        </w:rPr>
      </w:pPr>
      <w:r w:rsidRPr="00126D4E">
        <w:rPr>
          <w:rFonts w:ascii="Verdana" w:hAnsi="Verdana"/>
        </w:rPr>
        <w:t>NHS England and integrated care boards (ICBs) have a legal duty to have regard to reducing inequalities associated with access to and outcomes from NHS services</w:t>
      </w:r>
      <w:r>
        <w:rPr>
          <w:rFonts w:ascii="Verdana" w:hAnsi="Verdana"/>
        </w:rPr>
        <w:t xml:space="preserve"> (NHS, England, 2023). </w:t>
      </w:r>
    </w:p>
    <w:p w14:paraId="78688A74" w14:textId="57BD87FE" w:rsidR="003600BD" w:rsidRPr="003D68E0" w:rsidRDefault="00F41E83" w:rsidP="00217FC9">
      <w:pPr>
        <w:rPr>
          <w:rFonts w:ascii="Verdana" w:hAnsi="Verdana"/>
          <w:lang w:val="en-US"/>
        </w:rPr>
      </w:pPr>
      <w:r w:rsidRPr="00F41E83">
        <w:rPr>
          <w:rFonts w:ascii="Verdana" w:hAnsi="Verdana"/>
          <w:lang w:val="en-GB"/>
        </w:rPr>
        <w:t>Future projects should establish early partnerships with service providers, possibly through formal agreements facilitated by Integrated Care Boards (ICBs).</w:t>
      </w:r>
      <w:r w:rsidR="003D68E0">
        <w:rPr>
          <w:rFonts w:ascii="Verdana" w:hAnsi="Verdana"/>
          <w:lang w:val="en-GB"/>
        </w:rPr>
        <w:t xml:space="preserve"> Any project groups/forums should </w:t>
      </w:r>
      <w:r w:rsidR="00EB111F">
        <w:rPr>
          <w:rFonts w:ascii="Verdana" w:hAnsi="Verdana"/>
          <w:lang w:val="en-GB"/>
        </w:rPr>
        <w:t>c</w:t>
      </w:r>
      <w:r w:rsidR="00856EFD">
        <w:rPr>
          <w:rFonts w:ascii="Verdana" w:hAnsi="Verdana"/>
          <w:lang w:val="en-GB"/>
        </w:rPr>
        <w:t xml:space="preserve">onsist of </w:t>
      </w:r>
      <w:r w:rsidR="003D68E0">
        <w:rPr>
          <w:rFonts w:ascii="Verdana" w:hAnsi="Verdana"/>
          <w:lang w:val="en-US"/>
        </w:rPr>
        <w:t xml:space="preserve">a </w:t>
      </w:r>
      <w:r w:rsidR="0017058C">
        <w:rPr>
          <w:rFonts w:ascii="Verdana" w:hAnsi="Verdana"/>
          <w:lang w:val="en-US"/>
        </w:rPr>
        <w:t>multi-disciplinary professionals</w:t>
      </w:r>
      <w:r w:rsidR="003D68E0">
        <w:rPr>
          <w:rFonts w:ascii="Verdana" w:hAnsi="Verdana"/>
          <w:lang w:val="en-US"/>
        </w:rPr>
        <w:t xml:space="preserve"> from the myriad of various Health, Social, VCSE and Academic organisations whose work can contribute to the development of a specialist pathway</w:t>
      </w:r>
      <w:r w:rsidR="00856EFD">
        <w:rPr>
          <w:rFonts w:ascii="Verdana" w:hAnsi="Verdana"/>
          <w:lang w:val="en-US"/>
        </w:rPr>
        <w:t xml:space="preserve">, with a champion to advocate and challenge on behalf of those with lied experience. </w:t>
      </w:r>
    </w:p>
    <w:p w14:paraId="7E29CDDA" w14:textId="2CAEFB56" w:rsidR="003C2EBE" w:rsidRDefault="003C2EBE" w:rsidP="00217FC9">
      <w:pPr>
        <w:rPr>
          <w:rFonts w:ascii="Verdana" w:hAnsi="Verdana"/>
          <w:lang w:val="en-GB"/>
        </w:rPr>
      </w:pPr>
      <w:r>
        <w:rPr>
          <w:rFonts w:ascii="Verdana" w:hAnsi="Verdana"/>
          <w:lang w:val="en-GB"/>
        </w:rPr>
        <w:t xml:space="preserve">A person-centred approach </w:t>
      </w:r>
      <w:r w:rsidR="007D3C5D">
        <w:rPr>
          <w:rFonts w:ascii="Verdana" w:hAnsi="Verdana"/>
          <w:lang w:val="en-GB"/>
        </w:rPr>
        <w:t xml:space="preserve">that is flexible to meet the need of </w:t>
      </w:r>
      <w:r w:rsidR="001D5A8C">
        <w:rPr>
          <w:rFonts w:ascii="Verdana" w:hAnsi="Verdana"/>
          <w:lang w:val="en-GB"/>
        </w:rPr>
        <w:t xml:space="preserve">the individual and their cognitive capacity and capabilities. </w:t>
      </w:r>
    </w:p>
    <w:p w14:paraId="4BBEAD81" w14:textId="00328DBA" w:rsidR="001F7E47" w:rsidRDefault="006207DC">
      <w:pPr>
        <w:rPr>
          <w:rFonts w:ascii="Verdana" w:hAnsi="Verdana"/>
          <w:lang w:val="en-US"/>
        </w:rPr>
      </w:pPr>
      <w:r w:rsidRPr="006207DC">
        <w:rPr>
          <w:rFonts w:ascii="Verdana" w:hAnsi="Verdana"/>
          <w:lang w:val="en-US"/>
        </w:rPr>
        <w:lastRenderedPageBreak/>
        <w:t xml:space="preserve">The ICB </w:t>
      </w:r>
      <w:r w:rsidR="00A738C3">
        <w:rPr>
          <w:rFonts w:ascii="Verdana" w:hAnsi="Verdana"/>
          <w:lang w:val="en-US"/>
        </w:rPr>
        <w:t>has an opportunity to</w:t>
      </w:r>
      <w:r w:rsidRPr="006207DC">
        <w:rPr>
          <w:rFonts w:ascii="Verdana" w:hAnsi="Verdana"/>
          <w:lang w:val="en-US"/>
        </w:rPr>
        <w:t xml:space="preserve"> explore ways to provide research access for fellows and practitioners, ensuring equal opportunities for evidence-based practice.</w:t>
      </w:r>
    </w:p>
    <w:p w14:paraId="1DEBB4A3" w14:textId="2A98C359" w:rsidR="00E879D4" w:rsidRDefault="001B4C0F">
      <w:pPr>
        <w:rPr>
          <w:rFonts w:ascii="Verdana" w:hAnsi="Verdana"/>
          <w:lang w:val="en-US"/>
        </w:rPr>
      </w:pPr>
      <w:r w:rsidRPr="001B4C0F">
        <w:rPr>
          <w:rFonts w:ascii="Verdana" w:hAnsi="Verdana"/>
          <w:lang w:val="en-US"/>
        </w:rPr>
        <w:t>Future research should include service user involvement through partnerships with community groups, charities, or advocacy organi</w:t>
      </w:r>
      <w:r w:rsidR="00A738C3">
        <w:rPr>
          <w:rFonts w:ascii="Verdana" w:hAnsi="Verdana"/>
          <w:lang w:val="en-US"/>
        </w:rPr>
        <w:t>s</w:t>
      </w:r>
      <w:r w:rsidRPr="001B4C0F">
        <w:rPr>
          <w:rFonts w:ascii="Verdana" w:hAnsi="Verdana"/>
          <w:lang w:val="en-US"/>
        </w:rPr>
        <w:t>ations to ensure that lived experiences inform policy and practice.</w:t>
      </w:r>
    </w:p>
    <w:p w14:paraId="0C8CCEE8" w14:textId="569F9DD0" w:rsidR="00AA7208" w:rsidRDefault="00AA7208">
      <w:pPr>
        <w:rPr>
          <w:rFonts w:ascii="Verdana" w:hAnsi="Verdana"/>
          <w:lang w:val="en-US"/>
        </w:rPr>
      </w:pPr>
      <w:r>
        <w:rPr>
          <w:rFonts w:ascii="Verdana" w:hAnsi="Verdana"/>
          <w:lang w:val="en-US"/>
        </w:rPr>
        <w:t xml:space="preserve">Due to the increased risk of </w:t>
      </w:r>
      <w:r w:rsidR="00435809">
        <w:rPr>
          <w:rFonts w:ascii="Verdana" w:hAnsi="Verdana"/>
          <w:lang w:val="en-US"/>
        </w:rPr>
        <w:t xml:space="preserve">the </w:t>
      </w:r>
      <w:r w:rsidR="00E0146B" w:rsidRPr="00E0146B">
        <w:rPr>
          <w:rFonts w:ascii="Verdana" w:hAnsi="Verdana"/>
        </w:rPr>
        <w:t>accelerati</w:t>
      </w:r>
      <w:r w:rsidR="00435809">
        <w:rPr>
          <w:rFonts w:ascii="Verdana" w:hAnsi="Verdana"/>
        </w:rPr>
        <w:t>on of</w:t>
      </w:r>
      <w:r w:rsidR="00E0146B" w:rsidRPr="00E0146B">
        <w:rPr>
          <w:rFonts w:ascii="Verdana" w:hAnsi="Verdana"/>
        </w:rPr>
        <w:t xml:space="preserve"> </w:t>
      </w:r>
      <w:r w:rsidR="00435809">
        <w:rPr>
          <w:rFonts w:ascii="Verdana" w:hAnsi="Verdana"/>
        </w:rPr>
        <w:t xml:space="preserve">the onset of </w:t>
      </w:r>
      <w:r w:rsidR="00E0146B" w:rsidRPr="00E0146B">
        <w:rPr>
          <w:rFonts w:ascii="Verdana" w:hAnsi="Verdana"/>
        </w:rPr>
        <w:t>A</w:t>
      </w:r>
      <w:r w:rsidR="00435809">
        <w:rPr>
          <w:rFonts w:ascii="Verdana" w:hAnsi="Verdana"/>
        </w:rPr>
        <w:t xml:space="preserve">lzheimer’s Disease Dementia </w:t>
      </w:r>
      <w:r w:rsidR="00E0146B" w:rsidRPr="00E0146B">
        <w:rPr>
          <w:rFonts w:ascii="Verdana" w:hAnsi="Verdana"/>
        </w:rPr>
        <w:t xml:space="preserve">or </w:t>
      </w:r>
      <w:r w:rsidR="00435809">
        <w:rPr>
          <w:rFonts w:ascii="Verdana" w:hAnsi="Verdana"/>
        </w:rPr>
        <w:t xml:space="preserve">increased </w:t>
      </w:r>
      <w:r w:rsidR="00E0146B" w:rsidRPr="00E0146B">
        <w:rPr>
          <w:rFonts w:ascii="Verdana" w:hAnsi="Verdana"/>
        </w:rPr>
        <w:t>severity</w:t>
      </w:r>
      <w:r w:rsidR="00E0146B">
        <w:rPr>
          <w:rFonts w:ascii="Verdana" w:hAnsi="Verdana"/>
        </w:rPr>
        <w:t xml:space="preserve"> </w:t>
      </w:r>
      <w:r>
        <w:rPr>
          <w:rFonts w:ascii="Verdana" w:hAnsi="Verdana"/>
          <w:lang w:val="en-US"/>
        </w:rPr>
        <w:t>(</w:t>
      </w:r>
      <w:r w:rsidR="00654AA4" w:rsidRPr="00654AA4">
        <w:rPr>
          <w:rFonts w:ascii="Verdana" w:hAnsi="Verdana"/>
        </w:rPr>
        <w:t>Joshi</w:t>
      </w:r>
      <w:r w:rsidR="00654AA4">
        <w:rPr>
          <w:rFonts w:ascii="Verdana" w:hAnsi="Verdana"/>
        </w:rPr>
        <w:t xml:space="preserve">, </w:t>
      </w:r>
      <w:r w:rsidR="00654AA4" w:rsidRPr="00654AA4">
        <w:rPr>
          <w:rFonts w:ascii="Verdana" w:hAnsi="Verdana"/>
        </w:rPr>
        <w:t>Giorgi</w:t>
      </w:r>
      <w:r w:rsidR="00654AA4">
        <w:rPr>
          <w:rFonts w:ascii="Verdana" w:hAnsi="Verdana"/>
        </w:rPr>
        <w:t xml:space="preserve"> </w:t>
      </w:r>
      <w:r w:rsidR="00654AA4" w:rsidRPr="00654AA4">
        <w:rPr>
          <w:rFonts w:ascii="Verdana" w:hAnsi="Verdana"/>
        </w:rPr>
        <w:t>and Sanna,</w:t>
      </w:r>
      <w:r w:rsidR="00654AA4">
        <w:rPr>
          <w:rFonts w:ascii="Verdana" w:hAnsi="Verdana"/>
        </w:rPr>
        <w:t xml:space="preserve"> </w:t>
      </w:r>
      <w:r w:rsidR="00654AA4" w:rsidRPr="00654AA4">
        <w:rPr>
          <w:rFonts w:ascii="Verdana" w:hAnsi="Verdana"/>
        </w:rPr>
        <w:t>2024</w:t>
      </w:r>
      <w:r w:rsidR="00654AA4">
        <w:rPr>
          <w:rFonts w:ascii="Verdana" w:hAnsi="Verdana"/>
        </w:rPr>
        <w:t xml:space="preserve">) </w:t>
      </w:r>
      <w:r>
        <w:rPr>
          <w:rFonts w:ascii="Verdana" w:hAnsi="Verdana"/>
          <w:lang w:val="en-US"/>
        </w:rPr>
        <w:t>earlier intervention for people with ARBI due to AUD, could mitigate or reduce the risk of escalation and crisis</w:t>
      </w:r>
      <w:r w:rsidR="00053251">
        <w:rPr>
          <w:rFonts w:ascii="Verdana" w:hAnsi="Verdana"/>
          <w:lang w:val="en-US"/>
        </w:rPr>
        <w:t xml:space="preserve"> in the future. </w:t>
      </w:r>
    </w:p>
    <w:p w14:paraId="521ABA4E" w14:textId="23A9814E" w:rsidR="00B60A7F" w:rsidRDefault="00B60A7F">
      <w:pPr>
        <w:rPr>
          <w:rFonts w:ascii="Verdana" w:hAnsi="Verdana"/>
          <w:lang w:val="en-US"/>
        </w:rPr>
      </w:pPr>
      <w:r>
        <w:rPr>
          <w:rFonts w:ascii="Verdana" w:hAnsi="Verdana"/>
          <w:lang w:val="en-US"/>
        </w:rPr>
        <w:t xml:space="preserve">Consider what models are offered in other international systems. </w:t>
      </w:r>
    </w:p>
    <w:p w14:paraId="452FD412" w14:textId="77777777" w:rsidR="00101886" w:rsidRDefault="00101886">
      <w:pPr>
        <w:rPr>
          <w:rFonts w:ascii="Verdana" w:hAnsi="Verdana"/>
          <w:lang w:val="en-US"/>
        </w:rPr>
      </w:pPr>
    </w:p>
    <w:p w14:paraId="43C475B3" w14:textId="77777777" w:rsidR="00101886" w:rsidRPr="003600BD" w:rsidRDefault="00101886" w:rsidP="00101886">
      <w:pPr>
        <w:rPr>
          <w:rFonts w:ascii="Verdana" w:hAnsi="Verdana"/>
          <w:b/>
          <w:bCs/>
          <w:lang w:val="en-GB"/>
        </w:rPr>
      </w:pPr>
      <w:r w:rsidRPr="003600BD">
        <w:rPr>
          <w:rFonts w:ascii="Verdana" w:hAnsi="Verdana"/>
          <w:b/>
          <w:bCs/>
          <w:lang w:val="en-GB"/>
        </w:rPr>
        <w:t>Limi</w:t>
      </w:r>
      <w:r>
        <w:rPr>
          <w:rFonts w:ascii="Verdana" w:hAnsi="Verdana"/>
          <w:b/>
          <w:bCs/>
          <w:lang w:val="en-GB"/>
        </w:rPr>
        <w:t>t</w:t>
      </w:r>
      <w:r w:rsidRPr="003600BD">
        <w:rPr>
          <w:rFonts w:ascii="Verdana" w:hAnsi="Verdana"/>
          <w:b/>
          <w:bCs/>
          <w:lang w:val="en-GB"/>
        </w:rPr>
        <w:t>ations</w:t>
      </w:r>
    </w:p>
    <w:p w14:paraId="62E41B35" w14:textId="77777777" w:rsidR="00101886" w:rsidRDefault="00101886" w:rsidP="00101886">
      <w:pPr>
        <w:rPr>
          <w:rFonts w:ascii="Verdana" w:hAnsi="Verdana"/>
          <w:lang w:val="en-GB"/>
        </w:rPr>
      </w:pPr>
      <w:r>
        <w:rPr>
          <w:rFonts w:ascii="Verdana" w:hAnsi="Verdana"/>
          <w:lang w:val="en-GB"/>
        </w:rPr>
        <w:t>I</w:t>
      </w:r>
      <w:r w:rsidRPr="00361774">
        <w:rPr>
          <w:rFonts w:ascii="Verdana" w:hAnsi="Verdana"/>
          <w:lang w:val="en-GB"/>
        </w:rPr>
        <w:t>t</w:t>
      </w:r>
      <w:r>
        <w:rPr>
          <w:rFonts w:ascii="Verdana" w:hAnsi="Verdana"/>
          <w:lang w:val="en-GB"/>
        </w:rPr>
        <w:t xml:space="preserve"> i</w:t>
      </w:r>
      <w:r w:rsidRPr="00361774">
        <w:rPr>
          <w:rFonts w:ascii="Verdana" w:hAnsi="Verdana"/>
          <w:lang w:val="en-GB"/>
        </w:rPr>
        <w:t>s important to acknowledge the limitations of the study, and the difficulty in engaging with a commissioned alcohol recovery service highlights a key challenge in research and service evaluatio</w:t>
      </w:r>
      <w:r>
        <w:rPr>
          <w:rFonts w:ascii="Verdana" w:hAnsi="Verdana"/>
          <w:lang w:val="en-GB"/>
        </w:rPr>
        <w:t xml:space="preserve">n.  </w:t>
      </w:r>
    </w:p>
    <w:p w14:paraId="63F4AF85" w14:textId="320D268A" w:rsidR="00101886" w:rsidRDefault="00101886" w:rsidP="00101886">
      <w:pPr>
        <w:rPr>
          <w:rFonts w:ascii="Verdana" w:hAnsi="Verdana"/>
          <w:lang w:val="en-GB"/>
        </w:rPr>
      </w:pPr>
      <w:r w:rsidRPr="006207DC">
        <w:rPr>
          <w:rFonts w:ascii="Verdana" w:hAnsi="Verdana"/>
          <w:lang w:val="en-GB"/>
        </w:rPr>
        <w:t xml:space="preserve">The inability to access certain research platforms (e.g., </w:t>
      </w:r>
      <w:proofErr w:type="spellStart"/>
      <w:r w:rsidRPr="006207DC">
        <w:rPr>
          <w:rFonts w:ascii="Verdana" w:hAnsi="Verdana"/>
          <w:lang w:val="en-GB"/>
        </w:rPr>
        <w:t>OpenAthens</w:t>
      </w:r>
      <w:proofErr w:type="spellEnd"/>
      <w:r w:rsidRPr="006207DC">
        <w:rPr>
          <w:rFonts w:ascii="Verdana" w:hAnsi="Verdana"/>
          <w:lang w:val="en-GB"/>
        </w:rPr>
        <w:t xml:space="preserve">) limited the scope of </w:t>
      </w:r>
      <w:r w:rsidR="00011CF5">
        <w:rPr>
          <w:rFonts w:ascii="Verdana" w:hAnsi="Verdana"/>
          <w:lang w:val="en-GB"/>
        </w:rPr>
        <w:t xml:space="preserve">peer reviewed </w:t>
      </w:r>
      <w:r w:rsidRPr="006207DC">
        <w:rPr>
          <w:rFonts w:ascii="Verdana" w:hAnsi="Verdana"/>
          <w:lang w:val="en-GB"/>
        </w:rPr>
        <w:t>literature review</w:t>
      </w:r>
      <w:r w:rsidR="00011CF5">
        <w:rPr>
          <w:rFonts w:ascii="Verdana" w:hAnsi="Verdana"/>
          <w:lang w:val="en-GB"/>
        </w:rPr>
        <w:t>s</w:t>
      </w:r>
      <w:r w:rsidRPr="006207DC">
        <w:rPr>
          <w:rFonts w:ascii="Verdana" w:hAnsi="Verdana"/>
          <w:lang w:val="en-GB"/>
        </w:rPr>
        <w:t xml:space="preserve"> and evidence-based </w:t>
      </w:r>
      <w:r w:rsidR="00011CF5">
        <w:rPr>
          <w:rFonts w:ascii="Verdana" w:hAnsi="Verdana"/>
          <w:lang w:val="en-GB"/>
        </w:rPr>
        <w:t xml:space="preserve">resources. </w:t>
      </w:r>
    </w:p>
    <w:p w14:paraId="3CFE7767" w14:textId="77777777" w:rsidR="00101886" w:rsidRDefault="00101886" w:rsidP="00101886">
      <w:pPr>
        <w:rPr>
          <w:rFonts w:ascii="Verdana" w:hAnsi="Verdana"/>
          <w:lang w:val="en-GB"/>
        </w:rPr>
      </w:pPr>
      <w:r w:rsidRPr="00E879D4">
        <w:rPr>
          <w:rFonts w:ascii="Verdana" w:hAnsi="Verdana"/>
          <w:lang w:val="en-GB"/>
        </w:rPr>
        <w:t>No Direct User Engagement</w:t>
      </w:r>
      <w:r>
        <w:rPr>
          <w:rFonts w:ascii="Verdana" w:hAnsi="Verdana"/>
          <w:lang w:val="en-GB"/>
        </w:rPr>
        <w:t xml:space="preserve"> - </w:t>
      </w:r>
      <w:r w:rsidRPr="00E879D4">
        <w:rPr>
          <w:rFonts w:ascii="Verdana" w:hAnsi="Verdana"/>
          <w:lang w:val="en-GB"/>
        </w:rPr>
        <w:t>Due to access constraints, no direct engagement with individuals affected by ARBI took place.</w:t>
      </w:r>
      <w:r>
        <w:rPr>
          <w:rFonts w:ascii="Verdana" w:hAnsi="Verdana"/>
          <w:lang w:val="en-GB"/>
        </w:rPr>
        <w:t xml:space="preserve"> </w:t>
      </w:r>
      <w:r w:rsidRPr="00E879D4">
        <w:rPr>
          <w:rFonts w:ascii="Verdana" w:hAnsi="Verdana"/>
          <w:lang w:val="en-GB"/>
        </w:rPr>
        <w:t>This resulted in a lack of first-hand experiences, which could have enriched the study’s findings.</w:t>
      </w:r>
    </w:p>
    <w:p w14:paraId="01B14002" w14:textId="45A5ABE4" w:rsidR="005E2ECC" w:rsidRDefault="005E2ECC" w:rsidP="00101886">
      <w:pPr>
        <w:rPr>
          <w:rFonts w:ascii="Verdana" w:hAnsi="Verdana"/>
        </w:rPr>
      </w:pPr>
      <w:r>
        <w:rPr>
          <w:rFonts w:ascii="Verdana" w:hAnsi="Verdana"/>
          <w:lang w:val="en-GB"/>
        </w:rPr>
        <w:t xml:space="preserve">Although a mentor was arranged by the </w:t>
      </w:r>
      <w:r w:rsidR="00266939">
        <w:rPr>
          <w:rFonts w:ascii="Verdana" w:hAnsi="Verdana"/>
          <w:lang w:val="en-GB"/>
        </w:rPr>
        <w:t xml:space="preserve">Humber and North Yorkshire </w:t>
      </w:r>
      <w:r w:rsidR="007249EF">
        <w:rPr>
          <w:rFonts w:ascii="Verdana" w:hAnsi="Verdana"/>
          <w:lang w:val="en-GB"/>
        </w:rPr>
        <w:t>H</w:t>
      </w:r>
      <w:r w:rsidR="00266939">
        <w:rPr>
          <w:rFonts w:ascii="Verdana" w:hAnsi="Verdana"/>
          <w:lang w:val="en-GB"/>
        </w:rPr>
        <w:t xml:space="preserve">ealth and Care Partnership, due to service delivery pressures, leave and other </w:t>
      </w:r>
      <w:r w:rsidR="00FD257B">
        <w:rPr>
          <w:rFonts w:ascii="Verdana" w:hAnsi="Verdana"/>
          <w:lang w:val="en-GB"/>
        </w:rPr>
        <w:t>non-controllable</w:t>
      </w:r>
      <w:r w:rsidR="00266939">
        <w:rPr>
          <w:rFonts w:ascii="Verdana" w:hAnsi="Verdana"/>
          <w:lang w:val="en-GB"/>
        </w:rPr>
        <w:t xml:space="preserve"> factors, </w:t>
      </w:r>
      <w:r w:rsidR="00A23A1E">
        <w:rPr>
          <w:rFonts w:ascii="Verdana" w:hAnsi="Verdana"/>
          <w:lang w:val="en-GB"/>
        </w:rPr>
        <w:t>time was very limited. A dedicated supervisor</w:t>
      </w:r>
      <w:r w:rsidR="00FD257B">
        <w:rPr>
          <w:rFonts w:ascii="Verdana" w:hAnsi="Verdana"/>
          <w:lang w:val="en-GB"/>
        </w:rPr>
        <w:t xml:space="preserve">, </w:t>
      </w:r>
      <w:proofErr w:type="gramStart"/>
      <w:r w:rsidR="00FD257B">
        <w:rPr>
          <w:rFonts w:ascii="Verdana" w:hAnsi="Verdana"/>
          <w:lang w:val="en-GB"/>
        </w:rPr>
        <w:t>similar to</w:t>
      </w:r>
      <w:proofErr w:type="gramEnd"/>
      <w:r w:rsidR="00FD257B">
        <w:rPr>
          <w:rFonts w:ascii="Verdana" w:hAnsi="Verdana"/>
          <w:lang w:val="en-GB"/>
        </w:rPr>
        <w:t xml:space="preserve"> that of a dissertation supervisor, </w:t>
      </w:r>
      <w:r w:rsidR="00CB4FFA">
        <w:rPr>
          <w:rFonts w:ascii="Verdana" w:hAnsi="Verdana"/>
          <w:lang w:val="en-GB"/>
        </w:rPr>
        <w:t>to compliment mentors, would be able to provide</w:t>
      </w:r>
      <w:r w:rsidR="00FD257B">
        <w:rPr>
          <w:rFonts w:ascii="Verdana" w:hAnsi="Verdana"/>
          <w:lang w:val="en-GB"/>
        </w:rPr>
        <w:t xml:space="preserve"> </w:t>
      </w:r>
      <w:r w:rsidR="00CB4FFA">
        <w:rPr>
          <w:rFonts w:ascii="Verdana" w:hAnsi="Verdana"/>
        </w:rPr>
        <w:t>ed</w:t>
      </w:r>
      <w:r w:rsidR="00FD257B" w:rsidRPr="00FD257B">
        <w:rPr>
          <w:rFonts w:ascii="Verdana" w:hAnsi="Verdana"/>
        </w:rPr>
        <w:t xml:space="preserve">ucator, </w:t>
      </w:r>
      <w:r w:rsidR="00CB4FFA">
        <w:rPr>
          <w:rFonts w:ascii="Verdana" w:hAnsi="Verdana"/>
        </w:rPr>
        <w:t>s</w:t>
      </w:r>
      <w:r w:rsidR="00FD257B" w:rsidRPr="00FD257B">
        <w:rPr>
          <w:rFonts w:ascii="Verdana" w:hAnsi="Verdana"/>
        </w:rPr>
        <w:t xml:space="preserve">ponsor, </w:t>
      </w:r>
      <w:r w:rsidR="00CB4FFA">
        <w:rPr>
          <w:rFonts w:ascii="Verdana" w:hAnsi="Verdana"/>
        </w:rPr>
        <w:t>co</w:t>
      </w:r>
      <w:r w:rsidR="00FD257B" w:rsidRPr="00FD257B">
        <w:rPr>
          <w:rFonts w:ascii="Verdana" w:hAnsi="Verdana"/>
        </w:rPr>
        <w:t xml:space="preserve">ach, </w:t>
      </w:r>
      <w:r w:rsidR="00CB4FFA">
        <w:rPr>
          <w:rFonts w:ascii="Verdana" w:hAnsi="Verdana"/>
        </w:rPr>
        <w:t>c</w:t>
      </w:r>
      <w:r w:rsidR="00CB4FFA" w:rsidRPr="00FD257B">
        <w:rPr>
          <w:rFonts w:ascii="Verdana" w:hAnsi="Verdana"/>
        </w:rPr>
        <w:t>ounsellor</w:t>
      </w:r>
      <w:r w:rsidR="00FD257B" w:rsidRPr="00FD257B">
        <w:rPr>
          <w:rFonts w:ascii="Verdana" w:hAnsi="Verdana"/>
        </w:rPr>
        <w:t xml:space="preserve">, and </w:t>
      </w:r>
      <w:r w:rsidR="00CF0CCD">
        <w:rPr>
          <w:rFonts w:ascii="Verdana" w:hAnsi="Verdana"/>
        </w:rPr>
        <w:t xml:space="preserve">offer </w:t>
      </w:r>
      <w:r w:rsidR="00CB4FFA">
        <w:rPr>
          <w:rFonts w:ascii="Verdana" w:hAnsi="Verdana"/>
        </w:rPr>
        <w:t>critical friend support</w:t>
      </w:r>
      <w:r w:rsidR="00FD257B">
        <w:rPr>
          <w:rFonts w:ascii="Verdana" w:hAnsi="Verdana"/>
        </w:rPr>
        <w:t xml:space="preserve">. </w:t>
      </w:r>
    </w:p>
    <w:p w14:paraId="79D00666" w14:textId="26EF05A9" w:rsidR="00B60A7F" w:rsidRDefault="002504ED" w:rsidP="00101886">
      <w:pPr>
        <w:rPr>
          <w:rFonts w:ascii="Verdana" w:hAnsi="Verdana"/>
        </w:rPr>
      </w:pPr>
      <w:r>
        <w:rPr>
          <w:rFonts w:ascii="Verdana" w:hAnsi="Verdana"/>
        </w:rPr>
        <w:t>Data collection gaps, reporting, barriers to assessment and diagnosis contribute to u</w:t>
      </w:r>
      <w:r w:rsidR="00B60A7F">
        <w:rPr>
          <w:rFonts w:ascii="Verdana" w:hAnsi="Verdana"/>
        </w:rPr>
        <w:t>nder-reporting</w:t>
      </w:r>
      <w:r w:rsidR="00AA6753">
        <w:rPr>
          <w:rFonts w:ascii="Verdana" w:hAnsi="Verdana"/>
        </w:rPr>
        <w:t xml:space="preserve"> of prevalence. </w:t>
      </w:r>
    </w:p>
    <w:p w14:paraId="74207DF1" w14:textId="2D176548" w:rsidR="006F682C" w:rsidRDefault="006F682C" w:rsidP="00101886">
      <w:pPr>
        <w:rPr>
          <w:rFonts w:ascii="Verdana" w:hAnsi="Verdana"/>
        </w:rPr>
      </w:pPr>
      <w:r>
        <w:rPr>
          <w:rFonts w:ascii="Verdana" w:hAnsi="Verdana"/>
        </w:rPr>
        <w:t xml:space="preserve">Compounding factors such as Social Economic Status, </w:t>
      </w:r>
      <w:r w:rsidR="005F1464">
        <w:rPr>
          <w:rFonts w:ascii="Verdana" w:hAnsi="Verdana"/>
        </w:rPr>
        <w:t xml:space="preserve">Environment, </w:t>
      </w:r>
      <w:r>
        <w:rPr>
          <w:rFonts w:ascii="Verdana" w:hAnsi="Verdana"/>
        </w:rPr>
        <w:t>Educational Attainment, Comorbidity of other conditions</w:t>
      </w:r>
      <w:r w:rsidR="00641E34">
        <w:rPr>
          <w:rFonts w:ascii="Verdana" w:hAnsi="Verdana"/>
        </w:rPr>
        <w:t xml:space="preserve"> (physical and psychological)</w:t>
      </w:r>
      <w:r w:rsidR="00933978">
        <w:rPr>
          <w:rFonts w:ascii="Verdana" w:hAnsi="Verdana"/>
        </w:rPr>
        <w:t>, cultural or genetic</w:t>
      </w:r>
      <w:r w:rsidR="00641E34">
        <w:rPr>
          <w:rFonts w:ascii="Verdana" w:hAnsi="Verdana"/>
        </w:rPr>
        <w:t xml:space="preserve"> predispositions, </w:t>
      </w:r>
      <w:r>
        <w:rPr>
          <w:rFonts w:ascii="Verdana" w:hAnsi="Verdana"/>
        </w:rPr>
        <w:t>were not considered for the purpose of this study. Consideration should be given to the effect they</w:t>
      </w:r>
      <w:r w:rsidR="0067439C">
        <w:rPr>
          <w:rFonts w:ascii="Verdana" w:hAnsi="Verdana"/>
        </w:rPr>
        <w:t xml:space="preserve"> have on an individual and the pathway be flexible to adjust for these</w:t>
      </w:r>
      <w:r w:rsidR="00651139">
        <w:rPr>
          <w:rFonts w:ascii="Verdana" w:hAnsi="Verdana"/>
        </w:rPr>
        <w:t xml:space="preserve">, including the potential of </w:t>
      </w:r>
      <w:r w:rsidR="00B77481">
        <w:rPr>
          <w:rFonts w:ascii="Verdana" w:hAnsi="Verdana"/>
        </w:rPr>
        <w:t>a m</w:t>
      </w:r>
      <w:r w:rsidR="00B77481" w:rsidRPr="00B77481">
        <w:rPr>
          <w:rFonts w:ascii="Verdana" w:hAnsi="Verdana"/>
        </w:rPr>
        <w:t xml:space="preserve">ultiplier </w:t>
      </w:r>
      <w:r w:rsidR="00B77481">
        <w:rPr>
          <w:rFonts w:ascii="Verdana" w:hAnsi="Verdana"/>
        </w:rPr>
        <w:t>effect, where t</w:t>
      </w:r>
      <w:r w:rsidR="00725AC5">
        <w:rPr>
          <w:rFonts w:ascii="Verdana" w:hAnsi="Verdana"/>
        </w:rPr>
        <w:t xml:space="preserve">wo or more factors are present. </w:t>
      </w:r>
    </w:p>
    <w:p w14:paraId="5FBA78EB" w14:textId="398F2236" w:rsidR="00256A1B" w:rsidRDefault="004172D1" w:rsidP="00101886">
      <w:pPr>
        <w:rPr>
          <w:rFonts w:ascii="Verdana" w:hAnsi="Verdana"/>
        </w:rPr>
      </w:pPr>
      <w:r>
        <w:rPr>
          <w:rFonts w:ascii="Verdana" w:hAnsi="Verdana"/>
        </w:rPr>
        <w:t xml:space="preserve">This project has focused solely on </w:t>
      </w:r>
      <w:proofErr w:type="spellStart"/>
      <w:proofErr w:type="gramStart"/>
      <w:r>
        <w:rPr>
          <w:rFonts w:ascii="Verdana" w:hAnsi="Verdana"/>
        </w:rPr>
        <w:t>a</w:t>
      </w:r>
      <w:proofErr w:type="spellEnd"/>
      <w:proofErr w:type="gramEnd"/>
      <w:r>
        <w:rPr>
          <w:rFonts w:ascii="Verdana" w:hAnsi="Verdana"/>
        </w:rPr>
        <w:t xml:space="preserve"> individual only experiencing ARBI due to AUD. Future studies should consider a</w:t>
      </w:r>
      <w:r w:rsidR="00914C03">
        <w:rPr>
          <w:rFonts w:ascii="Verdana" w:hAnsi="Verdana"/>
        </w:rPr>
        <w:t xml:space="preserve"> broader spectrum of </w:t>
      </w:r>
      <w:r w:rsidR="00A7031C">
        <w:rPr>
          <w:rFonts w:ascii="Verdana" w:hAnsi="Verdana"/>
        </w:rPr>
        <w:t>complexities</w:t>
      </w:r>
      <w:r w:rsidR="00914C03">
        <w:rPr>
          <w:rFonts w:ascii="Verdana" w:hAnsi="Verdana"/>
        </w:rPr>
        <w:t>, such as</w:t>
      </w:r>
      <w:r w:rsidR="00A7031C">
        <w:rPr>
          <w:rFonts w:ascii="Verdana" w:hAnsi="Verdana"/>
        </w:rPr>
        <w:t xml:space="preserve"> dual diagnosis of Severe Mental Illness, or dual dependency of drug and alcohol. </w:t>
      </w:r>
    </w:p>
    <w:p w14:paraId="46D4902F" w14:textId="77777777" w:rsidR="00EB059D" w:rsidRDefault="00EB059D" w:rsidP="00101886">
      <w:pPr>
        <w:rPr>
          <w:rFonts w:ascii="Verdana" w:hAnsi="Verdana"/>
        </w:rPr>
      </w:pPr>
    </w:p>
    <w:p w14:paraId="51E8F16B" w14:textId="38C5EFDB" w:rsidR="00EB059D" w:rsidRPr="00EB059D" w:rsidRDefault="00EB059D" w:rsidP="00101886">
      <w:pPr>
        <w:rPr>
          <w:rFonts w:ascii="Verdana" w:hAnsi="Verdana"/>
          <w:b/>
          <w:bCs/>
        </w:rPr>
      </w:pPr>
      <w:r w:rsidRPr="00EB059D">
        <w:rPr>
          <w:rFonts w:ascii="Verdana" w:hAnsi="Verdana"/>
          <w:b/>
          <w:bCs/>
        </w:rPr>
        <w:t>Conclusion</w:t>
      </w:r>
    </w:p>
    <w:p w14:paraId="0EB152DC" w14:textId="130CFE07" w:rsidR="00101886" w:rsidRDefault="00DF6B71">
      <w:pPr>
        <w:rPr>
          <w:rFonts w:ascii="Verdana" w:hAnsi="Verdana"/>
          <w:lang w:val="en-US"/>
        </w:rPr>
      </w:pPr>
      <w:r w:rsidRPr="00DF6B71">
        <w:rPr>
          <w:rFonts w:ascii="Verdana" w:hAnsi="Verdana"/>
          <w:lang w:val="en-US"/>
        </w:rPr>
        <w:lastRenderedPageBreak/>
        <w:t>Focusing solely on abstinence as a requirement</w:t>
      </w:r>
      <w:r>
        <w:rPr>
          <w:rFonts w:ascii="Verdana" w:hAnsi="Verdana"/>
          <w:lang w:val="en-US"/>
        </w:rPr>
        <w:t xml:space="preserve">, </w:t>
      </w:r>
      <w:r w:rsidRPr="00DF6B71">
        <w:rPr>
          <w:rFonts w:ascii="Verdana" w:hAnsi="Verdana"/>
          <w:lang w:val="en-US"/>
        </w:rPr>
        <w:t>limit</w:t>
      </w:r>
      <w:r>
        <w:rPr>
          <w:rFonts w:ascii="Verdana" w:hAnsi="Verdana"/>
          <w:lang w:val="en-US"/>
        </w:rPr>
        <w:t>s</w:t>
      </w:r>
      <w:r w:rsidRPr="00DF6B71">
        <w:rPr>
          <w:rFonts w:ascii="Verdana" w:hAnsi="Verdana"/>
          <w:lang w:val="en-US"/>
        </w:rPr>
        <w:t xml:space="preserve"> access to people who need help but may not be ready or able to commit to that approach</w:t>
      </w:r>
      <w:r>
        <w:rPr>
          <w:rFonts w:ascii="Verdana" w:hAnsi="Verdana"/>
          <w:lang w:val="en-US"/>
        </w:rPr>
        <w:t>.</w:t>
      </w:r>
      <w:r w:rsidRPr="00DF6B71">
        <w:rPr>
          <w:rFonts w:ascii="Verdana" w:hAnsi="Verdana"/>
          <w:lang w:val="en-US"/>
        </w:rPr>
        <w:t xml:space="preserve"> </w:t>
      </w:r>
      <w:r w:rsidR="00EB059D">
        <w:rPr>
          <w:rFonts w:ascii="Verdana" w:hAnsi="Verdana"/>
          <w:lang w:val="en-US"/>
        </w:rPr>
        <w:t xml:space="preserve">Abstinence should not be the only access pathway for people to </w:t>
      </w:r>
      <w:r w:rsidR="0037773A">
        <w:rPr>
          <w:rFonts w:ascii="Verdana" w:hAnsi="Verdana"/>
          <w:lang w:val="en-US"/>
        </w:rPr>
        <w:t xml:space="preserve">receive assessment and support </w:t>
      </w:r>
      <w:r w:rsidR="001B2DD9">
        <w:rPr>
          <w:rFonts w:ascii="Verdana" w:hAnsi="Verdana"/>
          <w:lang w:val="en-US"/>
        </w:rPr>
        <w:t>–</w:t>
      </w:r>
      <w:r w:rsidR="0037773A">
        <w:rPr>
          <w:rFonts w:ascii="Verdana" w:hAnsi="Verdana"/>
          <w:lang w:val="en-US"/>
        </w:rPr>
        <w:t xml:space="preserve"> </w:t>
      </w:r>
      <w:r w:rsidR="001B2DD9">
        <w:rPr>
          <w:rFonts w:ascii="Verdana" w:hAnsi="Verdana"/>
          <w:lang w:val="en-US"/>
        </w:rPr>
        <w:t>an inclusive and equitable approac</w:t>
      </w:r>
      <w:r>
        <w:rPr>
          <w:rFonts w:ascii="Verdana" w:hAnsi="Verdana"/>
          <w:lang w:val="en-US"/>
        </w:rPr>
        <w:t>h, e</w:t>
      </w:r>
      <w:r w:rsidR="0039060F" w:rsidRPr="001B2DD9">
        <w:rPr>
          <w:rFonts w:ascii="Verdana" w:hAnsi="Verdana"/>
        </w:rPr>
        <w:t>exploring</w:t>
      </w:r>
      <w:r w:rsidR="001B2DD9" w:rsidRPr="001B2DD9">
        <w:rPr>
          <w:rFonts w:ascii="Verdana" w:hAnsi="Verdana"/>
        </w:rPr>
        <w:t xml:space="preserve"> harm reduction strategies and meeting individuals where they are</w:t>
      </w:r>
      <w:r w:rsidR="0039060F">
        <w:rPr>
          <w:rFonts w:ascii="Verdana" w:hAnsi="Verdana"/>
        </w:rPr>
        <w:t>,</w:t>
      </w:r>
      <w:r w:rsidR="001B2DD9" w:rsidRPr="001B2DD9">
        <w:rPr>
          <w:rFonts w:ascii="Verdana" w:hAnsi="Verdana"/>
        </w:rPr>
        <w:t xml:space="preserve"> might open doors for more effective and compassionate support systems</w:t>
      </w:r>
      <w:r w:rsidR="0039060F">
        <w:rPr>
          <w:rFonts w:ascii="Verdana" w:hAnsi="Verdana"/>
        </w:rPr>
        <w:t>.</w:t>
      </w:r>
    </w:p>
    <w:p w14:paraId="02C0CB2E" w14:textId="77777777" w:rsidR="001F7E47" w:rsidRDefault="001F7E47">
      <w:pPr>
        <w:rPr>
          <w:rFonts w:ascii="Verdana" w:hAnsi="Verdana"/>
          <w:lang w:val="en-US"/>
        </w:rPr>
      </w:pPr>
    </w:p>
    <w:p w14:paraId="3C27CB9B" w14:textId="77777777" w:rsidR="0055452A" w:rsidRDefault="0055452A">
      <w:pPr>
        <w:rPr>
          <w:rFonts w:ascii="Verdana" w:hAnsi="Verdana"/>
          <w:lang w:val="en-US"/>
        </w:rPr>
      </w:pPr>
    </w:p>
    <w:p w14:paraId="55AA469A" w14:textId="77777777" w:rsidR="007A3AEE" w:rsidRPr="00055969" w:rsidRDefault="007A3AEE">
      <w:pPr>
        <w:rPr>
          <w:rFonts w:ascii="Verdana" w:hAnsi="Verdana"/>
          <w:lang w:val="en-US"/>
        </w:rPr>
      </w:pPr>
    </w:p>
    <w:sectPr w:rsidR="007A3AEE" w:rsidRPr="000559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04D13"/>
    <w:multiLevelType w:val="hybridMultilevel"/>
    <w:tmpl w:val="CF4075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666292"/>
    <w:multiLevelType w:val="multilevel"/>
    <w:tmpl w:val="ADFE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01586"/>
    <w:multiLevelType w:val="hybridMultilevel"/>
    <w:tmpl w:val="46907EB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9602C1E"/>
    <w:multiLevelType w:val="multilevel"/>
    <w:tmpl w:val="699AC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E02B56"/>
    <w:multiLevelType w:val="hybridMultilevel"/>
    <w:tmpl w:val="A210A8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283BA7"/>
    <w:multiLevelType w:val="multilevel"/>
    <w:tmpl w:val="809A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81149F"/>
    <w:multiLevelType w:val="multilevel"/>
    <w:tmpl w:val="B6AEC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8E3762"/>
    <w:multiLevelType w:val="hybridMultilevel"/>
    <w:tmpl w:val="CB588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E81475"/>
    <w:multiLevelType w:val="multilevel"/>
    <w:tmpl w:val="F64EB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C0214E"/>
    <w:multiLevelType w:val="multilevel"/>
    <w:tmpl w:val="C7C0B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61623F"/>
    <w:multiLevelType w:val="multilevel"/>
    <w:tmpl w:val="A2ECB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865CC4"/>
    <w:multiLevelType w:val="hybridMultilevel"/>
    <w:tmpl w:val="9580E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6221914">
    <w:abstractNumId w:val="9"/>
  </w:num>
  <w:num w:numId="2" w16cid:durableId="210465128">
    <w:abstractNumId w:val="6"/>
  </w:num>
  <w:num w:numId="3" w16cid:durableId="1256279177">
    <w:abstractNumId w:val="5"/>
  </w:num>
  <w:num w:numId="4" w16cid:durableId="2026855580">
    <w:abstractNumId w:val="10"/>
  </w:num>
  <w:num w:numId="5" w16cid:durableId="1837259603">
    <w:abstractNumId w:val="1"/>
  </w:num>
  <w:num w:numId="6" w16cid:durableId="528493374">
    <w:abstractNumId w:val="8"/>
  </w:num>
  <w:num w:numId="7" w16cid:durableId="1265845654">
    <w:abstractNumId w:val="3"/>
  </w:num>
  <w:num w:numId="8" w16cid:durableId="806118970">
    <w:abstractNumId w:val="2"/>
  </w:num>
  <w:num w:numId="9" w16cid:durableId="1038507755">
    <w:abstractNumId w:val="4"/>
  </w:num>
  <w:num w:numId="10" w16cid:durableId="875431001">
    <w:abstractNumId w:val="11"/>
  </w:num>
  <w:num w:numId="11" w16cid:durableId="1229027541">
    <w:abstractNumId w:val="0"/>
  </w:num>
  <w:num w:numId="12" w16cid:durableId="131341285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E96"/>
    <w:rsid w:val="00011563"/>
    <w:rsid w:val="00011CF5"/>
    <w:rsid w:val="00011DDE"/>
    <w:rsid w:val="00012683"/>
    <w:rsid w:val="00013722"/>
    <w:rsid w:val="00013D32"/>
    <w:rsid w:val="00013E96"/>
    <w:rsid w:val="00013EB8"/>
    <w:rsid w:val="000218AF"/>
    <w:rsid w:val="000229C4"/>
    <w:rsid w:val="00027B48"/>
    <w:rsid w:val="00033D47"/>
    <w:rsid w:val="0003770F"/>
    <w:rsid w:val="00044B32"/>
    <w:rsid w:val="00047F35"/>
    <w:rsid w:val="00050C7E"/>
    <w:rsid w:val="00053251"/>
    <w:rsid w:val="00055969"/>
    <w:rsid w:val="000559EB"/>
    <w:rsid w:val="00057219"/>
    <w:rsid w:val="00057264"/>
    <w:rsid w:val="00062214"/>
    <w:rsid w:val="00062853"/>
    <w:rsid w:val="000640DE"/>
    <w:rsid w:val="00066D47"/>
    <w:rsid w:val="00081028"/>
    <w:rsid w:val="00081889"/>
    <w:rsid w:val="0008330D"/>
    <w:rsid w:val="00086346"/>
    <w:rsid w:val="000876AD"/>
    <w:rsid w:val="0009303E"/>
    <w:rsid w:val="00096BA4"/>
    <w:rsid w:val="000A02DE"/>
    <w:rsid w:val="000A4931"/>
    <w:rsid w:val="000A696E"/>
    <w:rsid w:val="000A76F9"/>
    <w:rsid w:val="000A7B08"/>
    <w:rsid w:val="000B3D2F"/>
    <w:rsid w:val="000B4AD4"/>
    <w:rsid w:val="000C0B0A"/>
    <w:rsid w:val="000C2F25"/>
    <w:rsid w:val="000D36A2"/>
    <w:rsid w:val="000D39FA"/>
    <w:rsid w:val="000D5EC8"/>
    <w:rsid w:val="000D637D"/>
    <w:rsid w:val="000F1FC3"/>
    <w:rsid w:val="000F2ADB"/>
    <w:rsid w:val="00101886"/>
    <w:rsid w:val="00104834"/>
    <w:rsid w:val="0011009F"/>
    <w:rsid w:val="001148BC"/>
    <w:rsid w:val="001166CB"/>
    <w:rsid w:val="00121B1F"/>
    <w:rsid w:val="00122E50"/>
    <w:rsid w:val="00125BC4"/>
    <w:rsid w:val="001261F9"/>
    <w:rsid w:val="00126B2F"/>
    <w:rsid w:val="00126D4E"/>
    <w:rsid w:val="0013042A"/>
    <w:rsid w:val="001350E5"/>
    <w:rsid w:val="00143990"/>
    <w:rsid w:val="00144F98"/>
    <w:rsid w:val="00151EF1"/>
    <w:rsid w:val="00152D19"/>
    <w:rsid w:val="001537E8"/>
    <w:rsid w:val="00153E23"/>
    <w:rsid w:val="00154253"/>
    <w:rsid w:val="001652BF"/>
    <w:rsid w:val="00167A34"/>
    <w:rsid w:val="00170244"/>
    <w:rsid w:val="0017058C"/>
    <w:rsid w:val="001712E7"/>
    <w:rsid w:val="00182C32"/>
    <w:rsid w:val="00186321"/>
    <w:rsid w:val="001947E4"/>
    <w:rsid w:val="00196EC9"/>
    <w:rsid w:val="001A0A87"/>
    <w:rsid w:val="001A3663"/>
    <w:rsid w:val="001A518B"/>
    <w:rsid w:val="001A6AE0"/>
    <w:rsid w:val="001B2DD9"/>
    <w:rsid w:val="001B4C0F"/>
    <w:rsid w:val="001B514E"/>
    <w:rsid w:val="001C195B"/>
    <w:rsid w:val="001C21B3"/>
    <w:rsid w:val="001D5316"/>
    <w:rsid w:val="001D5A8C"/>
    <w:rsid w:val="001D5B94"/>
    <w:rsid w:val="001E61BD"/>
    <w:rsid w:val="001F7E47"/>
    <w:rsid w:val="002002D7"/>
    <w:rsid w:val="00200DDE"/>
    <w:rsid w:val="0020479D"/>
    <w:rsid w:val="00210FBC"/>
    <w:rsid w:val="00212C5A"/>
    <w:rsid w:val="002133F0"/>
    <w:rsid w:val="00214C7B"/>
    <w:rsid w:val="00215746"/>
    <w:rsid w:val="00217FC9"/>
    <w:rsid w:val="00223F53"/>
    <w:rsid w:val="00233377"/>
    <w:rsid w:val="0023626A"/>
    <w:rsid w:val="00237063"/>
    <w:rsid w:val="0024400F"/>
    <w:rsid w:val="002440B9"/>
    <w:rsid w:val="002447A2"/>
    <w:rsid w:val="00244B4E"/>
    <w:rsid w:val="002504ED"/>
    <w:rsid w:val="00252A6A"/>
    <w:rsid w:val="00254594"/>
    <w:rsid w:val="00255500"/>
    <w:rsid w:val="00256A1B"/>
    <w:rsid w:val="00263F24"/>
    <w:rsid w:val="0026447B"/>
    <w:rsid w:val="00266939"/>
    <w:rsid w:val="00267574"/>
    <w:rsid w:val="00270242"/>
    <w:rsid w:val="00270968"/>
    <w:rsid w:val="002726FE"/>
    <w:rsid w:val="0027686E"/>
    <w:rsid w:val="00277895"/>
    <w:rsid w:val="002842CF"/>
    <w:rsid w:val="00290997"/>
    <w:rsid w:val="00291B6D"/>
    <w:rsid w:val="002C1C64"/>
    <w:rsid w:val="002C286B"/>
    <w:rsid w:val="002C5E56"/>
    <w:rsid w:val="002C64D7"/>
    <w:rsid w:val="002C72D9"/>
    <w:rsid w:val="002D3A83"/>
    <w:rsid w:val="002D476F"/>
    <w:rsid w:val="002E0A71"/>
    <w:rsid w:val="002E11DE"/>
    <w:rsid w:val="002E20B4"/>
    <w:rsid w:val="002E5254"/>
    <w:rsid w:val="002E698C"/>
    <w:rsid w:val="002E7B33"/>
    <w:rsid w:val="002E7FA4"/>
    <w:rsid w:val="002F6571"/>
    <w:rsid w:val="002F65F0"/>
    <w:rsid w:val="003015E7"/>
    <w:rsid w:val="00307A91"/>
    <w:rsid w:val="00307E42"/>
    <w:rsid w:val="00315A0C"/>
    <w:rsid w:val="00322BB2"/>
    <w:rsid w:val="00326F8C"/>
    <w:rsid w:val="00331469"/>
    <w:rsid w:val="00333959"/>
    <w:rsid w:val="003413CA"/>
    <w:rsid w:val="00342C08"/>
    <w:rsid w:val="0034363F"/>
    <w:rsid w:val="00345F90"/>
    <w:rsid w:val="00346477"/>
    <w:rsid w:val="00354A41"/>
    <w:rsid w:val="003552BF"/>
    <w:rsid w:val="003600BD"/>
    <w:rsid w:val="003610C6"/>
    <w:rsid w:val="00361774"/>
    <w:rsid w:val="003617B8"/>
    <w:rsid w:val="003618F2"/>
    <w:rsid w:val="00362AE6"/>
    <w:rsid w:val="00364735"/>
    <w:rsid w:val="00364FF7"/>
    <w:rsid w:val="00366D3E"/>
    <w:rsid w:val="00370E05"/>
    <w:rsid w:val="003714F2"/>
    <w:rsid w:val="00374D56"/>
    <w:rsid w:val="0037773A"/>
    <w:rsid w:val="003824F0"/>
    <w:rsid w:val="0038381F"/>
    <w:rsid w:val="003876FB"/>
    <w:rsid w:val="0039060F"/>
    <w:rsid w:val="0039343F"/>
    <w:rsid w:val="00393607"/>
    <w:rsid w:val="003B4D9F"/>
    <w:rsid w:val="003B6107"/>
    <w:rsid w:val="003C2EBE"/>
    <w:rsid w:val="003C4D74"/>
    <w:rsid w:val="003C64DB"/>
    <w:rsid w:val="003D0431"/>
    <w:rsid w:val="003D1E92"/>
    <w:rsid w:val="003D5E80"/>
    <w:rsid w:val="003D68E0"/>
    <w:rsid w:val="003D72B5"/>
    <w:rsid w:val="003F0E81"/>
    <w:rsid w:val="003F5C16"/>
    <w:rsid w:val="003F7B17"/>
    <w:rsid w:val="00414DB1"/>
    <w:rsid w:val="004156DD"/>
    <w:rsid w:val="004172D1"/>
    <w:rsid w:val="004178AB"/>
    <w:rsid w:val="00417952"/>
    <w:rsid w:val="00417CEA"/>
    <w:rsid w:val="00422F3B"/>
    <w:rsid w:val="004234E9"/>
    <w:rsid w:val="004244F0"/>
    <w:rsid w:val="00426066"/>
    <w:rsid w:val="0043417B"/>
    <w:rsid w:val="00435809"/>
    <w:rsid w:val="00440BFA"/>
    <w:rsid w:val="004419FA"/>
    <w:rsid w:val="004479B1"/>
    <w:rsid w:val="00457B74"/>
    <w:rsid w:val="00462A01"/>
    <w:rsid w:val="00465A46"/>
    <w:rsid w:val="00470034"/>
    <w:rsid w:val="00470BB9"/>
    <w:rsid w:val="00470BCB"/>
    <w:rsid w:val="00473845"/>
    <w:rsid w:val="00477B72"/>
    <w:rsid w:val="00484057"/>
    <w:rsid w:val="0049027F"/>
    <w:rsid w:val="00491469"/>
    <w:rsid w:val="00496910"/>
    <w:rsid w:val="004A539D"/>
    <w:rsid w:val="004B315D"/>
    <w:rsid w:val="004C03ED"/>
    <w:rsid w:val="004C4D45"/>
    <w:rsid w:val="004C6233"/>
    <w:rsid w:val="004C6EC1"/>
    <w:rsid w:val="004C7955"/>
    <w:rsid w:val="004C7CF7"/>
    <w:rsid w:val="004D14D3"/>
    <w:rsid w:val="004D2BB7"/>
    <w:rsid w:val="004D3AFD"/>
    <w:rsid w:val="004D4210"/>
    <w:rsid w:val="004E0113"/>
    <w:rsid w:val="004E259A"/>
    <w:rsid w:val="004E2AC9"/>
    <w:rsid w:val="004E2E55"/>
    <w:rsid w:val="004E442F"/>
    <w:rsid w:val="004E52C2"/>
    <w:rsid w:val="004E7CBE"/>
    <w:rsid w:val="00500671"/>
    <w:rsid w:val="005008F1"/>
    <w:rsid w:val="00502F4C"/>
    <w:rsid w:val="00512D80"/>
    <w:rsid w:val="00513C14"/>
    <w:rsid w:val="005163F5"/>
    <w:rsid w:val="005208F6"/>
    <w:rsid w:val="00531BCA"/>
    <w:rsid w:val="005327D3"/>
    <w:rsid w:val="00536201"/>
    <w:rsid w:val="00536678"/>
    <w:rsid w:val="00541139"/>
    <w:rsid w:val="005510B9"/>
    <w:rsid w:val="0055324A"/>
    <w:rsid w:val="005534C1"/>
    <w:rsid w:val="0055452A"/>
    <w:rsid w:val="00561D4A"/>
    <w:rsid w:val="00565673"/>
    <w:rsid w:val="00572976"/>
    <w:rsid w:val="005742E3"/>
    <w:rsid w:val="005765AF"/>
    <w:rsid w:val="0058014D"/>
    <w:rsid w:val="00581C90"/>
    <w:rsid w:val="00583353"/>
    <w:rsid w:val="00586267"/>
    <w:rsid w:val="005870C8"/>
    <w:rsid w:val="0059059A"/>
    <w:rsid w:val="00592072"/>
    <w:rsid w:val="005A4B36"/>
    <w:rsid w:val="005A5461"/>
    <w:rsid w:val="005B11B0"/>
    <w:rsid w:val="005B53A9"/>
    <w:rsid w:val="005C0E6A"/>
    <w:rsid w:val="005C1206"/>
    <w:rsid w:val="005D1C00"/>
    <w:rsid w:val="005D43F8"/>
    <w:rsid w:val="005D58FB"/>
    <w:rsid w:val="005E2ECC"/>
    <w:rsid w:val="005F1464"/>
    <w:rsid w:val="005F7E64"/>
    <w:rsid w:val="00602F1A"/>
    <w:rsid w:val="00603D30"/>
    <w:rsid w:val="006116B9"/>
    <w:rsid w:val="00613949"/>
    <w:rsid w:val="006143CE"/>
    <w:rsid w:val="00620584"/>
    <w:rsid w:val="006207DC"/>
    <w:rsid w:val="006245BA"/>
    <w:rsid w:val="00626118"/>
    <w:rsid w:val="0063281F"/>
    <w:rsid w:val="00632DF3"/>
    <w:rsid w:val="006403A6"/>
    <w:rsid w:val="00641E34"/>
    <w:rsid w:val="0064386F"/>
    <w:rsid w:val="00651139"/>
    <w:rsid w:val="00652DB7"/>
    <w:rsid w:val="00653DF9"/>
    <w:rsid w:val="00654AA4"/>
    <w:rsid w:val="0065606D"/>
    <w:rsid w:val="00662F42"/>
    <w:rsid w:val="0067439C"/>
    <w:rsid w:val="00676BE5"/>
    <w:rsid w:val="006839E3"/>
    <w:rsid w:val="00685053"/>
    <w:rsid w:val="00685B10"/>
    <w:rsid w:val="00686552"/>
    <w:rsid w:val="006A35F0"/>
    <w:rsid w:val="006A68E6"/>
    <w:rsid w:val="006B124B"/>
    <w:rsid w:val="006B1DCF"/>
    <w:rsid w:val="006B48CB"/>
    <w:rsid w:val="006C32F8"/>
    <w:rsid w:val="006C4875"/>
    <w:rsid w:val="006C5489"/>
    <w:rsid w:val="006C7401"/>
    <w:rsid w:val="006C7E8B"/>
    <w:rsid w:val="006D620F"/>
    <w:rsid w:val="006E01ED"/>
    <w:rsid w:val="006E6FC0"/>
    <w:rsid w:val="006F0BE6"/>
    <w:rsid w:val="006F2670"/>
    <w:rsid w:val="006F639F"/>
    <w:rsid w:val="006F682C"/>
    <w:rsid w:val="006F745E"/>
    <w:rsid w:val="00700819"/>
    <w:rsid w:val="00700D2A"/>
    <w:rsid w:val="00704697"/>
    <w:rsid w:val="007059FF"/>
    <w:rsid w:val="00705F56"/>
    <w:rsid w:val="00706F71"/>
    <w:rsid w:val="00711D63"/>
    <w:rsid w:val="007136F5"/>
    <w:rsid w:val="007158F2"/>
    <w:rsid w:val="00715B2E"/>
    <w:rsid w:val="007249EF"/>
    <w:rsid w:val="00725AC5"/>
    <w:rsid w:val="00725B96"/>
    <w:rsid w:val="007278C7"/>
    <w:rsid w:val="00727B7D"/>
    <w:rsid w:val="00730D1E"/>
    <w:rsid w:val="00732E97"/>
    <w:rsid w:val="00734276"/>
    <w:rsid w:val="0073770C"/>
    <w:rsid w:val="00742165"/>
    <w:rsid w:val="00742E1F"/>
    <w:rsid w:val="007513E4"/>
    <w:rsid w:val="00752DEA"/>
    <w:rsid w:val="00753EBE"/>
    <w:rsid w:val="00754324"/>
    <w:rsid w:val="00754F45"/>
    <w:rsid w:val="00761567"/>
    <w:rsid w:val="00763CF3"/>
    <w:rsid w:val="0077045E"/>
    <w:rsid w:val="00772066"/>
    <w:rsid w:val="00772F90"/>
    <w:rsid w:val="00777270"/>
    <w:rsid w:val="00783AF0"/>
    <w:rsid w:val="00785081"/>
    <w:rsid w:val="00785749"/>
    <w:rsid w:val="00786098"/>
    <w:rsid w:val="007A1858"/>
    <w:rsid w:val="007A262F"/>
    <w:rsid w:val="007A2A9F"/>
    <w:rsid w:val="007A33A4"/>
    <w:rsid w:val="007A3AEE"/>
    <w:rsid w:val="007A5338"/>
    <w:rsid w:val="007A679B"/>
    <w:rsid w:val="007A69AB"/>
    <w:rsid w:val="007B2E5A"/>
    <w:rsid w:val="007B35CA"/>
    <w:rsid w:val="007B3A60"/>
    <w:rsid w:val="007C3C0D"/>
    <w:rsid w:val="007C613E"/>
    <w:rsid w:val="007D2A6A"/>
    <w:rsid w:val="007D3C5D"/>
    <w:rsid w:val="007D5901"/>
    <w:rsid w:val="007D5C2B"/>
    <w:rsid w:val="007F05CC"/>
    <w:rsid w:val="007F19B0"/>
    <w:rsid w:val="007F28D1"/>
    <w:rsid w:val="007F28E6"/>
    <w:rsid w:val="007F718D"/>
    <w:rsid w:val="007F7A79"/>
    <w:rsid w:val="00801763"/>
    <w:rsid w:val="0080284D"/>
    <w:rsid w:val="00805F38"/>
    <w:rsid w:val="0080774F"/>
    <w:rsid w:val="0081759E"/>
    <w:rsid w:val="00820409"/>
    <w:rsid w:val="00822DC5"/>
    <w:rsid w:val="0082335B"/>
    <w:rsid w:val="00824946"/>
    <w:rsid w:val="00827648"/>
    <w:rsid w:val="008309B1"/>
    <w:rsid w:val="008342B6"/>
    <w:rsid w:val="00837D4F"/>
    <w:rsid w:val="00844CDA"/>
    <w:rsid w:val="00852DE5"/>
    <w:rsid w:val="0085341F"/>
    <w:rsid w:val="0085512F"/>
    <w:rsid w:val="0085626B"/>
    <w:rsid w:val="00856EFD"/>
    <w:rsid w:val="0086010F"/>
    <w:rsid w:val="008639B0"/>
    <w:rsid w:val="00866DF9"/>
    <w:rsid w:val="00867E4E"/>
    <w:rsid w:val="00870323"/>
    <w:rsid w:val="00881696"/>
    <w:rsid w:val="008A396B"/>
    <w:rsid w:val="008B06CE"/>
    <w:rsid w:val="008B0770"/>
    <w:rsid w:val="008B2823"/>
    <w:rsid w:val="008B315B"/>
    <w:rsid w:val="008B4436"/>
    <w:rsid w:val="008B4A00"/>
    <w:rsid w:val="008C4382"/>
    <w:rsid w:val="008C60AE"/>
    <w:rsid w:val="008D0427"/>
    <w:rsid w:val="008D3C9C"/>
    <w:rsid w:val="008D5F91"/>
    <w:rsid w:val="008E557B"/>
    <w:rsid w:val="008E7824"/>
    <w:rsid w:val="008F76E8"/>
    <w:rsid w:val="00902D84"/>
    <w:rsid w:val="00903F9C"/>
    <w:rsid w:val="00914C03"/>
    <w:rsid w:val="0091519D"/>
    <w:rsid w:val="00915B33"/>
    <w:rsid w:val="00922759"/>
    <w:rsid w:val="00933978"/>
    <w:rsid w:val="009375F3"/>
    <w:rsid w:val="0094431B"/>
    <w:rsid w:val="00950446"/>
    <w:rsid w:val="0095120A"/>
    <w:rsid w:val="009538DF"/>
    <w:rsid w:val="00954DEF"/>
    <w:rsid w:val="00956F22"/>
    <w:rsid w:val="0095703B"/>
    <w:rsid w:val="00957724"/>
    <w:rsid w:val="0096008D"/>
    <w:rsid w:val="00963091"/>
    <w:rsid w:val="0097014D"/>
    <w:rsid w:val="009772F0"/>
    <w:rsid w:val="00981699"/>
    <w:rsid w:val="00990D17"/>
    <w:rsid w:val="00992290"/>
    <w:rsid w:val="009978C2"/>
    <w:rsid w:val="009B2B58"/>
    <w:rsid w:val="009B3067"/>
    <w:rsid w:val="009C0C8D"/>
    <w:rsid w:val="009C2319"/>
    <w:rsid w:val="009C40E7"/>
    <w:rsid w:val="009D26BC"/>
    <w:rsid w:val="009E0176"/>
    <w:rsid w:val="009F1ACE"/>
    <w:rsid w:val="009F7E81"/>
    <w:rsid w:val="00A0150D"/>
    <w:rsid w:val="00A0661F"/>
    <w:rsid w:val="00A067CC"/>
    <w:rsid w:val="00A07C53"/>
    <w:rsid w:val="00A1491F"/>
    <w:rsid w:val="00A21BC2"/>
    <w:rsid w:val="00A23A1E"/>
    <w:rsid w:val="00A261C4"/>
    <w:rsid w:val="00A358C1"/>
    <w:rsid w:val="00A4221F"/>
    <w:rsid w:val="00A45A03"/>
    <w:rsid w:val="00A4673C"/>
    <w:rsid w:val="00A501E7"/>
    <w:rsid w:val="00A53D81"/>
    <w:rsid w:val="00A54E4B"/>
    <w:rsid w:val="00A665EB"/>
    <w:rsid w:val="00A67465"/>
    <w:rsid w:val="00A7031C"/>
    <w:rsid w:val="00A7118A"/>
    <w:rsid w:val="00A721E9"/>
    <w:rsid w:val="00A72777"/>
    <w:rsid w:val="00A738C3"/>
    <w:rsid w:val="00A73FFC"/>
    <w:rsid w:val="00A76AE0"/>
    <w:rsid w:val="00A76C70"/>
    <w:rsid w:val="00A776FB"/>
    <w:rsid w:val="00A84326"/>
    <w:rsid w:val="00A911D1"/>
    <w:rsid w:val="00A91ACB"/>
    <w:rsid w:val="00A95491"/>
    <w:rsid w:val="00AA6753"/>
    <w:rsid w:val="00AA7208"/>
    <w:rsid w:val="00AB0CDF"/>
    <w:rsid w:val="00AB5D27"/>
    <w:rsid w:val="00AB7DA0"/>
    <w:rsid w:val="00AC3D6C"/>
    <w:rsid w:val="00AD41DD"/>
    <w:rsid w:val="00AD46DE"/>
    <w:rsid w:val="00AD4E6A"/>
    <w:rsid w:val="00AD59DE"/>
    <w:rsid w:val="00AD67C3"/>
    <w:rsid w:val="00AF0AF1"/>
    <w:rsid w:val="00AF5BA9"/>
    <w:rsid w:val="00B02C5F"/>
    <w:rsid w:val="00B07022"/>
    <w:rsid w:val="00B076B4"/>
    <w:rsid w:val="00B1196C"/>
    <w:rsid w:val="00B14D8F"/>
    <w:rsid w:val="00B221D4"/>
    <w:rsid w:val="00B24E24"/>
    <w:rsid w:val="00B2710A"/>
    <w:rsid w:val="00B3197B"/>
    <w:rsid w:val="00B32B1E"/>
    <w:rsid w:val="00B33EC3"/>
    <w:rsid w:val="00B37FCD"/>
    <w:rsid w:val="00B4138C"/>
    <w:rsid w:val="00B45069"/>
    <w:rsid w:val="00B4531D"/>
    <w:rsid w:val="00B45E1E"/>
    <w:rsid w:val="00B524CC"/>
    <w:rsid w:val="00B55733"/>
    <w:rsid w:val="00B56C50"/>
    <w:rsid w:val="00B60A7F"/>
    <w:rsid w:val="00B72E06"/>
    <w:rsid w:val="00B73C0C"/>
    <w:rsid w:val="00B743C1"/>
    <w:rsid w:val="00B74403"/>
    <w:rsid w:val="00B77481"/>
    <w:rsid w:val="00B822C6"/>
    <w:rsid w:val="00B87C3A"/>
    <w:rsid w:val="00B9312C"/>
    <w:rsid w:val="00BA5942"/>
    <w:rsid w:val="00BB02E6"/>
    <w:rsid w:val="00BB187F"/>
    <w:rsid w:val="00BB608B"/>
    <w:rsid w:val="00BB7C2D"/>
    <w:rsid w:val="00BC20A1"/>
    <w:rsid w:val="00BC4948"/>
    <w:rsid w:val="00BD7DD0"/>
    <w:rsid w:val="00BE089C"/>
    <w:rsid w:val="00BE2B06"/>
    <w:rsid w:val="00BE6487"/>
    <w:rsid w:val="00C00648"/>
    <w:rsid w:val="00C012D9"/>
    <w:rsid w:val="00C0448E"/>
    <w:rsid w:val="00C06148"/>
    <w:rsid w:val="00C073BA"/>
    <w:rsid w:val="00C07DB3"/>
    <w:rsid w:val="00C13BC5"/>
    <w:rsid w:val="00C171FA"/>
    <w:rsid w:val="00C22DE0"/>
    <w:rsid w:val="00C23944"/>
    <w:rsid w:val="00C23AC8"/>
    <w:rsid w:val="00C26026"/>
    <w:rsid w:val="00C27329"/>
    <w:rsid w:val="00C315DD"/>
    <w:rsid w:val="00C33142"/>
    <w:rsid w:val="00C3358A"/>
    <w:rsid w:val="00C336DE"/>
    <w:rsid w:val="00C449B3"/>
    <w:rsid w:val="00C52F57"/>
    <w:rsid w:val="00C552E5"/>
    <w:rsid w:val="00C57E5A"/>
    <w:rsid w:val="00C61B7C"/>
    <w:rsid w:val="00C621D4"/>
    <w:rsid w:val="00C63324"/>
    <w:rsid w:val="00C63FED"/>
    <w:rsid w:val="00C77DBD"/>
    <w:rsid w:val="00C8418E"/>
    <w:rsid w:val="00C9240C"/>
    <w:rsid w:val="00C96D8C"/>
    <w:rsid w:val="00C97A9A"/>
    <w:rsid w:val="00C97E92"/>
    <w:rsid w:val="00CA14DB"/>
    <w:rsid w:val="00CA15BE"/>
    <w:rsid w:val="00CA1925"/>
    <w:rsid w:val="00CA656D"/>
    <w:rsid w:val="00CB08CD"/>
    <w:rsid w:val="00CB1757"/>
    <w:rsid w:val="00CB4FFA"/>
    <w:rsid w:val="00CC2E4A"/>
    <w:rsid w:val="00CC3DF7"/>
    <w:rsid w:val="00CD0E91"/>
    <w:rsid w:val="00CD18E1"/>
    <w:rsid w:val="00CD24C2"/>
    <w:rsid w:val="00CE1B2C"/>
    <w:rsid w:val="00CE4725"/>
    <w:rsid w:val="00CE711D"/>
    <w:rsid w:val="00CF0880"/>
    <w:rsid w:val="00CF0CCD"/>
    <w:rsid w:val="00CF5634"/>
    <w:rsid w:val="00CF56D0"/>
    <w:rsid w:val="00CF594E"/>
    <w:rsid w:val="00CF74EC"/>
    <w:rsid w:val="00D015CA"/>
    <w:rsid w:val="00D04382"/>
    <w:rsid w:val="00D10C9D"/>
    <w:rsid w:val="00D12910"/>
    <w:rsid w:val="00D13ECD"/>
    <w:rsid w:val="00D14E20"/>
    <w:rsid w:val="00D15F57"/>
    <w:rsid w:val="00D164A8"/>
    <w:rsid w:val="00D17FE4"/>
    <w:rsid w:val="00D20E29"/>
    <w:rsid w:val="00D2152E"/>
    <w:rsid w:val="00D22EE0"/>
    <w:rsid w:val="00D259C6"/>
    <w:rsid w:val="00D32B06"/>
    <w:rsid w:val="00D33436"/>
    <w:rsid w:val="00D420E2"/>
    <w:rsid w:val="00D43F30"/>
    <w:rsid w:val="00D44BD2"/>
    <w:rsid w:val="00D5246B"/>
    <w:rsid w:val="00D53D9A"/>
    <w:rsid w:val="00D555E1"/>
    <w:rsid w:val="00D600FF"/>
    <w:rsid w:val="00D65BB5"/>
    <w:rsid w:val="00D82345"/>
    <w:rsid w:val="00D8785D"/>
    <w:rsid w:val="00D93E08"/>
    <w:rsid w:val="00D978A3"/>
    <w:rsid w:val="00DA0B9F"/>
    <w:rsid w:val="00DA3227"/>
    <w:rsid w:val="00DB040C"/>
    <w:rsid w:val="00DB7FEA"/>
    <w:rsid w:val="00DD446F"/>
    <w:rsid w:val="00DE1EFE"/>
    <w:rsid w:val="00DE2D32"/>
    <w:rsid w:val="00DE44C2"/>
    <w:rsid w:val="00DF064C"/>
    <w:rsid w:val="00DF448E"/>
    <w:rsid w:val="00DF6B71"/>
    <w:rsid w:val="00E0146B"/>
    <w:rsid w:val="00E05E2A"/>
    <w:rsid w:val="00E167E5"/>
    <w:rsid w:val="00E17F33"/>
    <w:rsid w:val="00E22A57"/>
    <w:rsid w:val="00E2413E"/>
    <w:rsid w:val="00E3096C"/>
    <w:rsid w:val="00E318E9"/>
    <w:rsid w:val="00E32607"/>
    <w:rsid w:val="00E33DCB"/>
    <w:rsid w:val="00E3522C"/>
    <w:rsid w:val="00E4484E"/>
    <w:rsid w:val="00E451FF"/>
    <w:rsid w:val="00E53864"/>
    <w:rsid w:val="00E560C0"/>
    <w:rsid w:val="00E60114"/>
    <w:rsid w:val="00E6168E"/>
    <w:rsid w:val="00E65D0D"/>
    <w:rsid w:val="00E73D06"/>
    <w:rsid w:val="00E750BA"/>
    <w:rsid w:val="00E84E38"/>
    <w:rsid w:val="00E879D4"/>
    <w:rsid w:val="00EA0C39"/>
    <w:rsid w:val="00EA74A1"/>
    <w:rsid w:val="00EB059D"/>
    <w:rsid w:val="00EB111F"/>
    <w:rsid w:val="00EB323E"/>
    <w:rsid w:val="00EB65C8"/>
    <w:rsid w:val="00EB6C4A"/>
    <w:rsid w:val="00EC1370"/>
    <w:rsid w:val="00EC6468"/>
    <w:rsid w:val="00EC6F49"/>
    <w:rsid w:val="00EE1DAE"/>
    <w:rsid w:val="00EE2FCA"/>
    <w:rsid w:val="00EF3219"/>
    <w:rsid w:val="00EF50D8"/>
    <w:rsid w:val="00EF60A4"/>
    <w:rsid w:val="00F0527F"/>
    <w:rsid w:val="00F057D4"/>
    <w:rsid w:val="00F06F20"/>
    <w:rsid w:val="00F1560B"/>
    <w:rsid w:val="00F304C9"/>
    <w:rsid w:val="00F31E49"/>
    <w:rsid w:val="00F33008"/>
    <w:rsid w:val="00F41E83"/>
    <w:rsid w:val="00F443A9"/>
    <w:rsid w:val="00F44BF9"/>
    <w:rsid w:val="00F47619"/>
    <w:rsid w:val="00F479F4"/>
    <w:rsid w:val="00F51C1D"/>
    <w:rsid w:val="00F51F03"/>
    <w:rsid w:val="00F52F18"/>
    <w:rsid w:val="00F5482B"/>
    <w:rsid w:val="00F5752D"/>
    <w:rsid w:val="00F6597E"/>
    <w:rsid w:val="00F65D5E"/>
    <w:rsid w:val="00F67969"/>
    <w:rsid w:val="00F749F3"/>
    <w:rsid w:val="00F80CFD"/>
    <w:rsid w:val="00F83071"/>
    <w:rsid w:val="00F8685D"/>
    <w:rsid w:val="00F97596"/>
    <w:rsid w:val="00FA0B72"/>
    <w:rsid w:val="00FA5B15"/>
    <w:rsid w:val="00FA5E2E"/>
    <w:rsid w:val="00FB2457"/>
    <w:rsid w:val="00FB2A5E"/>
    <w:rsid w:val="00FC09F1"/>
    <w:rsid w:val="00FC417D"/>
    <w:rsid w:val="00FC5D55"/>
    <w:rsid w:val="00FD257B"/>
    <w:rsid w:val="00FE115E"/>
    <w:rsid w:val="00FF51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FF8D0"/>
  <w15:chartTrackingRefBased/>
  <w15:docId w15:val="{622C01CF-780E-4741-9774-E775BEF6F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3E9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13E9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13E9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13E9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013E9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013E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3E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3E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3E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E9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13E9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13E9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13E9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013E9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013E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3E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3E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3E96"/>
    <w:rPr>
      <w:rFonts w:eastAsiaTheme="majorEastAsia" w:cstheme="majorBidi"/>
      <w:color w:val="272727" w:themeColor="text1" w:themeTint="D8"/>
    </w:rPr>
  </w:style>
  <w:style w:type="paragraph" w:styleId="Title">
    <w:name w:val="Title"/>
    <w:basedOn w:val="Normal"/>
    <w:next w:val="Normal"/>
    <w:link w:val="TitleChar"/>
    <w:uiPriority w:val="10"/>
    <w:qFormat/>
    <w:rsid w:val="00013E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3E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3E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3E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3E96"/>
    <w:pPr>
      <w:spacing w:before="160"/>
      <w:jc w:val="center"/>
    </w:pPr>
    <w:rPr>
      <w:i/>
      <w:iCs/>
      <w:color w:val="404040" w:themeColor="text1" w:themeTint="BF"/>
    </w:rPr>
  </w:style>
  <w:style w:type="character" w:customStyle="1" w:styleId="QuoteChar">
    <w:name w:val="Quote Char"/>
    <w:basedOn w:val="DefaultParagraphFont"/>
    <w:link w:val="Quote"/>
    <w:uiPriority w:val="29"/>
    <w:rsid w:val="00013E96"/>
    <w:rPr>
      <w:i/>
      <w:iCs/>
      <w:color w:val="404040" w:themeColor="text1" w:themeTint="BF"/>
    </w:rPr>
  </w:style>
  <w:style w:type="paragraph" w:styleId="ListParagraph">
    <w:name w:val="List Paragraph"/>
    <w:basedOn w:val="Normal"/>
    <w:uiPriority w:val="34"/>
    <w:qFormat/>
    <w:rsid w:val="00013E96"/>
    <w:pPr>
      <w:ind w:left="720"/>
      <w:contextualSpacing/>
    </w:pPr>
  </w:style>
  <w:style w:type="character" w:styleId="IntenseEmphasis">
    <w:name w:val="Intense Emphasis"/>
    <w:basedOn w:val="DefaultParagraphFont"/>
    <w:uiPriority w:val="21"/>
    <w:qFormat/>
    <w:rsid w:val="00013E96"/>
    <w:rPr>
      <w:i/>
      <w:iCs/>
      <w:color w:val="2E74B5" w:themeColor="accent1" w:themeShade="BF"/>
    </w:rPr>
  </w:style>
  <w:style w:type="paragraph" w:styleId="IntenseQuote">
    <w:name w:val="Intense Quote"/>
    <w:basedOn w:val="Normal"/>
    <w:next w:val="Normal"/>
    <w:link w:val="IntenseQuoteChar"/>
    <w:uiPriority w:val="30"/>
    <w:qFormat/>
    <w:rsid w:val="00013E9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13E96"/>
    <w:rPr>
      <w:i/>
      <w:iCs/>
      <w:color w:val="2E74B5" w:themeColor="accent1" w:themeShade="BF"/>
    </w:rPr>
  </w:style>
  <w:style w:type="character" w:styleId="IntenseReference">
    <w:name w:val="Intense Reference"/>
    <w:basedOn w:val="DefaultParagraphFont"/>
    <w:uiPriority w:val="32"/>
    <w:qFormat/>
    <w:rsid w:val="00013E96"/>
    <w:rPr>
      <w:b/>
      <w:bCs/>
      <w:smallCaps/>
      <w:color w:val="2E74B5" w:themeColor="accent1" w:themeShade="BF"/>
      <w:spacing w:val="5"/>
    </w:rPr>
  </w:style>
  <w:style w:type="character" w:styleId="Hyperlink">
    <w:name w:val="Hyperlink"/>
    <w:basedOn w:val="DefaultParagraphFont"/>
    <w:uiPriority w:val="99"/>
    <w:unhideWhenUsed/>
    <w:rsid w:val="0055452A"/>
    <w:rPr>
      <w:color w:val="0563C1" w:themeColor="hyperlink"/>
      <w:u w:val="single"/>
    </w:rPr>
  </w:style>
  <w:style w:type="character" w:styleId="UnresolvedMention">
    <w:name w:val="Unresolved Mention"/>
    <w:basedOn w:val="DefaultParagraphFont"/>
    <w:uiPriority w:val="99"/>
    <w:semiHidden/>
    <w:unhideWhenUsed/>
    <w:rsid w:val="0055452A"/>
    <w:rPr>
      <w:color w:val="605E5C"/>
      <w:shd w:val="clear" w:color="auto" w:fill="E1DFDD"/>
    </w:rPr>
  </w:style>
  <w:style w:type="paragraph" w:styleId="NormalWeb">
    <w:name w:val="Normal (Web)"/>
    <w:basedOn w:val="Normal"/>
    <w:uiPriority w:val="99"/>
    <w:semiHidden/>
    <w:unhideWhenUsed/>
    <w:rsid w:val="00307E42"/>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50C7E"/>
    <w:rPr>
      <w:sz w:val="16"/>
      <w:szCs w:val="16"/>
    </w:rPr>
  </w:style>
  <w:style w:type="paragraph" w:styleId="CommentText">
    <w:name w:val="annotation text"/>
    <w:basedOn w:val="Normal"/>
    <w:link w:val="CommentTextChar"/>
    <w:uiPriority w:val="99"/>
    <w:unhideWhenUsed/>
    <w:rsid w:val="00050C7E"/>
    <w:pPr>
      <w:spacing w:line="240" w:lineRule="auto"/>
    </w:pPr>
    <w:rPr>
      <w:sz w:val="20"/>
      <w:szCs w:val="20"/>
    </w:rPr>
  </w:style>
  <w:style w:type="character" w:customStyle="1" w:styleId="CommentTextChar">
    <w:name w:val="Comment Text Char"/>
    <w:basedOn w:val="DefaultParagraphFont"/>
    <w:link w:val="CommentText"/>
    <w:uiPriority w:val="99"/>
    <w:rsid w:val="00050C7E"/>
    <w:rPr>
      <w:sz w:val="20"/>
      <w:szCs w:val="20"/>
    </w:rPr>
  </w:style>
  <w:style w:type="paragraph" w:styleId="CommentSubject">
    <w:name w:val="annotation subject"/>
    <w:basedOn w:val="CommentText"/>
    <w:next w:val="CommentText"/>
    <w:link w:val="CommentSubjectChar"/>
    <w:uiPriority w:val="99"/>
    <w:semiHidden/>
    <w:unhideWhenUsed/>
    <w:rsid w:val="00050C7E"/>
    <w:rPr>
      <w:b/>
      <w:bCs/>
    </w:rPr>
  </w:style>
  <w:style w:type="character" w:customStyle="1" w:styleId="CommentSubjectChar">
    <w:name w:val="Comment Subject Char"/>
    <w:basedOn w:val="CommentTextChar"/>
    <w:link w:val="CommentSubject"/>
    <w:uiPriority w:val="99"/>
    <w:semiHidden/>
    <w:rsid w:val="00050C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6281">
      <w:bodyDiv w:val="1"/>
      <w:marLeft w:val="0"/>
      <w:marRight w:val="0"/>
      <w:marTop w:val="0"/>
      <w:marBottom w:val="0"/>
      <w:divBdr>
        <w:top w:val="none" w:sz="0" w:space="0" w:color="auto"/>
        <w:left w:val="none" w:sz="0" w:space="0" w:color="auto"/>
        <w:bottom w:val="none" w:sz="0" w:space="0" w:color="auto"/>
        <w:right w:val="none" w:sz="0" w:space="0" w:color="auto"/>
      </w:divBdr>
    </w:div>
    <w:div w:id="6489696">
      <w:bodyDiv w:val="1"/>
      <w:marLeft w:val="0"/>
      <w:marRight w:val="0"/>
      <w:marTop w:val="0"/>
      <w:marBottom w:val="0"/>
      <w:divBdr>
        <w:top w:val="none" w:sz="0" w:space="0" w:color="auto"/>
        <w:left w:val="none" w:sz="0" w:space="0" w:color="auto"/>
        <w:bottom w:val="none" w:sz="0" w:space="0" w:color="auto"/>
        <w:right w:val="none" w:sz="0" w:space="0" w:color="auto"/>
      </w:divBdr>
    </w:div>
    <w:div w:id="7677972">
      <w:bodyDiv w:val="1"/>
      <w:marLeft w:val="0"/>
      <w:marRight w:val="0"/>
      <w:marTop w:val="0"/>
      <w:marBottom w:val="0"/>
      <w:divBdr>
        <w:top w:val="none" w:sz="0" w:space="0" w:color="auto"/>
        <w:left w:val="none" w:sz="0" w:space="0" w:color="auto"/>
        <w:bottom w:val="none" w:sz="0" w:space="0" w:color="auto"/>
        <w:right w:val="none" w:sz="0" w:space="0" w:color="auto"/>
      </w:divBdr>
    </w:div>
    <w:div w:id="35397933">
      <w:bodyDiv w:val="1"/>
      <w:marLeft w:val="0"/>
      <w:marRight w:val="0"/>
      <w:marTop w:val="0"/>
      <w:marBottom w:val="0"/>
      <w:divBdr>
        <w:top w:val="none" w:sz="0" w:space="0" w:color="auto"/>
        <w:left w:val="none" w:sz="0" w:space="0" w:color="auto"/>
        <w:bottom w:val="none" w:sz="0" w:space="0" w:color="auto"/>
        <w:right w:val="none" w:sz="0" w:space="0" w:color="auto"/>
      </w:divBdr>
      <w:divsChild>
        <w:div w:id="1182278794">
          <w:marLeft w:val="0"/>
          <w:marRight w:val="0"/>
          <w:marTop w:val="0"/>
          <w:marBottom w:val="0"/>
          <w:divBdr>
            <w:top w:val="none" w:sz="0" w:space="0" w:color="auto"/>
            <w:left w:val="none" w:sz="0" w:space="0" w:color="auto"/>
            <w:bottom w:val="none" w:sz="0" w:space="0" w:color="auto"/>
            <w:right w:val="none" w:sz="0" w:space="0" w:color="auto"/>
          </w:divBdr>
        </w:div>
      </w:divsChild>
    </w:div>
    <w:div w:id="145897189">
      <w:bodyDiv w:val="1"/>
      <w:marLeft w:val="0"/>
      <w:marRight w:val="0"/>
      <w:marTop w:val="0"/>
      <w:marBottom w:val="0"/>
      <w:divBdr>
        <w:top w:val="none" w:sz="0" w:space="0" w:color="auto"/>
        <w:left w:val="none" w:sz="0" w:space="0" w:color="auto"/>
        <w:bottom w:val="none" w:sz="0" w:space="0" w:color="auto"/>
        <w:right w:val="none" w:sz="0" w:space="0" w:color="auto"/>
      </w:divBdr>
    </w:div>
    <w:div w:id="195773829">
      <w:bodyDiv w:val="1"/>
      <w:marLeft w:val="0"/>
      <w:marRight w:val="0"/>
      <w:marTop w:val="0"/>
      <w:marBottom w:val="0"/>
      <w:divBdr>
        <w:top w:val="none" w:sz="0" w:space="0" w:color="auto"/>
        <w:left w:val="none" w:sz="0" w:space="0" w:color="auto"/>
        <w:bottom w:val="none" w:sz="0" w:space="0" w:color="auto"/>
        <w:right w:val="none" w:sz="0" w:space="0" w:color="auto"/>
      </w:divBdr>
    </w:div>
    <w:div w:id="232161002">
      <w:bodyDiv w:val="1"/>
      <w:marLeft w:val="0"/>
      <w:marRight w:val="0"/>
      <w:marTop w:val="0"/>
      <w:marBottom w:val="0"/>
      <w:divBdr>
        <w:top w:val="none" w:sz="0" w:space="0" w:color="auto"/>
        <w:left w:val="none" w:sz="0" w:space="0" w:color="auto"/>
        <w:bottom w:val="none" w:sz="0" w:space="0" w:color="auto"/>
        <w:right w:val="none" w:sz="0" w:space="0" w:color="auto"/>
      </w:divBdr>
    </w:div>
    <w:div w:id="306520437">
      <w:bodyDiv w:val="1"/>
      <w:marLeft w:val="0"/>
      <w:marRight w:val="0"/>
      <w:marTop w:val="0"/>
      <w:marBottom w:val="0"/>
      <w:divBdr>
        <w:top w:val="none" w:sz="0" w:space="0" w:color="auto"/>
        <w:left w:val="none" w:sz="0" w:space="0" w:color="auto"/>
        <w:bottom w:val="none" w:sz="0" w:space="0" w:color="auto"/>
        <w:right w:val="none" w:sz="0" w:space="0" w:color="auto"/>
      </w:divBdr>
    </w:div>
    <w:div w:id="307176755">
      <w:bodyDiv w:val="1"/>
      <w:marLeft w:val="0"/>
      <w:marRight w:val="0"/>
      <w:marTop w:val="0"/>
      <w:marBottom w:val="0"/>
      <w:divBdr>
        <w:top w:val="none" w:sz="0" w:space="0" w:color="auto"/>
        <w:left w:val="none" w:sz="0" w:space="0" w:color="auto"/>
        <w:bottom w:val="none" w:sz="0" w:space="0" w:color="auto"/>
        <w:right w:val="none" w:sz="0" w:space="0" w:color="auto"/>
      </w:divBdr>
    </w:div>
    <w:div w:id="441341932">
      <w:bodyDiv w:val="1"/>
      <w:marLeft w:val="0"/>
      <w:marRight w:val="0"/>
      <w:marTop w:val="0"/>
      <w:marBottom w:val="0"/>
      <w:divBdr>
        <w:top w:val="none" w:sz="0" w:space="0" w:color="auto"/>
        <w:left w:val="none" w:sz="0" w:space="0" w:color="auto"/>
        <w:bottom w:val="none" w:sz="0" w:space="0" w:color="auto"/>
        <w:right w:val="none" w:sz="0" w:space="0" w:color="auto"/>
      </w:divBdr>
    </w:div>
    <w:div w:id="461507159">
      <w:bodyDiv w:val="1"/>
      <w:marLeft w:val="0"/>
      <w:marRight w:val="0"/>
      <w:marTop w:val="0"/>
      <w:marBottom w:val="0"/>
      <w:divBdr>
        <w:top w:val="none" w:sz="0" w:space="0" w:color="auto"/>
        <w:left w:val="none" w:sz="0" w:space="0" w:color="auto"/>
        <w:bottom w:val="none" w:sz="0" w:space="0" w:color="auto"/>
        <w:right w:val="none" w:sz="0" w:space="0" w:color="auto"/>
      </w:divBdr>
    </w:div>
    <w:div w:id="517279089">
      <w:bodyDiv w:val="1"/>
      <w:marLeft w:val="0"/>
      <w:marRight w:val="0"/>
      <w:marTop w:val="0"/>
      <w:marBottom w:val="0"/>
      <w:divBdr>
        <w:top w:val="none" w:sz="0" w:space="0" w:color="auto"/>
        <w:left w:val="none" w:sz="0" w:space="0" w:color="auto"/>
        <w:bottom w:val="none" w:sz="0" w:space="0" w:color="auto"/>
        <w:right w:val="none" w:sz="0" w:space="0" w:color="auto"/>
      </w:divBdr>
    </w:div>
    <w:div w:id="517697653">
      <w:bodyDiv w:val="1"/>
      <w:marLeft w:val="0"/>
      <w:marRight w:val="0"/>
      <w:marTop w:val="0"/>
      <w:marBottom w:val="0"/>
      <w:divBdr>
        <w:top w:val="none" w:sz="0" w:space="0" w:color="auto"/>
        <w:left w:val="none" w:sz="0" w:space="0" w:color="auto"/>
        <w:bottom w:val="none" w:sz="0" w:space="0" w:color="auto"/>
        <w:right w:val="none" w:sz="0" w:space="0" w:color="auto"/>
      </w:divBdr>
      <w:divsChild>
        <w:div w:id="993802458">
          <w:marLeft w:val="0"/>
          <w:marRight w:val="0"/>
          <w:marTop w:val="0"/>
          <w:marBottom w:val="0"/>
          <w:divBdr>
            <w:top w:val="none" w:sz="0" w:space="0" w:color="auto"/>
            <w:left w:val="none" w:sz="0" w:space="0" w:color="auto"/>
            <w:bottom w:val="none" w:sz="0" w:space="0" w:color="auto"/>
            <w:right w:val="none" w:sz="0" w:space="0" w:color="auto"/>
          </w:divBdr>
        </w:div>
      </w:divsChild>
    </w:div>
    <w:div w:id="587538422">
      <w:bodyDiv w:val="1"/>
      <w:marLeft w:val="0"/>
      <w:marRight w:val="0"/>
      <w:marTop w:val="0"/>
      <w:marBottom w:val="0"/>
      <w:divBdr>
        <w:top w:val="none" w:sz="0" w:space="0" w:color="auto"/>
        <w:left w:val="none" w:sz="0" w:space="0" w:color="auto"/>
        <w:bottom w:val="none" w:sz="0" w:space="0" w:color="auto"/>
        <w:right w:val="none" w:sz="0" w:space="0" w:color="auto"/>
      </w:divBdr>
    </w:div>
    <w:div w:id="669941356">
      <w:bodyDiv w:val="1"/>
      <w:marLeft w:val="0"/>
      <w:marRight w:val="0"/>
      <w:marTop w:val="0"/>
      <w:marBottom w:val="0"/>
      <w:divBdr>
        <w:top w:val="none" w:sz="0" w:space="0" w:color="auto"/>
        <w:left w:val="none" w:sz="0" w:space="0" w:color="auto"/>
        <w:bottom w:val="none" w:sz="0" w:space="0" w:color="auto"/>
        <w:right w:val="none" w:sz="0" w:space="0" w:color="auto"/>
      </w:divBdr>
      <w:divsChild>
        <w:div w:id="215776863">
          <w:marLeft w:val="0"/>
          <w:marRight w:val="0"/>
          <w:marTop w:val="0"/>
          <w:marBottom w:val="0"/>
          <w:divBdr>
            <w:top w:val="none" w:sz="0" w:space="0" w:color="auto"/>
            <w:left w:val="none" w:sz="0" w:space="0" w:color="auto"/>
            <w:bottom w:val="none" w:sz="0" w:space="0" w:color="auto"/>
            <w:right w:val="none" w:sz="0" w:space="0" w:color="auto"/>
          </w:divBdr>
        </w:div>
      </w:divsChild>
    </w:div>
    <w:div w:id="678895375">
      <w:bodyDiv w:val="1"/>
      <w:marLeft w:val="0"/>
      <w:marRight w:val="0"/>
      <w:marTop w:val="0"/>
      <w:marBottom w:val="0"/>
      <w:divBdr>
        <w:top w:val="none" w:sz="0" w:space="0" w:color="auto"/>
        <w:left w:val="none" w:sz="0" w:space="0" w:color="auto"/>
        <w:bottom w:val="none" w:sz="0" w:space="0" w:color="auto"/>
        <w:right w:val="none" w:sz="0" w:space="0" w:color="auto"/>
      </w:divBdr>
      <w:divsChild>
        <w:div w:id="2055810652">
          <w:marLeft w:val="0"/>
          <w:marRight w:val="0"/>
          <w:marTop w:val="0"/>
          <w:marBottom w:val="0"/>
          <w:divBdr>
            <w:top w:val="none" w:sz="0" w:space="0" w:color="auto"/>
            <w:left w:val="none" w:sz="0" w:space="0" w:color="auto"/>
            <w:bottom w:val="none" w:sz="0" w:space="0" w:color="auto"/>
            <w:right w:val="none" w:sz="0" w:space="0" w:color="auto"/>
          </w:divBdr>
        </w:div>
        <w:div w:id="498664975">
          <w:marLeft w:val="0"/>
          <w:marRight w:val="0"/>
          <w:marTop w:val="0"/>
          <w:marBottom w:val="0"/>
          <w:divBdr>
            <w:top w:val="none" w:sz="0" w:space="0" w:color="auto"/>
            <w:left w:val="none" w:sz="0" w:space="0" w:color="auto"/>
            <w:bottom w:val="none" w:sz="0" w:space="0" w:color="auto"/>
            <w:right w:val="none" w:sz="0" w:space="0" w:color="auto"/>
          </w:divBdr>
        </w:div>
        <w:div w:id="1206916916">
          <w:marLeft w:val="0"/>
          <w:marRight w:val="0"/>
          <w:marTop w:val="0"/>
          <w:marBottom w:val="0"/>
          <w:divBdr>
            <w:top w:val="none" w:sz="0" w:space="0" w:color="auto"/>
            <w:left w:val="none" w:sz="0" w:space="0" w:color="auto"/>
            <w:bottom w:val="none" w:sz="0" w:space="0" w:color="auto"/>
            <w:right w:val="none" w:sz="0" w:space="0" w:color="auto"/>
          </w:divBdr>
        </w:div>
        <w:div w:id="831723676">
          <w:marLeft w:val="0"/>
          <w:marRight w:val="0"/>
          <w:marTop w:val="0"/>
          <w:marBottom w:val="0"/>
          <w:divBdr>
            <w:top w:val="none" w:sz="0" w:space="0" w:color="auto"/>
            <w:left w:val="none" w:sz="0" w:space="0" w:color="auto"/>
            <w:bottom w:val="none" w:sz="0" w:space="0" w:color="auto"/>
            <w:right w:val="none" w:sz="0" w:space="0" w:color="auto"/>
          </w:divBdr>
        </w:div>
        <w:div w:id="1742831239">
          <w:marLeft w:val="0"/>
          <w:marRight w:val="0"/>
          <w:marTop w:val="0"/>
          <w:marBottom w:val="0"/>
          <w:divBdr>
            <w:top w:val="none" w:sz="0" w:space="0" w:color="auto"/>
            <w:left w:val="none" w:sz="0" w:space="0" w:color="auto"/>
            <w:bottom w:val="none" w:sz="0" w:space="0" w:color="auto"/>
            <w:right w:val="none" w:sz="0" w:space="0" w:color="auto"/>
          </w:divBdr>
        </w:div>
      </w:divsChild>
    </w:div>
    <w:div w:id="721752329">
      <w:bodyDiv w:val="1"/>
      <w:marLeft w:val="0"/>
      <w:marRight w:val="0"/>
      <w:marTop w:val="0"/>
      <w:marBottom w:val="0"/>
      <w:divBdr>
        <w:top w:val="none" w:sz="0" w:space="0" w:color="auto"/>
        <w:left w:val="none" w:sz="0" w:space="0" w:color="auto"/>
        <w:bottom w:val="none" w:sz="0" w:space="0" w:color="auto"/>
        <w:right w:val="none" w:sz="0" w:space="0" w:color="auto"/>
      </w:divBdr>
      <w:divsChild>
        <w:div w:id="456458781">
          <w:marLeft w:val="0"/>
          <w:marRight w:val="0"/>
          <w:marTop w:val="0"/>
          <w:marBottom w:val="0"/>
          <w:divBdr>
            <w:top w:val="none" w:sz="0" w:space="0" w:color="auto"/>
            <w:left w:val="none" w:sz="0" w:space="0" w:color="auto"/>
            <w:bottom w:val="none" w:sz="0" w:space="0" w:color="auto"/>
            <w:right w:val="none" w:sz="0" w:space="0" w:color="auto"/>
          </w:divBdr>
        </w:div>
      </w:divsChild>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74733567">
      <w:bodyDiv w:val="1"/>
      <w:marLeft w:val="0"/>
      <w:marRight w:val="0"/>
      <w:marTop w:val="0"/>
      <w:marBottom w:val="0"/>
      <w:divBdr>
        <w:top w:val="none" w:sz="0" w:space="0" w:color="auto"/>
        <w:left w:val="none" w:sz="0" w:space="0" w:color="auto"/>
        <w:bottom w:val="none" w:sz="0" w:space="0" w:color="auto"/>
        <w:right w:val="none" w:sz="0" w:space="0" w:color="auto"/>
      </w:divBdr>
    </w:div>
    <w:div w:id="903176310">
      <w:bodyDiv w:val="1"/>
      <w:marLeft w:val="0"/>
      <w:marRight w:val="0"/>
      <w:marTop w:val="0"/>
      <w:marBottom w:val="0"/>
      <w:divBdr>
        <w:top w:val="none" w:sz="0" w:space="0" w:color="auto"/>
        <w:left w:val="none" w:sz="0" w:space="0" w:color="auto"/>
        <w:bottom w:val="none" w:sz="0" w:space="0" w:color="auto"/>
        <w:right w:val="none" w:sz="0" w:space="0" w:color="auto"/>
      </w:divBdr>
    </w:div>
    <w:div w:id="1029140919">
      <w:bodyDiv w:val="1"/>
      <w:marLeft w:val="0"/>
      <w:marRight w:val="0"/>
      <w:marTop w:val="0"/>
      <w:marBottom w:val="0"/>
      <w:divBdr>
        <w:top w:val="none" w:sz="0" w:space="0" w:color="auto"/>
        <w:left w:val="none" w:sz="0" w:space="0" w:color="auto"/>
        <w:bottom w:val="none" w:sz="0" w:space="0" w:color="auto"/>
        <w:right w:val="none" w:sz="0" w:space="0" w:color="auto"/>
      </w:divBdr>
    </w:div>
    <w:div w:id="1195121563">
      <w:bodyDiv w:val="1"/>
      <w:marLeft w:val="0"/>
      <w:marRight w:val="0"/>
      <w:marTop w:val="0"/>
      <w:marBottom w:val="0"/>
      <w:divBdr>
        <w:top w:val="none" w:sz="0" w:space="0" w:color="auto"/>
        <w:left w:val="none" w:sz="0" w:space="0" w:color="auto"/>
        <w:bottom w:val="none" w:sz="0" w:space="0" w:color="auto"/>
        <w:right w:val="none" w:sz="0" w:space="0" w:color="auto"/>
      </w:divBdr>
    </w:div>
    <w:div w:id="1342048431">
      <w:bodyDiv w:val="1"/>
      <w:marLeft w:val="0"/>
      <w:marRight w:val="0"/>
      <w:marTop w:val="0"/>
      <w:marBottom w:val="0"/>
      <w:divBdr>
        <w:top w:val="none" w:sz="0" w:space="0" w:color="auto"/>
        <w:left w:val="none" w:sz="0" w:space="0" w:color="auto"/>
        <w:bottom w:val="none" w:sz="0" w:space="0" w:color="auto"/>
        <w:right w:val="none" w:sz="0" w:space="0" w:color="auto"/>
      </w:divBdr>
    </w:div>
    <w:div w:id="1356425075">
      <w:bodyDiv w:val="1"/>
      <w:marLeft w:val="0"/>
      <w:marRight w:val="0"/>
      <w:marTop w:val="0"/>
      <w:marBottom w:val="0"/>
      <w:divBdr>
        <w:top w:val="none" w:sz="0" w:space="0" w:color="auto"/>
        <w:left w:val="none" w:sz="0" w:space="0" w:color="auto"/>
        <w:bottom w:val="none" w:sz="0" w:space="0" w:color="auto"/>
        <w:right w:val="none" w:sz="0" w:space="0" w:color="auto"/>
      </w:divBdr>
    </w:div>
    <w:div w:id="1407456704">
      <w:bodyDiv w:val="1"/>
      <w:marLeft w:val="0"/>
      <w:marRight w:val="0"/>
      <w:marTop w:val="0"/>
      <w:marBottom w:val="0"/>
      <w:divBdr>
        <w:top w:val="none" w:sz="0" w:space="0" w:color="auto"/>
        <w:left w:val="none" w:sz="0" w:space="0" w:color="auto"/>
        <w:bottom w:val="none" w:sz="0" w:space="0" w:color="auto"/>
        <w:right w:val="none" w:sz="0" w:space="0" w:color="auto"/>
      </w:divBdr>
    </w:div>
    <w:div w:id="1437213023">
      <w:bodyDiv w:val="1"/>
      <w:marLeft w:val="0"/>
      <w:marRight w:val="0"/>
      <w:marTop w:val="0"/>
      <w:marBottom w:val="0"/>
      <w:divBdr>
        <w:top w:val="none" w:sz="0" w:space="0" w:color="auto"/>
        <w:left w:val="none" w:sz="0" w:space="0" w:color="auto"/>
        <w:bottom w:val="none" w:sz="0" w:space="0" w:color="auto"/>
        <w:right w:val="none" w:sz="0" w:space="0" w:color="auto"/>
      </w:divBdr>
    </w:div>
    <w:div w:id="1455709383">
      <w:bodyDiv w:val="1"/>
      <w:marLeft w:val="0"/>
      <w:marRight w:val="0"/>
      <w:marTop w:val="0"/>
      <w:marBottom w:val="0"/>
      <w:divBdr>
        <w:top w:val="none" w:sz="0" w:space="0" w:color="auto"/>
        <w:left w:val="none" w:sz="0" w:space="0" w:color="auto"/>
        <w:bottom w:val="none" w:sz="0" w:space="0" w:color="auto"/>
        <w:right w:val="none" w:sz="0" w:space="0" w:color="auto"/>
      </w:divBdr>
    </w:div>
    <w:div w:id="1524784916">
      <w:bodyDiv w:val="1"/>
      <w:marLeft w:val="0"/>
      <w:marRight w:val="0"/>
      <w:marTop w:val="0"/>
      <w:marBottom w:val="0"/>
      <w:divBdr>
        <w:top w:val="none" w:sz="0" w:space="0" w:color="auto"/>
        <w:left w:val="none" w:sz="0" w:space="0" w:color="auto"/>
        <w:bottom w:val="none" w:sz="0" w:space="0" w:color="auto"/>
        <w:right w:val="none" w:sz="0" w:space="0" w:color="auto"/>
      </w:divBdr>
    </w:div>
    <w:div w:id="1556430449">
      <w:bodyDiv w:val="1"/>
      <w:marLeft w:val="0"/>
      <w:marRight w:val="0"/>
      <w:marTop w:val="0"/>
      <w:marBottom w:val="0"/>
      <w:divBdr>
        <w:top w:val="none" w:sz="0" w:space="0" w:color="auto"/>
        <w:left w:val="none" w:sz="0" w:space="0" w:color="auto"/>
        <w:bottom w:val="none" w:sz="0" w:space="0" w:color="auto"/>
        <w:right w:val="none" w:sz="0" w:space="0" w:color="auto"/>
      </w:divBdr>
    </w:div>
    <w:div w:id="1741562978">
      <w:bodyDiv w:val="1"/>
      <w:marLeft w:val="0"/>
      <w:marRight w:val="0"/>
      <w:marTop w:val="0"/>
      <w:marBottom w:val="0"/>
      <w:divBdr>
        <w:top w:val="none" w:sz="0" w:space="0" w:color="auto"/>
        <w:left w:val="none" w:sz="0" w:space="0" w:color="auto"/>
        <w:bottom w:val="none" w:sz="0" w:space="0" w:color="auto"/>
        <w:right w:val="none" w:sz="0" w:space="0" w:color="auto"/>
      </w:divBdr>
    </w:div>
    <w:div w:id="1750469024">
      <w:bodyDiv w:val="1"/>
      <w:marLeft w:val="0"/>
      <w:marRight w:val="0"/>
      <w:marTop w:val="0"/>
      <w:marBottom w:val="0"/>
      <w:divBdr>
        <w:top w:val="none" w:sz="0" w:space="0" w:color="auto"/>
        <w:left w:val="none" w:sz="0" w:space="0" w:color="auto"/>
        <w:bottom w:val="none" w:sz="0" w:space="0" w:color="auto"/>
        <w:right w:val="none" w:sz="0" w:space="0" w:color="auto"/>
      </w:divBdr>
    </w:div>
    <w:div w:id="1754662075">
      <w:bodyDiv w:val="1"/>
      <w:marLeft w:val="0"/>
      <w:marRight w:val="0"/>
      <w:marTop w:val="0"/>
      <w:marBottom w:val="0"/>
      <w:divBdr>
        <w:top w:val="none" w:sz="0" w:space="0" w:color="auto"/>
        <w:left w:val="none" w:sz="0" w:space="0" w:color="auto"/>
        <w:bottom w:val="none" w:sz="0" w:space="0" w:color="auto"/>
        <w:right w:val="none" w:sz="0" w:space="0" w:color="auto"/>
      </w:divBdr>
    </w:div>
    <w:div w:id="1764522188">
      <w:bodyDiv w:val="1"/>
      <w:marLeft w:val="0"/>
      <w:marRight w:val="0"/>
      <w:marTop w:val="0"/>
      <w:marBottom w:val="0"/>
      <w:divBdr>
        <w:top w:val="none" w:sz="0" w:space="0" w:color="auto"/>
        <w:left w:val="none" w:sz="0" w:space="0" w:color="auto"/>
        <w:bottom w:val="none" w:sz="0" w:space="0" w:color="auto"/>
        <w:right w:val="none" w:sz="0" w:space="0" w:color="auto"/>
      </w:divBdr>
    </w:div>
    <w:div w:id="1783845499">
      <w:bodyDiv w:val="1"/>
      <w:marLeft w:val="0"/>
      <w:marRight w:val="0"/>
      <w:marTop w:val="0"/>
      <w:marBottom w:val="0"/>
      <w:divBdr>
        <w:top w:val="none" w:sz="0" w:space="0" w:color="auto"/>
        <w:left w:val="none" w:sz="0" w:space="0" w:color="auto"/>
        <w:bottom w:val="none" w:sz="0" w:space="0" w:color="auto"/>
        <w:right w:val="none" w:sz="0" w:space="0" w:color="auto"/>
      </w:divBdr>
    </w:div>
    <w:div w:id="1788812303">
      <w:bodyDiv w:val="1"/>
      <w:marLeft w:val="0"/>
      <w:marRight w:val="0"/>
      <w:marTop w:val="0"/>
      <w:marBottom w:val="0"/>
      <w:divBdr>
        <w:top w:val="none" w:sz="0" w:space="0" w:color="auto"/>
        <w:left w:val="none" w:sz="0" w:space="0" w:color="auto"/>
        <w:bottom w:val="none" w:sz="0" w:space="0" w:color="auto"/>
        <w:right w:val="none" w:sz="0" w:space="0" w:color="auto"/>
      </w:divBdr>
    </w:div>
    <w:div w:id="1902593421">
      <w:bodyDiv w:val="1"/>
      <w:marLeft w:val="0"/>
      <w:marRight w:val="0"/>
      <w:marTop w:val="0"/>
      <w:marBottom w:val="0"/>
      <w:divBdr>
        <w:top w:val="none" w:sz="0" w:space="0" w:color="auto"/>
        <w:left w:val="none" w:sz="0" w:space="0" w:color="auto"/>
        <w:bottom w:val="none" w:sz="0" w:space="0" w:color="auto"/>
        <w:right w:val="none" w:sz="0" w:space="0" w:color="auto"/>
      </w:divBdr>
    </w:div>
    <w:div w:id="1946838443">
      <w:bodyDiv w:val="1"/>
      <w:marLeft w:val="0"/>
      <w:marRight w:val="0"/>
      <w:marTop w:val="0"/>
      <w:marBottom w:val="0"/>
      <w:divBdr>
        <w:top w:val="none" w:sz="0" w:space="0" w:color="auto"/>
        <w:left w:val="none" w:sz="0" w:space="0" w:color="auto"/>
        <w:bottom w:val="none" w:sz="0" w:space="0" w:color="auto"/>
        <w:right w:val="none" w:sz="0" w:space="0" w:color="auto"/>
      </w:divBdr>
    </w:div>
    <w:div w:id="1993212628">
      <w:bodyDiv w:val="1"/>
      <w:marLeft w:val="0"/>
      <w:marRight w:val="0"/>
      <w:marTop w:val="0"/>
      <w:marBottom w:val="0"/>
      <w:divBdr>
        <w:top w:val="none" w:sz="0" w:space="0" w:color="auto"/>
        <w:left w:val="none" w:sz="0" w:space="0" w:color="auto"/>
        <w:bottom w:val="none" w:sz="0" w:space="0" w:color="auto"/>
        <w:right w:val="none" w:sz="0" w:space="0" w:color="auto"/>
      </w:divBdr>
      <w:divsChild>
        <w:div w:id="176582943">
          <w:marLeft w:val="0"/>
          <w:marRight w:val="0"/>
          <w:marTop w:val="0"/>
          <w:marBottom w:val="0"/>
          <w:divBdr>
            <w:top w:val="none" w:sz="0" w:space="0" w:color="auto"/>
            <w:left w:val="none" w:sz="0" w:space="0" w:color="auto"/>
            <w:bottom w:val="none" w:sz="0" w:space="0" w:color="auto"/>
            <w:right w:val="none" w:sz="0" w:space="0" w:color="auto"/>
          </w:divBdr>
        </w:div>
        <w:div w:id="1304119650">
          <w:marLeft w:val="0"/>
          <w:marRight w:val="0"/>
          <w:marTop w:val="0"/>
          <w:marBottom w:val="0"/>
          <w:divBdr>
            <w:top w:val="none" w:sz="0" w:space="0" w:color="auto"/>
            <w:left w:val="none" w:sz="0" w:space="0" w:color="auto"/>
            <w:bottom w:val="none" w:sz="0" w:space="0" w:color="auto"/>
            <w:right w:val="none" w:sz="0" w:space="0" w:color="auto"/>
          </w:divBdr>
        </w:div>
        <w:div w:id="218439763">
          <w:marLeft w:val="0"/>
          <w:marRight w:val="0"/>
          <w:marTop w:val="0"/>
          <w:marBottom w:val="0"/>
          <w:divBdr>
            <w:top w:val="none" w:sz="0" w:space="0" w:color="auto"/>
            <w:left w:val="none" w:sz="0" w:space="0" w:color="auto"/>
            <w:bottom w:val="none" w:sz="0" w:space="0" w:color="auto"/>
            <w:right w:val="none" w:sz="0" w:space="0" w:color="auto"/>
          </w:divBdr>
        </w:div>
        <w:div w:id="1905721586">
          <w:marLeft w:val="0"/>
          <w:marRight w:val="0"/>
          <w:marTop w:val="0"/>
          <w:marBottom w:val="0"/>
          <w:divBdr>
            <w:top w:val="none" w:sz="0" w:space="0" w:color="auto"/>
            <w:left w:val="none" w:sz="0" w:space="0" w:color="auto"/>
            <w:bottom w:val="none" w:sz="0" w:space="0" w:color="auto"/>
            <w:right w:val="none" w:sz="0" w:space="0" w:color="auto"/>
          </w:divBdr>
        </w:div>
        <w:div w:id="1059329969">
          <w:marLeft w:val="0"/>
          <w:marRight w:val="0"/>
          <w:marTop w:val="0"/>
          <w:marBottom w:val="0"/>
          <w:divBdr>
            <w:top w:val="none" w:sz="0" w:space="0" w:color="auto"/>
            <w:left w:val="none" w:sz="0" w:space="0" w:color="auto"/>
            <w:bottom w:val="none" w:sz="0" w:space="0" w:color="auto"/>
            <w:right w:val="none" w:sz="0" w:space="0" w:color="auto"/>
          </w:divBdr>
        </w:div>
      </w:divsChild>
    </w:div>
    <w:div w:id="2102136894">
      <w:bodyDiv w:val="1"/>
      <w:marLeft w:val="0"/>
      <w:marRight w:val="0"/>
      <w:marTop w:val="0"/>
      <w:marBottom w:val="0"/>
      <w:divBdr>
        <w:top w:val="none" w:sz="0" w:space="0" w:color="auto"/>
        <w:left w:val="none" w:sz="0" w:space="0" w:color="auto"/>
        <w:bottom w:val="none" w:sz="0" w:space="0" w:color="auto"/>
        <w:right w:val="none" w:sz="0" w:space="0" w:color="auto"/>
      </w:divBdr>
    </w:div>
    <w:div w:id="2126193744">
      <w:bodyDiv w:val="1"/>
      <w:marLeft w:val="0"/>
      <w:marRight w:val="0"/>
      <w:marTop w:val="0"/>
      <w:marBottom w:val="0"/>
      <w:divBdr>
        <w:top w:val="none" w:sz="0" w:space="0" w:color="auto"/>
        <w:left w:val="none" w:sz="0" w:space="0" w:color="auto"/>
        <w:bottom w:val="none" w:sz="0" w:space="0" w:color="auto"/>
        <w:right w:val="none" w:sz="0" w:space="0" w:color="auto"/>
      </w:divBdr>
    </w:div>
    <w:div w:id="213991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ias.org.uk/factsheet/economy/"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ias.org.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as.org.uk/factsheet/economy/"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7AA778707CC44F87D30CA71EBEB45E" ma:contentTypeVersion="16" ma:contentTypeDescription="Create a new document." ma:contentTypeScope="" ma:versionID="e53e8814f799a7ce918db8fc88a761ef">
  <xsd:schema xmlns:xsd="http://www.w3.org/2001/XMLSchema" xmlns:xs="http://www.w3.org/2001/XMLSchema" xmlns:p="http://schemas.microsoft.com/office/2006/metadata/properties" xmlns:ns1="http://schemas.microsoft.com/sharepoint/v3" xmlns:ns2="5aa6adf1-279e-4cb3-822e-ee7c355b3d8c" xmlns:ns3="e541ac96-79b0-4512-a52a-779adffce330" targetNamespace="http://schemas.microsoft.com/office/2006/metadata/properties" ma:root="true" ma:fieldsID="411c8fc318cb4dc906d928d41a43af79" ns1:_="" ns2:_="" ns3:_="">
    <xsd:import namespace="http://schemas.microsoft.com/sharepoint/v3"/>
    <xsd:import namespace="5aa6adf1-279e-4cb3-822e-ee7c355b3d8c"/>
    <xsd:import namespace="e541ac96-79b0-4512-a52a-779adffce3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a6adf1-279e-4cb3-822e-ee7c355b3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41ac96-79b0-4512-a52a-779adffce33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8f1b9e3-9923-401e-a0ad-efe942d05096}" ma:internalName="TaxCatchAll" ma:showField="CatchAllData" ma:web="e541ac96-79b0-4512-a52a-779adffce3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541ac96-79b0-4512-a52a-779adffce330" xsi:nil="true"/>
    <_ip_UnifiedCompliancePolicyProperties xmlns="http://schemas.microsoft.com/sharepoint/v3" xsi:nil="true"/>
    <lcf76f155ced4ddcb4097134ff3c332f xmlns="5aa6adf1-279e-4cb3-822e-ee7c355b3d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AD2CF1-1DEB-4FEE-B4D2-F264BEFB6524}"/>
</file>

<file path=customXml/itemProps2.xml><?xml version="1.0" encoding="utf-8"?>
<ds:datastoreItem xmlns:ds="http://schemas.openxmlformats.org/officeDocument/2006/customXml" ds:itemID="{30B41915-2878-4E12-97E4-957A92EC3DB3}"/>
</file>

<file path=customXml/itemProps3.xml><?xml version="1.0" encoding="utf-8"?>
<ds:datastoreItem xmlns:ds="http://schemas.openxmlformats.org/officeDocument/2006/customXml" ds:itemID="{F870BF0D-7AB5-4999-B794-74DF57629709}"/>
</file>

<file path=docProps/app.xml><?xml version="1.0" encoding="utf-8"?>
<Properties xmlns="http://schemas.openxmlformats.org/officeDocument/2006/extended-properties" xmlns:vt="http://schemas.openxmlformats.org/officeDocument/2006/docPropsVTypes">
  <Template>Normal</Template>
  <TotalTime>2</TotalTime>
  <Pages>15</Pages>
  <Words>5011</Words>
  <Characters>28569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Anderson</dc:creator>
  <cp:keywords/>
  <dc:description/>
  <cp:lastModifiedBy>Nikki Anderson</cp:lastModifiedBy>
  <cp:revision>2</cp:revision>
  <dcterms:created xsi:type="dcterms:W3CDTF">2025-03-06T17:17:00Z</dcterms:created>
  <dcterms:modified xsi:type="dcterms:W3CDTF">2025-03-06T17:17:00Z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0x010100917AA778707CC44F87D30CA71EBEB45E</vt:lpwstr>
  </property>
</Properties>
</file>