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5B2A" w14:textId="77777777" w:rsidR="00B72132" w:rsidRDefault="00B72132" w:rsidP="00B72132">
      <w:pPr>
        <w:sectPr w:rsidR="00B72132" w:rsidSect="001D1247">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p>
    <w:p w14:paraId="212A3D8A" w14:textId="77777777" w:rsidR="00EE0481" w:rsidRPr="001E27F8" w:rsidRDefault="00052143" w:rsidP="00031FD0">
      <w:pPr>
        <w:pStyle w:val="Heading1"/>
      </w:pPr>
      <w:sdt>
        <w:sdtPr>
          <w:alias w:val="Title"/>
          <w:tag w:val="title"/>
          <w:id w:val="1036308880"/>
          <w:placeholder>
            <w:docPart w:val="BC06528CD1354D2C8FB39DAE8A33D476"/>
          </w:placeholder>
          <w:dataBinding w:prefixMappings="xmlns:ns0='http://purl.org/dc/elements/1.1/' xmlns:ns1='http://schemas.openxmlformats.org/package/2006/metadata/core-properties' " w:xpath="/ns1:coreProperties[1]/ns0:title[1]" w:storeItemID="{6C3C8BC8-F283-45AE-878A-BAB7291924A1}"/>
          <w:text/>
        </w:sdtPr>
        <w:sdtEndPr/>
        <w:sdtContent>
          <w:proofErr w:type="gramStart"/>
          <w:r w:rsidR="00A80A92">
            <w:t>North East</w:t>
          </w:r>
          <w:proofErr w:type="gramEnd"/>
          <w:r w:rsidR="00A80A92">
            <w:t xml:space="preserve"> and Yorkshire Inclusive Pharmacy Practice Checklist</w:t>
          </w:r>
        </w:sdtContent>
      </w:sdt>
    </w:p>
    <w:p w14:paraId="6C87A488" w14:textId="77777777" w:rsidR="0019462E" w:rsidRDefault="0019462E" w:rsidP="00085A64">
      <w:bookmarkStart w:id="0" w:name="_Toc142042366"/>
      <w:bookmarkStart w:id="1" w:name="_Toc142043217"/>
      <w:bookmarkStart w:id="2" w:name="_Toc143256350"/>
    </w:p>
    <w:p w14:paraId="2ABFE799" w14:textId="77777777" w:rsidR="007F5DED" w:rsidRDefault="007F5DED" w:rsidP="00085A64"/>
    <w:p w14:paraId="1F24AB88" w14:textId="77777777" w:rsidR="007F5DED" w:rsidRDefault="007F5DED" w:rsidP="00085A64"/>
    <w:p w14:paraId="5CD536CE" w14:textId="77777777" w:rsidR="007F5DED" w:rsidRDefault="007F5DED" w:rsidP="00085A64"/>
    <w:p w14:paraId="7AA451BA" w14:textId="77777777" w:rsidR="007F5DED" w:rsidRDefault="007F5DED" w:rsidP="00085A64"/>
    <w:p w14:paraId="0CE0450F" w14:textId="77777777" w:rsidR="007F5DED" w:rsidRDefault="007F5DED" w:rsidP="00085A64"/>
    <w:p w14:paraId="12C606ED" w14:textId="77777777" w:rsidR="007F5DED" w:rsidRDefault="007F5DED" w:rsidP="00085A64"/>
    <w:p w14:paraId="52046798" w14:textId="77777777" w:rsidR="007F5DED" w:rsidRDefault="007F5DED" w:rsidP="00085A64"/>
    <w:p w14:paraId="0E072696" w14:textId="77777777" w:rsidR="007F5DED" w:rsidRDefault="007F5DED" w:rsidP="00085A64"/>
    <w:p w14:paraId="435FFF57" w14:textId="77777777" w:rsidR="007F5DED" w:rsidRDefault="007F5DED" w:rsidP="00085A64"/>
    <w:p w14:paraId="54D384F2" w14:textId="77777777" w:rsidR="007F5DED" w:rsidRDefault="007F5DED" w:rsidP="00085A64"/>
    <w:p w14:paraId="51A017AC" w14:textId="77777777" w:rsidR="007F5DED" w:rsidRDefault="007F5DED" w:rsidP="00085A64"/>
    <w:p w14:paraId="05B90092" w14:textId="77777777" w:rsidR="007F5DED" w:rsidRDefault="007F5DED" w:rsidP="00085A64"/>
    <w:p w14:paraId="2557A7C6" w14:textId="77777777" w:rsidR="007F5DED" w:rsidRDefault="007F5DED" w:rsidP="00085A64"/>
    <w:p w14:paraId="2ECC1C64" w14:textId="77777777" w:rsidR="007F5DED" w:rsidRDefault="007F5DED" w:rsidP="00085A64"/>
    <w:p w14:paraId="6769EA6A" w14:textId="77777777" w:rsidR="007F5DED" w:rsidRDefault="007F5DED" w:rsidP="00085A64"/>
    <w:p w14:paraId="6552C64A" w14:textId="77777777" w:rsidR="007F5DED" w:rsidRPr="0007620A" w:rsidRDefault="007F5DED" w:rsidP="007F5DED">
      <w:pPr>
        <w:rPr>
          <w:rFonts w:cs="Arial"/>
        </w:rPr>
      </w:pPr>
      <w:r w:rsidRPr="0007620A">
        <w:rPr>
          <w:rFonts w:cs="Arial"/>
        </w:rPr>
        <w:t>This checklist includes recommendations to promote inclusive pharmacy practices within the pharmacy workforce. It covers key areas such as leadership, recruitment, training, to foster an inclusive, and supportive environment for all staff.</w:t>
      </w:r>
    </w:p>
    <w:p w14:paraId="338DE04C" w14:textId="77777777" w:rsidR="007F5DED" w:rsidRDefault="007F5DED" w:rsidP="007F5DED">
      <w:pPr>
        <w:pStyle w:val="h2numbered"/>
      </w:pPr>
      <w:r>
        <w:t xml:space="preserve">Leadership and Workforce </w:t>
      </w:r>
    </w:p>
    <w:tbl>
      <w:tblPr>
        <w:tblStyle w:val="TableGrid"/>
        <w:tblW w:w="9781" w:type="dxa"/>
        <w:tblInd w:w="137" w:type="dxa"/>
        <w:tblLayout w:type="fixed"/>
        <w:tblLook w:val="04A0" w:firstRow="1" w:lastRow="0" w:firstColumn="1" w:lastColumn="0" w:noHBand="0" w:noVBand="1"/>
      </w:tblPr>
      <w:tblGrid>
        <w:gridCol w:w="8138"/>
        <w:gridCol w:w="1643"/>
      </w:tblGrid>
      <w:tr w:rsidR="007F5DED" w:rsidRPr="007C250D" w14:paraId="31B0B179" w14:textId="77777777" w:rsidTr="007F5DED">
        <w:tc>
          <w:tcPr>
            <w:tcW w:w="8138" w:type="dxa"/>
          </w:tcPr>
          <w:p w14:paraId="64E28E29" w14:textId="77777777" w:rsidR="007F5DED" w:rsidRPr="007C250D" w:rsidRDefault="007F5DED" w:rsidP="007F5DED">
            <w:pPr>
              <w:pStyle w:val="h2numbered"/>
              <w:numPr>
                <w:ilvl w:val="0"/>
                <w:numId w:val="0"/>
              </w:numPr>
            </w:pPr>
          </w:p>
        </w:tc>
        <w:tc>
          <w:tcPr>
            <w:tcW w:w="1643" w:type="dxa"/>
          </w:tcPr>
          <w:p w14:paraId="6274B0D4" w14:textId="77777777" w:rsidR="007F5DED" w:rsidRPr="009876F7" w:rsidRDefault="007F5DED" w:rsidP="00F12DF6">
            <w:pPr>
              <w:rPr>
                <w:rFonts w:cs="Arial"/>
                <w:sz w:val="20"/>
                <w:szCs w:val="20"/>
              </w:rPr>
            </w:pPr>
            <w:r w:rsidRPr="009876F7">
              <w:rPr>
                <w:rFonts w:cs="Arial"/>
                <w:b/>
                <w:bCs/>
                <w:sz w:val="20"/>
                <w:szCs w:val="20"/>
              </w:rPr>
              <w:t>Actioned (Tick)</w:t>
            </w:r>
          </w:p>
        </w:tc>
      </w:tr>
      <w:tr w:rsidR="007F5DED" w:rsidRPr="007C250D" w14:paraId="3474DB8E" w14:textId="77777777" w:rsidTr="007F5DED">
        <w:tc>
          <w:tcPr>
            <w:tcW w:w="8138" w:type="dxa"/>
          </w:tcPr>
          <w:p w14:paraId="62953D7B" w14:textId="77777777" w:rsidR="007F5DED" w:rsidRPr="007C250D" w:rsidRDefault="007F5DED" w:rsidP="00F12DF6">
            <w:pPr>
              <w:rPr>
                <w:rFonts w:cs="Arial"/>
              </w:rPr>
            </w:pPr>
            <w:r w:rsidRPr="007C250D">
              <w:rPr>
                <w:rFonts w:cs="Arial"/>
              </w:rPr>
              <w:t>Include Inclusive Pharmacy Practice in pharmacy strategies and workforce planning documents.</w:t>
            </w:r>
            <w:r w:rsidRPr="007C250D">
              <w:rPr>
                <w:rFonts w:cs="Arial"/>
              </w:rPr>
              <w:tab/>
            </w:r>
            <w:r w:rsidRPr="007C250D">
              <w:rPr>
                <w:rFonts w:cs="Arial"/>
              </w:rPr>
              <w:tab/>
            </w:r>
            <w:r w:rsidRPr="007C250D">
              <w:rPr>
                <w:rFonts w:cs="Arial"/>
              </w:rPr>
              <w:tab/>
            </w:r>
            <w:r w:rsidRPr="007C250D">
              <w:rPr>
                <w:rFonts w:cs="Arial"/>
              </w:rPr>
              <w:tab/>
            </w:r>
            <w:r w:rsidRPr="007C250D">
              <w:rPr>
                <w:rFonts w:cs="Arial"/>
              </w:rPr>
              <w:tab/>
            </w:r>
            <w:r w:rsidRPr="007C250D">
              <w:rPr>
                <w:rFonts w:cs="Arial"/>
              </w:rPr>
              <w:tab/>
            </w:r>
            <w:r w:rsidRPr="007C250D">
              <w:rPr>
                <w:rFonts w:cs="Arial"/>
              </w:rPr>
              <w:tab/>
            </w:r>
            <w:r w:rsidRPr="007C250D">
              <w:rPr>
                <w:rFonts w:cs="Arial"/>
              </w:rPr>
              <w:tab/>
            </w:r>
            <w:r w:rsidRPr="007C250D">
              <w:rPr>
                <w:rFonts w:cs="Arial"/>
              </w:rPr>
              <w:tab/>
            </w:r>
            <w:r w:rsidRPr="007C250D">
              <w:rPr>
                <w:rFonts w:cs="Arial"/>
              </w:rPr>
              <w:tab/>
            </w:r>
            <w:r w:rsidRPr="007C250D">
              <w:rPr>
                <w:rFonts w:cs="Arial"/>
              </w:rPr>
              <w:tab/>
            </w:r>
            <w:r w:rsidRPr="007C250D">
              <w:rPr>
                <w:rFonts w:cs="Arial"/>
              </w:rPr>
              <w:tab/>
            </w:r>
            <w:r w:rsidRPr="007C250D">
              <w:rPr>
                <w:rFonts w:cs="Arial"/>
              </w:rPr>
              <w:tab/>
            </w:r>
          </w:p>
        </w:tc>
        <w:tc>
          <w:tcPr>
            <w:tcW w:w="1643" w:type="dxa"/>
          </w:tcPr>
          <w:p w14:paraId="12647F50" w14:textId="77777777" w:rsidR="007F5DED" w:rsidRPr="007C250D" w:rsidRDefault="007F5DED" w:rsidP="00F12DF6">
            <w:pPr>
              <w:rPr>
                <w:rFonts w:cs="Arial"/>
              </w:rPr>
            </w:pPr>
          </w:p>
        </w:tc>
      </w:tr>
      <w:tr w:rsidR="007F5DED" w:rsidRPr="007C250D" w14:paraId="555CB2FE" w14:textId="77777777" w:rsidTr="007F5DED">
        <w:tc>
          <w:tcPr>
            <w:tcW w:w="8138" w:type="dxa"/>
          </w:tcPr>
          <w:p w14:paraId="0217B8F9" w14:textId="77777777" w:rsidR="007F5DED" w:rsidRPr="007C250D" w:rsidRDefault="007F5DED" w:rsidP="00F12DF6">
            <w:pPr>
              <w:rPr>
                <w:rFonts w:cs="Arial"/>
              </w:rPr>
            </w:pPr>
            <w:r w:rsidRPr="007C250D">
              <w:rPr>
                <w:rFonts w:cs="Arial"/>
              </w:rPr>
              <w:t xml:space="preserve">Use available data (e.g., PWRES, NHS and local staff surveys) to inform and track progress on inclusivity goals. </w:t>
            </w:r>
          </w:p>
        </w:tc>
        <w:tc>
          <w:tcPr>
            <w:tcW w:w="1643" w:type="dxa"/>
          </w:tcPr>
          <w:p w14:paraId="631FC886" w14:textId="77777777" w:rsidR="007F5DED" w:rsidRPr="007C250D" w:rsidRDefault="007F5DED" w:rsidP="00F12DF6">
            <w:pPr>
              <w:rPr>
                <w:rFonts w:cs="Arial"/>
              </w:rPr>
            </w:pPr>
          </w:p>
        </w:tc>
      </w:tr>
      <w:tr w:rsidR="007F5DED" w:rsidRPr="007C250D" w14:paraId="45EB1DAF" w14:textId="77777777" w:rsidTr="007F5DED">
        <w:tc>
          <w:tcPr>
            <w:tcW w:w="8138" w:type="dxa"/>
          </w:tcPr>
          <w:p w14:paraId="604BA3D9" w14:textId="77777777" w:rsidR="007F5DED" w:rsidRPr="007C250D" w:rsidRDefault="007F5DED" w:rsidP="00F12DF6">
            <w:pPr>
              <w:rPr>
                <w:rFonts w:cs="Arial"/>
              </w:rPr>
            </w:pPr>
            <w:r w:rsidRPr="007C250D">
              <w:rPr>
                <w:rFonts w:cs="Arial"/>
              </w:rPr>
              <w:t xml:space="preserve">To access ESR equality, diversity and inclusion dashboard for the managed sector  - </w:t>
            </w:r>
            <w:hyperlink r:id="rId17" w:history="1">
              <w:r w:rsidRPr="007C250D">
                <w:rPr>
                  <w:rStyle w:val="Hyperlink"/>
                  <w:rFonts w:cs="Arial"/>
                </w:rPr>
                <w:t xml:space="preserve"> https://eproduct.hee.nhs.uk/dashboards-and-reporting</w:t>
              </w:r>
            </w:hyperlink>
            <w:r w:rsidRPr="007C250D">
              <w:rPr>
                <w:rFonts w:cs="Arial"/>
              </w:rPr>
              <w:t xml:space="preserve">. If you require a login for this complete this form: </w:t>
            </w:r>
            <w:hyperlink r:id="rId18" w:history="1">
              <w:r w:rsidRPr="007C250D">
                <w:rPr>
                  <w:rStyle w:val="Hyperlink"/>
                  <w:rFonts w:cs="Arial"/>
                </w:rPr>
                <w:t>https://forms.office.com/Pages/ResponsePage.aspx?id=slTDN7CF9UeyIge0jXdO41fWdvHVUHBEsPXqH4rvjAhUMTE1RUhJTFRSWERGWTk5VFQxMFg5R1VSTSQlQCN0PWcu</w:t>
              </w:r>
            </w:hyperlink>
            <w:r w:rsidRPr="007C250D">
              <w:rPr>
                <w:rFonts w:cs="Arial"/>
              </w:rPr>
              <w:t xml:space="preserve"> </w:t>
            </w:r>
          </w:p>
        </w:tc>
        <w:tc>
          <w:tcPr>
            <w:tcW w:w="1643" w:type="dxa"/>
          </w:tcPr>
          <w:p w14:paraId="50D9930C" w14:textId="77777777" w:rsidR="007F5DED" w:rsidRPr="007C250D" w:rsidRDefault="007F5DED" w:rsidP="00F12DF6">
            <w:pPr>
              <w:rPr>
                <w:rFonts w:cs="Arial"/>
              </w:rPr>
            </w:pPr>
          </w:p>
        </w:tc>
      </w:tr>
      <w:tr w:rsidR="007F5DED" w:rsidRPr="007C250D" w14:paraId="70B24234" w14:textId="77777777" w:rsidTr="007F5DED">
        <w:tc>
          <w:tcPr>
            <w:tcW w:w="8138" w:type="dxa"/>
          </w:tcPr>
          <w:p w14:paraId="67DE92BF" w14:textId="77777777" w:rsidR="007F5DED" w:rsidRPr="007C250D" w:rsidRDefault="007F5DED" w:rsidP="00F12DF6">
            <w:pPr>
              <w:rPr>
                <w:rFonts w:cs="Arial"/>
              </w:rPr>
            </w:pPr>
            <w:r w:rsidRPr="007C250D">
              <w:rPr>
                <w:rFonts w:cs="Arial"/>
              </w:rPr>
              <w:t xml:space="preserve">To access NHS staff survey - </w:t>
            </w:r>
            <w:hyperlink r:id="rId19" w:history="1">
              <w:r w:rsidRPr="007C250D">
                <w:rPr>
                  <w:rStyle w:val="Hyperlink"/>
                  <w:rFonts w:cs="Arial"/>
                </w:rPr>
                <w:t>NHS Staff Survey dashboard (nhssurveys.co.uk)</w:t>
              </w:r>
            </w:hyperlink>
          </w:p>
        </w:tc>
        <w:tc>
          <w:tcPr>
            <w:tcW w:w="1643" w:type="dxa"/>
          </w:tcPr>
          <w:p w14:paraId="60B090DC" w14:textId="77777777" w:rsidR="007F5DED" w:rsidRPr="007C250D" w:rsidRDefault="007F5DED" w:rsidP="00F12DF6">
            <w:pPr>
              <w:rPr>
                <w:rFonts w:cs="Arial"/>
              </w:rPr>
            </w:pPr>
          </w:p>
        </w:tc>
      </w:tr>
      <w:tr w:rsidR="007F5DED" w:rsidRPr="007C250D" w14:paraId="3FD7C414" w14:textId="77777777" w:rsidTr="007F5DED">
        <w:tc>
          <w:tcPr>
            <w:tcW w:w="8138" w:type="dxa"/>
          </w:tcPr>
          <w:p w14:paraId="01A2AF85" w14:textId="77777777" w:rsidR="007F5DED" w:rsidRPr="007C250D" w:rsidRDefault="007F5DED" w:rsidP="00F12DF6">
            <w:pPr>
              <w:rPr>
                <w:rFonts w:cs="Arial"/>
              </w:rPr>
            </w:pPr>
            <w:r w:rsidRPr="007C250D">
              <w:rPr>
                <w:rFonts w:cs="Arial"/>
              </w:rPr>
              <w:t>Conduct thematic analysis of exit interviews to identify inclusivity concerns and take actionable steps based on feedback.</w:t>
            </w:r>
          </w:p>
        </w:tc>
        <w:tc>
          <w:tcPr>
            <w:tcW w:w="1643" w:type="dxa"/>
          </w:tcPr>
          <w:p w14:paraId="593420B6" w14:textId="77777777" w:rsidR="007F5DED" w:rsidRPr="007C250D" w:rsidRDefault="007F5DED" w:rsidP="00F12DF6">
            <w:pPr>
              <w:rPr>
                <w:rFonts w:cs="Arial"/>
              </w:rPr>
            </w:pPr>
          </w:p>
        </w:tc>
      </w:tr>
      <w:tr w:rsidR="007F5DED" w:rsidRPr="007C250D" w14:paraId="73C4E7CE" w14:textId="77777777" w:rsidTr="007F5DED">
        <w:tc>
          <w:tcPr>
            <w:tcW w:w="8138" w:type="dxa"/>
          </w:tcPr>
          <w:p w14:paraId="538A1007" w14:textId="77777777" w:rsidR="007F5DED" w:rsidRPr="007C250D" w:rsidRDefault="007F5DED" w:rsidP="00F12DF6">
            <w:pPr>
              <w:rPr>
                <w:rFonts w:cs="Arial"/>
              </w:rPr>
            </w:pPr>
            <w:r w:rsidRPr="007C250D">
              <w:rPr>
                <w:rFonts w:cs="Arial"/>
              </w:rPr>
              <w:t>Take positive action in talent management and leadership development, such as implementing reciprocal mentoring programs and link into to wider organisational EDI networks.</w:t>
            </w:r>
          </w:p>
        </w:tc>
        <w:tc>
          <w:tcPr>
            <w:tcW w:w="1643" w:type="dxa"/>
          </w:tcPr>
          <w:p w14:paraId="7295B16F" w14:textId="77777777" w:rsidR="007F5DED" w:rsidRPr="007C250D" w:rsidRDefault="007F5DED" w:rsidP="00F12DF6">
            <w:pPr>
              <w:rPr>
                <w:rFonts w:cs="Arial"/>
              </w:rPr>
            </w:pPr>
          </w:p>
        </w:tc>
      </w:tr>
      <w:tr w:rsidR="007F5DED" w:rsidRPr="007C250D" w14:paraId="60BAFC39" w14:textId="77777777" w:rsidTr="007F5DED">
        <w:tc>
          <w:tcPr>
            <w:tcW w:w="8138" w:type="dxa"/>
          </w:tcPr>
          <w:p w14:paraId="63FDCD09" w14:textId="77777777" w:rsidR="007F5DED" w:rsidRPr="007C250D" w:rsidRDefault="007F5DED" w:rsidP="00F12DF6">
            <w:pPr>
              <w:rPr>
                <w:rStyle w:val="Hyperlink"/>
                <w:rFonts w:cs="Arial"/>
                <w:color w:val="auto"/>
              </w:rPr>
            </w:pPr>
            <w:r w:rsidRPr="007C250D">
              <w:rPr>
                <w:rFonts w:cs="Arial"/>
              </w:rPr>
              <w:t xml:space="preserve">Ensure inclusive leadership by providing appropriate training and development opportunities for pharmacy staff. E.g. NHS Leadership Academy Inclusive Leadership in Health and Care -  </w:t>
            </w:r>
            <w:hyperlink r:id="rId20" w:history="1">
              <w:r w:rsidRPr="007C250D">
                <w:rPr>
                  <w:rStyle w:val="Hyperlink"/>
                  <w:rFonts w:cs="Arial"/>
                </w:rPr>
                <w:t>Core Managers: Developing Inclusive Workplaces programme: Course 1 – Leadership Academy</w:t>
              </w:r>
            </w:hyperlink>
          </w:p>
        </w:tc>
        <w:tc>
          <w:tcPr>
            <w:tcW w:w="1643" w:type="dxa"/>
          </w:tcPr>
          <w:p w14:paraId="1AAFAE36" w14:textId="77777777" w:rsidR="007F5DED" w:rsidRPr="007C250D" w:rsidRDefault="007F5DED" w:rsidP="00F12DF6">
            <w:pPr>
              <w:rPr>
                <w:rFonts w:cs="Arial"/>
              </w:rPr>
            </w:pPr>
          </w:p>
        </w:tc>
      </w:tr>
      <w:tr w:rsidR="007F5DED" w:rsidRPr="007C250D" w14:paraId="0316A3E5" w14:textId="77777777" w:rsidTr="007F5DED">
        <w:tc>
          <w:tcPr>
            <w:tcW w:w="8138" w:type="dxa"/>
          </w:tcPr>
          <w:p w14:paraId="006AEFCD" w14:textId="77777777" w:rsidR="007F5DED" w:rsidRPr="007C250D" w:rsidRDefault="007F5DED" w:rsidP="00F12DF6">
            <w:pPr>
              <w:spacing w:after="240"/>
              <w:rPr>
                <w:rFonts w:cs="Arial"/>
                <w:color w:val="FFFFFF" w:themeColor="text1"/>
              </w:rPr>
            </w:pPr>
            <w:r w:rsidRPr="007C250D">
              <w:rPr>
                <w:rFonts w:cs="Arial"/>
                <w:color w:val="FFFFFF" w:themeColor="text1"/>
              </w:rPr>
              <w:lastRenderedPageBreak/>
              <w:t xml:space="preserve">Signing the RPS Pledge for Inclusion and Wellbeing </w:t>
            </w:r>
            <w:hyperlink r:id="rId21" w:anchor=":~:text=Our%20pledge%20aims%20to%20support,the%20diverse%20communities%20we%20serve" w:history="1">
              <w:r w:rsidRPr="007C250D">
                <w:rPr>
                  <w:rStyle w:val="Hyperlink"/>
                  <w:rFonts w:cs="Arial"/>
                </w:rPr>
                <w:t>Pledge-For-Business.pdf</w:t>
              </w:r>
            </w:hyperlink>
            <w:r w:rsidRPr="007C250D">
              <w:rPr>
                <w:rFonts w:cs="Arial"/>
                <w:color w:val="FFFFFF" w:themeColor="text1"/>
              </w:rPr>
              <w:t xml:space="preserve"> including creating three actions to work on when signing the pledge, sharing this within your and other organisations.</w:t>
            </w:r>
          </w:p>
        </w:tc>
        <w:tc>
          <w:tcPr>
            <w:tcW w:w="1643" w:type="dxa"/>
          </w:tcPr>
          <w:p w14:paraId="217E3DD4" w14:textId="77777777" w:rsidR="007F5DED" w:rsidRPr="007C250D" w:rsidRDefault="007F5DED" w:rsidP="00F12DF6">
            <w:pPr>
              <w:spacing w:after="240"/>
              <w:rPr>
                <w:rFonts w:cs="Arial"/>
                <w:color w:val="FFFFFF" w:themeColor="text1"/>
              </w:rPr>
            </w:pPr>
          </w:p>
        </w:tc>
      </w:tr>
    </w:tbl>
    <w:p w14:paraId="169A37D0" w14:textId="77777777" w:rsidR="007F5DED" w:rsidRDefault="007F5DED" w:rsidP="007F5DED">
      <w:pPr>
        <w:pStyle w:val="h2numbered"/>
      </w:pPr>
      <w:r>
        <w:t xml:space="preserve">Team Meetings and Inclusivity </w:t>
      </w:r>
    </w:p>
    <w:tbl>
      <w:tblPr>
        <w:tblStyle w:val="TableGrid"/>
        <w:tblW w:w="9781" w:type="dxa"/>
        <w:tblInd w:w="137" w:type="dxa"/>
        <w:tblLook w:val="04A0" w:firstRow="1" w:lastRow="0" w:firstColumn="1" w:lastColumn="0" w:noHBand="0" w:noVBand="1"/>
      </w:tblPr>
      <w:tblGrid>
        <w:gridCol w:w="8138"/>
        <w:gridCol w:w="1643"/>
      </w:tblGrid>
      <w:tr w:rsidR="007F5DED" w:rsidRPr="009876F7" w14:paraId="115753CC" w14:textId="77777777" w:rsidTr="007F5DED">
        <w:tc>
          <w:tcPr>
            <w:tcW w:w="8138" w:type="dxa"/>
          </w:tcPr>
          <w:p w14:paraId="355BD775" w14:textId="77777777" w:rsidR="007F5DED" w:rsidRDefault="007F5DED" w:rsidP="00F12DF6">
            <w:pPr>
              <w:rPr>
                <w:rFonts w:cs="Arial"/>
              </w:rPr>
            </w:pPr>
          </w:p>
        </w:tc>
        <w:tc>
          <w:tcPr>
            <w:tcW w:w="1643" w:type="dxa"/>
          </w:tcPr>
          <w:p w14:paraId="1F656EC6" w14:textId="77777777" w:rsidR="007F5DED" w:rsidRPr="009876F7" w:rsidRDefault="007F5DED" w:rsidP="00F12DF6">
            <w:pPr>
              <w:rPr>
                <w:rFonts w:cs="Arial"/>
                <w:sz w:val="20"/>
                <w:szCs w:val="20"/>
              </w:rPr>
            </w:pPr>
            <w:r w:rsidRPr="009876F7">
              <w:rPr>
                <w:rFonts w:cs="Arial"/>
                <w:b/>
                <w:bCs/>
                <w:sz w:val="20"/>
                <w:szCs w:val="20"/>
              </w:rPr>
              <w:t>Actioned (Tick)</w:t>
            </w:r>
          </w:p>
        </w:tc>
      </w:tr>
      <w:tr w:rsidR="007F5DED" w14:paraId="256A6A3D" w14:textId="77777777" w:rsidTr="007F5DED">
        <w:tc>
          <w:tcPr>
            <w:tcW w:w="8138" w:type="dxa"/>
          </w:tcPr>
          <w:p w14:paraId="5E367B3B" w14:textId="77777777" w:rsidR="007F5DED" w:rsidRPr="001C7E10" w:rsidRDefault="007F5DED" w:rsidP="00F12DF6">
            <w:pPr>
              <w:rPr>
                <w:rFonts w:cs="Arial"/>
              </w:rPr>
            </w:pPr>
            <w:r>
              <w:rPr>
                <w:rFonts w:cs="Arial"/>
              </w:rPr>
              <w:t>I</w:t>
            </w:r>
            <w:r w:rsidRPr="001C7E10">
              <w:rPr>
                <w:rFonts w:cs="Arial"/>
              </w:rPr>
              <w:t>nclude inclusivity as a standing agenda item in senior team meetings to address its impact on patient care and workforce decisions.</w:t>
            </w:r>
          </w:p>
        </w:tc>
        <w:tc>
          <w:tcPr>
            <w:tcW w:w="1643" w:type="dxa"/>
          </w:tcPr>
          <w:p w14:paraId="6B227EE1" w14:textId="77777777" w:rsidR="007F5DED" w:rsidRDefault="007F5DED" w:rsidP="00F12DF6">
            <w:pPr>
              <w:rPr>
                <w:rFonts w:cs="Arial"/>
              </w:rPr>
            </w:pPr>
          </w:p>
        </w:tc>
      </w:tr>
      <w:tr w:rsidR="007F5DED" w:rsidRPr="001C7E10" w14:paraId="79E29420" w14:textId="77777777" w:rsidTr="007F5DED">
        <w:tc>
          <w:tcPr>
            <w:tcW w:w="8138" w:type="dxa"/>
          </w:tcPr>
          <w:p w14:paraId="7E7A5A3B" w14:textId="77777777" w:rsidR="007F5DED" w:rsidRPr="001C7E10" w:rsidRDefault="007F5DED" w:rsidP="00F12DF6">
            <w:pPr>
              <w:rPr>
                <w:rFonts w:cs="Arial"/>
              </w:rPr>
            </w:pPr>
            <w:r w:rsidRPr="001C7E10">
              <w:rPr>
                <w:rFonts w:cs="Arial"/>
              </w:rPr>
              <w:t>Visibility: Empower staff from diverse backgrounds (LGBTQ+, ethnic minorities, disabilities) to share their experiences and perspectives.</w:t>
            </w:r>
          </w:p>
        </w:tc>
        <w:tc>
          <w:tcPr>
            <w:tcW w:w="1643" w:type="dxa"/>
          </w:tcPr>
          <w:p w14:paraId="36E492DA" w14:textId="77777777" w:rsidR="007F5DED" w:rsidRPr="001C7E10" w:rsidRDefault="007F5DED" w:rsidP="00F12DF6">
            <w:pPr>
              <w:rPr>
                <w:rFonts w:cs="Arial"/>
              </w:rPr>
            </w:pPr>
          </w:p>
        </w:tc>
      </w:tr>
      <w:tr w:rsidR="007F5DED" w:rsidRPr="001C7E10" w14:paraId="680F1C4E" w14:textId="77777777" w:rsidTr="007F5DED">
        <w:tc>
          <w:tcPr>
            <w:tcW w:w="8138" w:type="dxa"/>
          </w:tcPr>
          <w:p w14:paraId="04599527" w14:textId="77777777" w:rsidR="007F5DED" w:rsidRPr="001C7E10" w:rsidRDefault="007F5DED" w:rsidP="00F12DF6">
            <w:pPr>
              <w:rPr>
                <w:rFonts w:cs="Arial"/>
              </w:rPr>
            </w:pPr>
            <w:r w:rsidRPr="001C7E10">
              <w:rPr>
                <w:rFonts w:cs="Arial"/>
              </w:rPr>
              <w:t xml:space="preserve">Have EDI champions within organisations and departments who will advocate for IPP. </w:t>
            </w:r>
          </w:p>
        </w:tc>
        <w:tc>
          <w:tcPr>
            <w:tcW w:w="1643" w:type="dxa"/>
          </w:tcPr>
          <w:p w14:paraId="7BBBA0A7" w14:textId="77777777" w:rsidR="007F5DED" w:rsidRPr="001C7E10" w:rsidRDefault="007F5DED" w:rsidP="00F12DF6">
            <w:pPr>
              <w:rPr>
                <w:rFonts w:cs="Arial"/>
              </w:rPr>
            </w:pPr>
          </w:p>
        </w:tc>
      </w:tr>
    </w:tbl>
    <w:p w14:paraId="26BDBD12" w14:textId="77777777" w:rsidR="007F5DED" w:rsidRDefault="007F5DED" w:rsidP="007F5DED">
      <w:pPr>
        <w:pStyle w:val="h2numbered"/>
      </w:pPr>
      <w:r>
        <w:t xml:space="preserve">Language and Communication </w:t>
      </w:r>
    </w:p>
    <w:tbl>
      <w:tblPr>
        <w:tblStyle w:val="TableGrid"/>
        <w:tblW w:w="9781" w:type="dxa"/>
        <w:tblInd w:w="137" w:type="dxa"/>
        <w:tblLayout w:type="fixed"/>
        <w:tblLook w:val="04A0" w:firstRow="1" w:lastRow="0" w:firstColumn="1" w:lastColumn="0" w:noHBand="0" w:noVBand="1"/>
      </w:tblPr>
      <w:tblGrid>
        <w:gridCol w:w="8080"/>
        <w:gridCol w:w="1701"/>
      </w:tblGrid>
      <w:tr w:rsidR="007F5DED" w:rsidRPr="009876F7" w14:paraId="40B8C522" w14:textId="77777777" w:rsidTr="007F5DED">
        <w:trPr>
          <w:trHeight w:val="639"/>
        </w:trPr>
        <w:tc>
          <w:tcPr>
            <w:tcW w:w="8080" w:type="dxa"/>
          </w:tcPr>
          <w:p w14:paraId="580B221F" w14:textId="77777777" w:rsidR="007F5DED" w:rsidRPr="00B502B5" w:rsidRDefault="007F5DED" w:rsidP="00F12DF6">
            <w:pPr>
              <w:rPr>
                <w:rFonts w:cs="Arial"/>
              </w:rPr>
            </w:pPr>
          </w:p>
        </w:tc>
        <w:tc>
          <w:tcPr>
            <w:tcW w:w="1701" w:type="dxa"/>
          </w:tcPr>
          <w:p w14:paraId="3E28DD26" w14:textId="77777777" w:rsidR="007F5DED" w:rsidRPr="009876F7" w:rsidRDefault="007F5DED" w:rsidP="00F12DF6">
            <w:pPr>
              <w:pStyle w:val="NoSpacing"/>
              <w:rPr>
                <w:rFonts w:ascii="Arial" w:hAnsi="Arial" w:cs="Arial"/>
                <w:b/>
                <w:bCs/>
                <w:sz w:val="20"/>
                <w:szCs w:val="20"/>
              </w:rPr>
            </w:pPr>
            <w:r w:rsidRPr="009876F7">
              <w:rPr>
                <w:rFonts w:ascii="Arial" w:hAnsi="Arial" w:cs="Arial"/>
                <w:b/>
                <w:bCs/>
                <w:sz w:val="20"/>
                <w:szCs w:val="20"/>
              </w:rPr>
              <w:t>Actioned (Tick)</w:t>
            </w:r>
          </w:p>
        </w:tc>
      </w:tr>
      <w:tr w:rsidR="007F5DED" w:rsidRPr="00B502B5" w14:paraId="553470D9" w14:textId="77777777" w:rsidTr="007F5DED">
        <w:trPr>
          <w:trHeight w:val="984"/>
        </w:trPr>
        <w:tc>
          <w:tcPr>
            <w:tcW w:w="8080" w:type="dxa"/>
          </w:tcPr>
          <w:p w14:paraId="0B6F8A63" w14:textId="77777777" w:rsidR="007F5DED" w:rsidRPr="00B502B5" w:rsidRDefault="007F5DED" w:rsidP="00F12DF6">
            <w:pPr>
              <w:rPr>
                <w:rFonts w:cs="Arial"/>
              </w:rPr>
            </w:pPr>
            <w:r w:rsidRPr="00B502B5">
              <w:rPr>
                <w:rFonts w:cs="Arial"/>
              </w:rPr>
              <w:t xml:space="preserve">Encourage the use of pronouns in email </w:t>
            </w:r>
            <w:proofErr w:type="gramStart"/>
            <w:r w:rsidRPr="00B502B5">
              <w:rPr>
                <w:rFonts w:cs="Arial"/>
              </w:rPr>
              <w:t>sign-offs</w:t>
            </w:r>
            <w:proofErr w:type="gramEnd"/>
            <w:r w:rsidRPr="00B502B5">
              <w:rPr>
                <w:rFonts w:cs="Arial"/>
              </w:rPr>
              <w:t xml:space="preserve"> and provide education on the importance of personal pronouns. </w:t>
            </w:r>
            <w:hyperlink r:id="rId22" w:history="1">
              <w:r w:rsidRPr="00B502B5">
                <w:rPr>
                  <w:rStyle w:val="Hyperlink"/>
                  <w:rFonts w:cs="Arial"/>
                </w:rPr>
                <w:t>What Are Personal Pronouns and Why Do They Matter?</w:t>
              </w:r>
            </w:hyperlink>
          </w:p>
        </w:tc>
        <w:tc>
          <w:tcPr>
            <w:tcW w:w="1701" w:type="dxa"/>
          </w:tcPr>
          <w:p w14:paraId="511CB40E" w14:textId="77777777" w:rsidR="007F5DED" w:rsidRPr="00B502B5" w:rsidRDefault="007F5DED" w:rsidP="00F12DF6">
            <w:pPr>
              <w:ind w:left="720"/>
              <w:rPr>
                <w:rFonts w:cs="Arial"/>
              </w:rPr>
            </w:pPr>
          </w:p>
        </w:tc>
      </w:tr>
      <w:tr w:rsidR="007F5DED" w:rsidRPr="00B502B5" w14:paraId="1A977C64" w14:textId="77777777" w:rsidTr="007F5DED">
        <w:trPr>
          <w:trHeight w:val="639"/>
        </w:trPr>
        <w:tc>
          <w:tcPr>
            <w:tcW w:w="8080" w:type="dxa"/>
          </w:tcPr>
          <w:p w14:paraId="57DA2706" w14:textId="77777777" w:rsidR="007F5DED" w:rsidRPr="00B502B5" w:rsidRDefault="007F5DED" w:rsidP="00F12DF6">
            <w:pPr>
              <w:rPr>
                <w:rFonts w:cs="Arial"/>
              </w:rPr>
            </w:pPr>
            <w:r w:rsidRPr="00B502B5">
              <w:rPr>
                <w:rFonts w:cs="Arial"/>
              </w:rPr>
              <w:t>Use gender-neutral language, such as "partner" instead of "husband" or "wife."</w:t>
            </w:r>
          </w:p>
        </w:tc>
        <w:tc>
          <w:tcPr>
            <w:tcW w:w="1701" w:type="dxa"/>
          </w:tcPr>
          <w:p w14:paraId="6717E420" w14:textId="77777777" w:rsidR="007F5DED" w:rsidRPr="00B502B5" w:rsidRDefault="007F5DED" w:rsidP="00F12DF6">
            <w:pPr>
              <w:ind w:left="360"/>
              <w:rPr>
                <w:rFonts w:cs="Arial"/>
              </w:rPr>
            </w:pPr>
          </w:p>
        </w:tc>
      </w:tr>
      <w:tr w:rsidR="007F5DED" w:rsidRPr="00B502B5" w14:paraId="63BCCAD5" w14:textId="77777777" w:rsidTr="007F5DED">
        <w:trPr>
          <w:trHeight w:val="639"/>
        </w:trPr>
        <w:tc>
          <w:tcPr>
            <w:tcW w:w="8080" w:type="dxa"/>
          </w:tcPr>
          <w:p w14:paraId="408BB6DC" w14:textId="77777777" w:rsidR="007F5DED" w:rsidRPr="00795D4B" w:rsidRDefault="007F5DED" w:rsidP="00F12DF6">
            <w:pPr>
              <w:rPr>
                <w:rFonts w:cs="Arial"/>
              </w:rPr>
            </w:pPr>
            <w:r w:rsidRPr="00B502B5">
              <w:rPr>
                <w:rFonts w:cs="Arial"/>
              </w:rPr>
              <w:t>Be mindful of language sensitivity in relation to diverse groups, such as disability and cultural/religious considerations.</w:t>
            </w:r>
          </w:p>
        </w:tc>
        <w:tc>
          <w:tcPr>
            <w:tcW w:w="1701" w:type="dxa"/>
          </w:tcPr>
          <w:p w14:paraId="4AF2E80B" w14:textId="77777777" w:rsidR="007F5DED" w:rsidRPr="00B502B5" w:rsidRDefault="007F5DED" w:rsidP="00F12DF6">
            <w:pPr>
              <w:ind w:left="720"/>
              <w:rPr>
                <w:rFonts w:cs="Arial"/>
              </w:rPr>
            </w:pPr>
          </w:p>
        </w:tc>
      </w:tr>
    </w:tbl>
    <w:p w14:paraId="5CBE293D" w14:textId="77777777" w:rsidR="007F5DED" w:rsidRDefault="007F5DED" w:rsidP="007F5DED">
      <w:pPr>
        <w:pStyle w:val="h2numbered"/>
      </w:pPr>
      <w:r>
        <w:t xml:space="preserve">Recruitment and Outreach </w:t>
      </w:r>
    </w:p>
    <w:tbl>
      <w:tblPr>
        <w:tblStyle w:val="TableGrid"/>
        <w:tblW w:w="9781" w:type="dxa"/>
        <w:tblInd w:w="137" w:type="dxa"/>
        <w:tblLook w:val="04A0" w:firstRow="1" w:lastRow="0" w:firstColumn="1" w:lastColumn="0" w:noHBand="0" w:noVBand="1"/>
      </w:tblPr>
      <w:tblGrid>
        <w:gridCol w:w="8138"/>
        <w:gridCol w:w="1643"/>
      </w:tblGrid>
      <w:tr w:rsidR="007F5DED" w:rsidRPr="009876F7" w14:paraId="00BC352C" w14:textId="77777777" w:rsidTr="007F5DED">
        <w:tc>
          <w:tcPr>
            <w:tcW w:w="8138" w:type="dxa"/>
          </w:tcPr>
          <w:p w14:paraId="0640FD87" w14:textId="77777777" w:rsidR="007F5DED" w:rsidRPr="00994AA3" w:rsidRDefault="007F5DED" w:rsidP="00F12DF6">
            <w:pPr>
              <w:rPr>
                <w:rFonts w:cs="Arial"/>
              </w:rPr>
            </w:pPr>
          </w:p>
        </w:tc>
        <w:tc>
          <w:tcPr>
            <w:tcW w:w="1643" w:type="dxa"/>
          </w:tcPr>
          <w:p w14:paraId="064ADAE5" w14:textId="77777777" w:rsidR="007F5DED" w:rsidRPr="009876F7" w:rsidRDefault="007F5DED" w:rsidP="00F12DF6">
            <w:pPr>
              <w:pStyle w:val="NoSpacing"/>
              <w:rPr>
                <w:rFonts w:ascii="Arial" w:hAnsi="Arial" w:cs="Arial"/>
                <w:b/>
                <w:bCs/>
              </w:rPr>
            </w:pPr>
            <w:r w:rsidRPr="009876F7">
              <w:rPr>
                <w:rFonts w:ascii="Arial" w:hAnsi="Arial" w:cs="Arial"/>
                <w:b/>
                <w:bCs/>
              </w:rPr>
              <w:t>Actioned (Tick)</w:t>
            </w:r>
          </w:p>
        </w:tc>
      </w:tr>
      <w:tr w:rsidR="007F5DED" w:rsidRPr="00994AA3" w14:paraId="358AAC5A" w14:textId="77777777" w:rsidTr="007F5DED">
        <w:tc>
          <w:tcPr>
            <w:tcW w:w="8138" w:type="dxa"/>
          </w:tcPr>
          <w:p w14:paraId="4F509261" w14:textId="77777777" w:rsidR="007F5DED" w:rsidRPr="00994AA3" w:rsidRDefault="007F5DED" w:rsidP="00F12DF6">
            <w:pPr>
              <w:rPr>
                <w:rFonts w:cs="Arial"/>
              </w:rPr>
            </w:pPr>
            <w:r w:rsidRPr="00994AA3">
              <w:rPr>
                <w:rFonts w:cs="Arial"/>
              </w:rPr>
              <w:t>Engage with under-represented communities in recruitment efforts, including school career fairs, work experience, and outreach initiatives.</w:t>
            </w:r>
          </w:p>
        </w:tc>
        <w:tc>
          <w:tcPr>
            <w:tcW w:w="1643" w:type="dxa"/>
          </w:tcPr>
          <w:p w14:paraId="610C7252" w14:textId="77777777" w:rsidR="007F5DED" w:rsidRPr="00994AA3" w:rsidRDefault="007F5DED" w:rsidP="00F12DF6">
            <w:pPr>
              <w:ind w:left="720"/>
              <w:rPr>
                <w:rFonts w:cs="Arial"/>
              </w:rPr>
            </w:pPr>
          </w:p>
        </w:tc>
      </w:tr>
      <w:tr w:rsidR="007F5DED" w:rsidRPr="00994AA3" w14:paraId="30733AE1" w14:textId="77777777" w:rsidTr="007F5DED">
        <w:tc>
          <w:tcPr>
            <w:tcW w:w="8138" w:type="dxa"/>
          </w:tcPr>
          <w:p w14:paraId="2402B623" w14:textId="77777777" w:rsidR="007F5DED" w:rsidRPr="00994AA3" w:rsidRDefault="007F5DED" w:rsidP="00F12DF6">
            <w:pPr>
              <w:rPr>
                <w:rFonts w:cs="Arial"/>
              </w:rPr>
            </w:pPr>
            <w:r w:rsidRPr="00994AA3">
              <w:rPr>
                <w:rFonts w:cs="Arial"/>
              </w:rPr>
              <w:lastRenderedPageBreak/>
              <w:t>Use a variety of recruitment platforms to maximise reach and encourage diverse applications e.g. social media, video campaigns.</w:t>
            </w:r>
          </w:p>
        </w:tc>
        <w:tc>
          <w:tcPr>
            <w:tcW w:w="1643" w:type="dxa"/>
          </w:tcPr>
          <w:p w14:paraId="17123475" w14:textId="77777777" w:rsidR="007F5DED" w:rsidRPr="00994AA3" w:rsidRDefault="007F5DED" w:rsidP="00F12DF6">
            <w:pPr>
              <w:ind w:left="720"/>
              <w:rPr>
                <w:rFonts w:cs="Arial"/>
              </w:rPr>
            </w:pPr>
          </w:p>
        </w:tc>
      </w:tr>
      <w:tr w:rsidR="007F5DED" w:rsidRPr="00994AA3" w14:paraId="794E6C4B" w14:textId="77777777" w:rsidTr="007F5DED">
        <w:tc>
          <w:tcPr>
            <w:tcW w:w="8138" w:type="dxa"/>
          </w:tcPr>
          <w:p w14:paraId="4FA6A36D" w14:textId="77777777" w:rsidR="007F5DED" w:rsidRPr="00994AA3" w:rsidRDefault="007F5DED" w:rsidP="00F12DF6">
            <w:pPr>
              <w:rPr>
                <w:rFonts w:cs="Arial"/>
              </w:rPr>
            </w:pPr>
            <w:r w:rsidRPr="00994AA3">
              <w:rPr>
                <w:rFonts w:cs="Arial"/>
              </w:rPr>
              <w:t>Establish mentoring schemes to support underrepresented groups in their career progression.</w:t>
            </w:r>
          </w:p>
        </w:tc>
        <w:tc>
          <w:tcPr>
            <w:tcW w:w="1643" w:type="dxa"/>
          </w:tcPr>
          <w:p w14:paraId="46D876B2" w14:textId="77777777" w:rsidR="007F5DED" w:rsidRPr="00994AA3" w:rsidRDefault="007F5DED" w:rsidP="00F12DF6">
            <w:pPr>
              <w:ind w:left="720"/>
              <w:rPr>
                <w:rFonts w:cs="Arial"/>
              </w:rPr>
            </w:pPr>
          </w:p>
        </w:tc>
      </w:tr>
      <w:tr w:rsidR="007F5DED" w:rsidRPr="00994AA3" w14:paraId="2C934EF3" w14:textId="77777777" w:rsidTr="007F5DED">
        <w:tc>
          <w:tcPr>
            <w:tcW w:w="8138" w:type="dxa"/>
          </w:tcPr>
          <w:p w14:paraId="509D6D16" w14:textId="77777777" w:rsidR="007F5DED" w:rsidRPr="00994AA3" w:rsidRDefault="007F5DED" w:rsidP="00F12DF6">
            <w:pPr>
              <w:rPr>
                <w:rStyle w:val="Hyperlink"/>
                <w:rFonts w:cs="Arial"/>
                <w:color w:val="auto"/>
              </w:rPr>
            </w:pPr>
            <w:r w:rsidRPr="00994AA3">
              <w:rPr>
                <w:rFonts w:cs="Arial"/>
              </w:rPr>
              <w:t xml:space="preserve">Remove gender marking in job titles and descriptions to avoid bias. </w:t>
            </w:r>
            <w:r w:rsidRPr="00994AA3">
              <w:rPr>
                <w:rFonts w:cs="Arial"/>
                <w:color w:val="FFFFFF" w:themeColor="text1"/>
              </w:rPr>
              <w:t>(</w:t>
            </w:r>
            <w:hyperlink r:id="rId23" w:history="1">
              <w:r w:rsidRPr="00994AA3">
                <w:rPr>
                  <w:rStyle w:val="Hyperlink"/>
                  <w:rFonts w:cs="Arial"/>
                </w:rPr>
                <w:t>Gender-</w:t>
              </w:r>
              <w:proofErr w:type="spellStart"/>
              <w:r w:rsidRPr="00994AA3">
                <w:rPr>
                  <w:rStyle w:val="Hyperlink"/>
                  <w:rFonts w:cs="Arial"/>
                </w:rPr>
                <w:t>Decoder.Katmanfield</w:t>
              </w:r>
              <w:proofErr w:type="spellEnd"/>
            </w:hyperlink>
            <w:r w:rsidRPr="00994AA3">
              <w:rPr>
                <w:rStyle w:val="Hyperlink"/>
                <w:rFonts w:cs="Arial"/>
              </w:rPr>
              <w:t>)</w:t>
            </w:r>
          </w:p>
        </w:tc>
        <w:tc>
          <w:tcPr>
            <w:tcW w:w="1643" w:type="dxa"/>
          </w:tcPr>
          <w:p w14:paraId="426EB7F0" w14:textId="77777777" w:rsidR="007F5DED" w:rsidRPr="00994AA3" w:rsidRDefault="007F5DED" w:rsidP="00F12DF6">
            <w:pPr>
              <w:ind w:left="720"/>
              <w:rPr>
                <w:rFonts w:cs="Arial"/>
              </w:rPr>
            </w:pPr>
          </w:p>
        </w:tc>
      </w:tr>
      <w:tr w:rsidR="007F5DED" w:rsidRPr="00994AA3" w14:paraId="46D867A5" w14:textId="77777777" w:rsidTr="007F5DED">
        <w:tc>
          <w:tcPr>
            <w:tcW w:w="8138" w:type="dxa"/>
          </w:tcPr>
          <w:p w14:paraId="2A48952C" w14:textId="77777777" w:rsidR="007F5DED" w:rsidRPr="00994AA3" w:rsidRDefault="007F5DED" w:rsidP="00F12DF6">
            <w:pPr>
              <w:rPr>
                <w:rFonts w:cs="Arial"/>
              </w:rPr>
            </w:pPr>
            <w:r w:rsidRPr="00994AA3">
              <w:rPr>
                <w:rFonts w:cs="Arial"/>
              </w:rPr>
              <w:t>Bias-free job descriptions: Ensure job descriptions are written with inclusive language that avoids gender, age, or ability bias.</w:t>
            </w:r>
          </w:p>
        </w:tc>
        <w:tc>
          <w:tcPr>
            <w:tcW w:w="1643" w:type="dxa"/>
          </w:tcPr>
          <w:p w14:paraId="3D8F8B1B" w14:textId="77777777" w:rsidR="007F5DED" w:rsidRPr="00994AA3" w:rsidRDefault="007F5DED" w:rsidP="00F12DF6">
            <w:pPr>
              <w:ind w:left="720"/>
              <w:rPr>
                <w:rFonts w:cs="Arial"/>
              </w:rPr>
            </w:pPr>
          </w:p>
        </w:tc>
      </w:tr>
      <w:tr w:rsidR="007F5DED" w:rsidRPr="00994AA3" w14:paraId="07C76B08" w14:textId="77777777" w:rsidTr="007F5DED">
        <w:tc>
          <w:tcPr>
            <w:tcW w:w="8138" w:type="dxa"/>
          </w:tcPr>
          <w:p w14:paraId="770D00CD" w14:textId="77777777" w:rsidR="007F5DED" w:rsidRPr="00994AA3" w:rsidRDefault="007F5DED" w:rsidP="00F12DF6">
            <w:pPr>
              <w:rPr>
                <w:rFonts w:cs="Arial"/>
              </w:rPr>
            </w:pPr>
            <w:r w:rsidRPr="00994AA3">
              <w:rPr>
                <w:rFonts w:cs="Arial"/>
              </w:rPr>
              <w:t>Ensure that interview panels include EDI champions who provide objective feedback and challenge biases.</w:t>
            </w:r>
          </w:p>
        </w:tc>
        <w:tc>
          <w:tcPr>
            <w:tcW w:w="1643" w:type="dxa"/>
          </w:tcPr>
          <w:p w14:paraId="48E4ACD6" w14:textId="77777777" w:rsidR="007F5DED" w:rsidRPr="00994AA3" w:rsidRDefault="007F5DED" w:rsidP="00F12DF6">
            <w:pPr>
              <w:ind w:left="720"/>
              <w:rPr>
                <w:rFonts w:cs="Arial"/>
              </w:rPr>
            </w:pPr>
          </w:p>
        </w:tc>
      </w:tr>
      <w:tr w:rsidR="007F5DED" w:rsidRPr="00994AA3" w14:paraId="398412D7" w14:textId="77777777" w:rsidTr="007F5DED">
        <w:tc>
          <w:tcPr>
            <w:tcW w:w="8138" w:type="dxa"/>
          </w:tcPr>
          <w:p w14:paraId="0861CADB" w14:textId="77777777" w:rsidR="007F5DED" w:rsidRPr="00994AA3" w:rsidRDefault="007F5DED" w:rsidP="00F12DF6">
            <w:pPr>
              <w:rPr>
                <w:rFonts w:cs="Arial"/>
              </w:rPr>
            </w:pPr>
            <w:r w:rsidRPr="00994AA3">
              <w:rPr>
                <w:rFonts w:cs="Arial"/>
              </w:rPr>
              <w:t>Ensure the accessibility of the interview process (e.g., step-free access, virtual options) and offer reasonable adjustments for applicants.</w:t>
            </w:r>
          </w:p>
        </w:tc>
        <w:tc>
          <w:tcPr>
            <w:tcW w:w="1643" w:type="dxa"/>
          </w:tcPr>
          <w:p w14:paraId="2AAFE8D6" w14:textId="77777777" w:rsidR="007F5DED" w:rsidRPr="00994AA3" w:rsidRDefault="007F5DED" w:rsidP="00F12DF6">
            <w:pPr>
              <w:ind w:left="720"/>
              <w:rPr>
                <w:rFonts w:cs="Arial"/>
              </w:rPr>
            </w:pPr>
          </w:p>
        </w:tc>
      </w:tr>
      <w:tr w:rsidR="007F5DED" w:rsidRPr="00994AA3" w14:paraId="1C98BCE7" w14:textId="77777777" w:rsidTr="007F5DED">
        <w:tc>
          <w:tcPr>
            <w:tcW w:w="8138" w:type="dxa"/>
          </w:tcPr>
          <w:p w14:paraId="1AD38552" w14:textId="77777777" w:rsidR="007F5DED" w:rsidRPr="007F5DED" w:rsidRDefault="007F5DED" w:rsidP="00F12DF6">
            <w:pPr>
              <w:rPr>
                <w:rFonts w:cs="Arial"/>
                <w:color w:val="auto"/>
              </w:rPr>
            </w:pPr>
            <w:r w:rsidRPr="007F5DED">
              <w:rPr>
                <w:rFonts w:cs="Arial"/>
                <w:color w:val="auto"/>
              </w:rPr>
              <w:t>Ensuring that Human Resources (HR) / recruitment systems routinely anonymise candidates during shortlisting.  This includes the removal of professional body registration numbers to ensure a person cannot be identified until the latter stages of the process.</w:t>
            </w:r>
          </w:p>
        </w:tc>
        <w:tc>
          <w:tcPr>
            <w:tcW w:w="1643" w:type="dxa"/>
          </w:tcPr>
          <w:p w14:paraId="3FAE4BA5" w14:textId="77777777" w:rsidR="007F5DED" w:rsidRPr="00994AA3" w:rsidRDefault="007F5DED" w:rsidP="00F12DF6">
            <w:pPr>
              <w:pStyle w:val="ListParagraph"/>
              <w:rPr>
                <w:rFonts w:cs="Arial"/>
                <w:color w:val="FFFFFF" w:themeColor="text1"/>
              </w:rPr>
            </w:pPr>
          </w:p>
        </w:tc>
      </w:tr>
      <w:tr w:rsidR="007F5DED" w:rsidRPr="00994AA3" w14:paraId="21A21E4D" w14:textId="77777777" w:rsidTr="007F5DED">
        <w:tc>
          <w:tcPr>
            <w:tcW w:w="8138" w:type="dxa"/>
          </w:tcPr>
          <w:p w14:paraId="2A93BA18" w14:textId="77777777" w:rsidR="007F5DED" w:rsidRPr="00994AA3" w:rsidRDefault="007F5DED" w:rsidP="00F12DF6">
            <w:pPr>
              <w:rPr>
                <w:rFonts w:cs="Arial"/>
              </w:rPr>
            </w:pPr>
            <w:r w:rsidRPr="00994AA3">
              <w:rPr>
                <w:rFonts w:cs="Arial"/>
              </w:rPr>
              <w:t xml:space="preserve">Ensure all interviewers receive training on unconscious bias, EDI values, and active bystander practices. </w:t>
            </w:r>
            <w:hyperlink r:id="rId24" w:history="1">
              <w:r w:rsidRPr="00994AA3">
                <w:rPr>
                  <w:rStyle w:val="Hyperlink"/>
                  <w:rFonts w:cs="Arial"/>
                </w:rPr>
                <w:t>Active Bystander Training | Challenging Antisocial Behaviour - The Active Bystander Training Company</w:t>
              </w:r>
            </w:hyperlink>
            <w:r w:rsidRPr="00994AA3">
              <w:rPr>
                <w:rFonts w:cs="Arial"/>
              </w:rPr>
              <w:t xml:space="preserve"> </w:t>
            </w:r>
          </w:p>
        </w:tc>
        <w:tc>
          <w:tcPr>
            <w:tcW w:w="1643" w:type="dxa"/>
          </w:tcPr>
          <w:p w14:paraId="0056EBD6" w14:textId="77777777" w:rsidR="007F5DED" w:rsidRPr="00994AA3" w:rsidRDefault="007F5DED" w:rsidP="00F12DF6">
            <w:pPr>
              <w:ind w:left="720"/>
              <w:rPr>
                <w:rFonts w:cs="Arial"/>
              </w:rPr>
            </w:pPr>
          </w:p>
        </w:tc>
      </w:tr>
      <w:tr w:rsidR="007F5DED" w:rsidRPr="00994AA3" w14:paraId="2266D7D9" w14:textId="77777777" w:rsidTr="007F5DED">
        <w:tc>
          <w:tcPr>
            <w:tcW w:w="8138" w:type="dxa"/>
          </w:tcPr>
          <w:p w14:paraId="6371343B" w14:textId="77777777" w:rsidR="007F5DED" w:rsidRPr="005D4D1F" w:rsidRDefault="007F5DED" w:rsidP="00F12DF6">
            <w:pPr>
              <w:rPr>
                <w:rFonts w:cs="Arial"/>
                <w:color w:val="FFFFFF" w:themeColor="text1"/>
              </w:rPr>
            </w:pPr>
            <w:r w:rsidRPr="007F5DED">
              <w:rPr>
                <w:rFonts w:cs="Arial"/>
                <w:color w:val="auto"/>
              </w:rPr>
              <w:t xml:space="preserve">Thinking creatively to offer flexible working options at all stages from recruitment through employment.  Have a transparent and equitable process in supporting flexible working opportunities. </w:t>
            </w:r>
          </w:p>
        </w:tc>
        <w:tc>
          <w:tcPr>
            <w:tcW w:w="1643" w:type="dxa"/>
          </w:tcPr>
          <w:p w14:paraId="08EDB5DF" w14:textId="77777777" w:rsidR="007F5DED" w:rsidRPr="00994AA3" w:rsidRDefault="007F5DED" w:rsidP="00F12DF6">
            <w:pPr>
              <w:pStyle w:val="ListParagraph"/>
              <w:rPr>
                <w:rFonts w:cs="Arial"/>
                <w:color w:val="FFFFFF" w:themeColor="text1"/>
              </w:rPr>
            </w:pPr>
          </w:p>
        </w:tc>
      </w:tr>
    </w:tbl>
    <w:p w14:paraId="5E735D46" w14:textId="77777777" w:rsidR="007F5DED" w:rsidRDefault="007F5DED" w:rsidP="007F5DED">
      <w:pPr>
        <w:pStyle w:val="h2numbered"/>
      </w:pPr>
      <w:r>
        <w:t xml:space="preserve">Training and Development </w:t>
      </w:r>
    </w:p>
    <w:tbl>
      <w:tblPr>
        <w:tblStyle w:val="TableGrid"/>
        <w:tblW w:w="9781" w:type="dxa"/>
        <w:tblInd w:w="137" w:type="dxa"/>
        <w:tblLook w:val="04A0" w:firstRow="1" w:lastRow="0" w:firstColumn="1" w:lastColumn="0" w:noHBand="0" w:noVBand="1"/>
      </w:tblPr>
      <w:tblGrid>
        <w:gridCol w:w="8138"/>
        <w:gridCol w:w="1643"/>
      </w:tblGrid>
      <w:tr w:rsidR="007F5DED" w:rsidRPr="005F13E9" w14:paraId="5C463F1C" w14:textId="77777777" w:rsidTr="007F5DED">
        <w:tc>
          <w:tcPr>
            <w:tcW w:w="8138" w:type="dxa"/>
          </w:tcPr>
          <w:p w14:paraId="0ACE1E2D" w14:textId="77777777" w:rsidR="007F5DED" w:rsidRPr="00760872" w:rsidRDefault="007F5DED" w:rsidP="00F12DF6">
            <w:pPr>
              <w:pStyle w:val="NoSpacing"/>
            </w:pPr>
          </w:p>
        </w:tc>
        <w:tc>
          <w:tcPr>
            <w:tcW w:w="1643" w:type="dxa"/>
          </w:tcPr>
          <w:p w14:paraId="20684C5D" w14:textId="77777777" w:rsidR="007F5DED" w:rsidRPr="005F13E9" w:rsidRDefault="007F5DED" w:rsidP="00F12DF6">
            <w:pPr>
              <w:pStyle w:val="NoSpacing"/>
              <w:rPr>
                <w:rFonts w:ascii="Arial" w:hAnsi="Arial" w:cs="Arial"/>
                <w:b/>
                <w:bCs/>
              </w:rPr>
            </w:pPr>
            <w:r w:rsidRPr="005F13E9">
              <w:rPr>
                <w:rFonts w:ascii="Arial" w:hAnsi="Arial" w:cs="Arial"/>
                <w:b/>
                <w:bCs/>
              </w:rPr>
              <w:t>Actioned (Tick)</w:t>
            </w:r>
          </w:p>
        </w:tc>
      </w:tr>
      <w:tr w:rsidR="007F5DED" w:rsidRPr="00760872" w14:paraId="46992F81" w14:textId="77777777" w:rsidTr="007F5DED">
        <w:tc>
          <w:tcPr>
            <w:tcW w:w="8138" w:type="dxa"/>
          </w:tcPr>
          <w:p w14:paraId="0DEFFF46" w14:textId="77777777" w:rsidR="007F5DED" w:rsidRPr="00760872" w:rsidRDefault="007F5DED" w:rsidP="00F12DF6">
            <w:pPr>
              <w:rPr>
                <w:rStyle w:val="Hyperlink"/>
                <w:rFonts w:cs="Arial"/>
                <w:color w:val="FFFFFF" w:themeColor="text1"/>
              </w:rPr>
            </w:pPr>
            <w:r w:rsidRPr="007F5DED">
              <w:rPr>
                <w:rFonts w:cs="Arial"/>
                <w:color w:val="auto"/>
              </w:rPr>
              <w:t xml:space="preserve">Provide cultural competence training for all staff, including modules on unconscious bias, neurodivergence, and active allyship. e.g. Centre for Postgraduate Pharmacy Education (CPPE) (for all pharmacy professionals) or the e-learning for health module </w:t>
            </w:r>
            <w:hyperlink r:id="rId25" w:history="1">
              <w:r w:rsidRPr="007F5DED">
                <w:rPr>
                  <w:rStyle w:val="Hyperlink"/>
                  <w:rFonts w:cs="Arial"/>
                  <w:color w:val="auto"/>
                </w:rPr>
                <w:t>Cultural Competence and Cultural Safety</w:t>
              </w:r>
            </w:hyperlink>
          </w:p>
        </w:tc>
        <w:tc>
          <w:tcPr>
            <w:tcW w:w="1643" w:type="dxa"/>
          </w:tcPr>
          <w:p w14:paraId="4B20DBB3" w14:textId="77777777" w:rsidR="007F5DED" w:rsidRPr="00760872" w:rsidRDefault="007F5DED" w:rsidP="00F12DF6">
            <w:pPr>
              <w:pStyle w:val="ListParagraph"/>
              <w:rPr>
                <w:rFonts w:cs="Arial"/>
              </w:rPr>
            </w:pPr>
          </w:p>
        </w:tc>
      </w:tr>
      <w:tr w:rsidR="007F5DED" w:rsidRPr="00760872" w14:paraId="0DBB257C" w14:textId="77777777" w:rsidTr="007F5DED">
        <w:tc>
          <w:tcPr>
            <w:tcW w:w="8138" w:type="dxa"/>
          </w:tcPr>
          <w:p w14:paraId="7DC03AA8" w14:textId="77777777" w:rsidR="007F5DED" w:rsidRPr="00760872" w:rsidRDefault="007F5DED" w:rsidP="00F12DF6">
            <w:pPr>
              <w:rPr>
                <w:rStyle w:val="Hyperlink"/>
                <w:rFonts w:cs="Arial"/>
                <w:color w:val="auto"/>
              </w:rPr>
            </w:pPr>
            <w:r w:rsidRPr="00760872">
              <w:rPr>
                <w:rFonts w:cs="Arial"/>
              </w:rPr>
              <w:lastRenderedPageBreak/>
              <w:t>Health Equity Education: Ensure staff understand the social determinants of health and their impact on patient care and pharmacy services.</w:t>
            </w:r>
          </w:p>
        </w:tc>
        <w:tc>
          <w:tcPr>
            <w:tcW w:w="1643" w:type="dxa"/>
          </w:tcPr>
          <w:p w14:paraId="52973438" w14:textId="77777777" w:rsidR="007F5DED" w:rsidRPr="00760872" w:rsidRDefault="007F5DED" w:rsidP="00F12DF6">
            <w:pPr>
              <w:ind w:left="720"/>
              <w:rPr>
                <w:rFonts w:cs="Arial"/>
              </w:rPr>
            </w:pPr>
          </w:p>
        </w:tc>
      </w:tr>
      <w:tr w:rsidR="007F5DED" w:rsidRPr="00760872" w14:paraId="3F646771" w14:textId="77777777" w:rsidTr="007F5DED">
        <w:tc>
          <w:tcPr>
            <w:tcW w:w="8138" w:type="dxa"/>
          </w:tcPr>
          <w:p w14:paraId="5F99B10E" w14:textId="77777777" w:rsidR="007F5DED" w:rsidRPr="00760872" w:rsidRDefault="007F5DED" w:rsidP="00F12DF6">
            <w:pPr>
              <w:rPr>
                <w:rFonts w:cs="Arial"/>
                <w:color w:val="FFFFFF" w:themeColor="text1"/>
              </w:rPr>
            </w:pPr>
            <w:r w:rsidRPr="00760872">
              <w:rPr>
                <w:rFonts w:cs="Arial"/>
              </w:rPr>
              <w:t xml:space="preserve">All members of the pharmacy team should seek to understand what we mean by IPP and EDI and the different terms associated with EDI.  The NEY Leadership Academy has some great resources </w:t>
            </w:r>
            <w:hyperlink r:id="rId26" w:history="1">
              <w:r w:rsidRPr="00760872">
                <w:rPr>
                  <w:rStyle w:val="Hyperlink"/>
                  <w:rFonts w:cs="Arial"/>
                </w:rPr>
                <w:t>Leadership Learning Zone Modules</w:t>
              </w:r>
            </w:hyperlink>
            <w:r w:rsidRPr="00760872">
              <w:rPr>
                <w:rFonts w:cs="Arial"/>
              </w:rPr>
              <w:t>.</w:t>
            </w:r>
          </w:p>
        </w:tc>
        <w:tc>
          <w:tcPr>
            <w:tcW w:w="1643" w:type="dxa"/>
          </w:tcPr>
          <w:p w14:paraId="262A49F8" w14:textId="77777777" w:rsidR="007F5DED" w:rsidRPr="00760872" w:rsidRDefault="007F5DED" w:rsidP="00F12DF6">
            <w:pPr>
              <w:pStyle w:val="ListParagraph"/>
              <w:rPr>
                <w:rFonts w:cs="Arial"/>
              </w:rPr>
            </w:pPr>
          </w:p>
        </w:tc>
      </w:tr>
      <w:tr w:rsidR="007F5DED" w:rsidRPr="00760872" w14:paraId="6CDB95A1" w14:textId="77777777" w:rsidTr="007F5DED">
        <w:tc>
          <w:tcPr>
            <w:tcW w:w="8138" w:type="dxa"/>
          </w:tcPr>
          <w:p w14:paraId="09E1244F" w14:textId="77777777" w:rsidR="007F5DED" w:rsidRPr="00760872" w:rsidRDefault="007F5DED" w:rsidP="00F12DF6">
            <w:pPr>
              <w:rPr>
                <w:rFonts w:cs="Arial"/>
                <w:color w:val="FFFFFF" w:themeColor="text1"/>
              </w:rPr>
            </w:pPr>
            <w:r w:rsidRPr="007F5DED">
              <w:rPr>
                <w:rFonts w:cs="Arial"/>
                <w:color w:val="auto"/>
              </w:rPr>
              <w:t xml:space="preserve">Consider utilising specialist facilitators to support pharmacy team education and learning events in relation to the EDI agenda for example, </w:t>
            </w:r>
            <w:hyperlink r:id="rId27" w:history="1">
              <w:r w:rsidRPr="007F5DED">
                <w:rPr>
                  <w:rStyle w:val="Hyperlink"/>
                  <w:rFonts w:cs="Arial"/>
                  <w:color w:val="auto"/>
                </w:rPr>
                <w:t>Yorkshire MESMAC</w:t>
              </w:r>
            </w:hyperlink>
            <w:r w:rsidRPr="007F5DED">
              <w:rPr>
                <w:rFonts w:cs="Arial"/>
                <w:color w:val="auto"/>
              </w:rPr>
              <w:t xml:space="preserve"> can support sessions around LGBTQ+ awareness</w:t>
            </w:r>
            <w:r w:rsidRPr="00760872">
              <w:rPr>
                <w:rFonts w:cs="Arial"/>
              </w:rPr>
              <w:t>.</w:t>
            </w:r>
            <w:r w:rsidRPr="00760872">
              <w:rPr>
                <w:rFonts w:cs="Arial"/>
                <w:noProof/>
              </w:rPr>
              <w:t xml:space="preserve"> </w:t>
            </w:r>
          </w:p>
        </w:tc>
        <w:tc>
          <w:tcPr>
            <w:tcW w:w="1643" w:type="dxa"/>
          </w:tcPr>
          <w:p w14:paraId="1D3A9E67" w14:textId="77777777" w:rsidR="007F5DED" w:rsidRPr="00760872" w:rsidRDefault="007F5DED" w:rsidP="00F12DF6">
            <w:pPr>
              <w:pStyle w:val="ListParagraph"/>
              <w:rPr>
                <w:rFonts w:cs="Arial"/>
                <w:color w:val="FFFFFF" w:themeColor="text1"/>
              </w:rPr>
            </w:pPr>
          </w:p>
        </w:tc>
      </w:tr>
      <w:tr w:rsidR="007F5DED" w:rsidRPr="00760872" w14:paraId="3AD6128B" w14:textId="77777777" w:rsidTr="007F5DED">
        <w:tc>
          <w:tcPr>
            <w:tcW w:w="8138" w:type="dxa"/>
          </w:tcPr>
          <w:p w14:paraId="3F0834E1" w14:textId="77777777" w:rsidR="007F5DED" w:rsidRPr="00760872" w:rsidRDefault="007F5DED" w:rsidP="00F12DF6">
            <w:pPr>
              <w:rPr>
                <w:rFonts w:cs="Arial"/>
              </w:rPr>
            </w:pPr>
            <w:r w:rsidRPr="00760872">
              <w:rPr>
                <w:rFonts w:cs="Arial"/>
              </w:rPr>
              <w:t>Ensure equitable access to progression opportunities, including for part-time and flexible workers.</w:t>
            </w:r>
          </w:p>
        </w:tc>
        <w:tc>
          <w:tcPr>
            <w:tcW w:w="1643" w:type="dxa"/>
          </w:tcPr>
          <w:p w14:paraId="38E16B17" w14:textId="77777777" w:rsidR="007F5DED" w:rsidRPr="00760872" w:rsidRDefault="007F5DED" w:rsidP="00F12DF6">
            <w:pPr>
              <w:ind w:left="720"/>
              <w:rPr>
                <w:rFonts w:cs="Arial"/>
              </w:rPr>
            </w:pPr>
          </w:p>
        </w:tc>
      </w:tr>
      <w:tr w:rsidR="007F5DED" w:rsidRPr="00760872" w14:paraId="033E10DF" w14:textId="77777777" w:rsidTr="007F5DED">
        <w:tc>
          <w:tcPr>
            <w:tcW w:w="8138" w:type="dxa"/>
          </w:tcPr>
          <w:p w14:paraId="41923962" w14:textId="77777777" w:rsidR="007F5DED" w:rsidRPr="00760872" w:rsidRDefault="007F5DED" w:rsidP="00F12DF6">
            <w:pPr>
              <w:rPr>
                <w:rFonts w:cs="Arial"/>
              </w:rPr>
            </w:pPr>
            <w:r w:rsidRPr="00760872">
              <w:rPr>
                <w:rFonts w:cs="Arial"/>
              </w:rPr>
              <w:t>Actively support underrepresented staff to apply for leadership roles and professional development programs.</w:t>
            </w:r>
          </w:p>
        </w:tc>
        <w:tc>
          <w:tcPr>
            <w:tcW w:w="1643" w:type="dxa"/>
          </w:tcPr>
          <w:p w14:paraId="21B04B1B" w14:textId="77777777" w:rsidR="007F5DED" w:rsidRPr="00760872" w:rsidRDefault="007F5DED" w:rsidP="00F12DF6">
            <w:pPr>
              <w:ind w:left="720"/>
              <w:rPr>
                <w:rFonts w:cs="Arial"/>
              </w:rPr>
            </w:pPr>
          </w:p>
        </w:tc>
      </w:tr>
      <w:tr w:rsidR="007F5DED" w:rsidRPr="00760872" w14:paraId="09250452" w14:textId="77777777" w:rsidTr="007F5DED">
        <w:tc>
          <w:tcPr>
            <w:tcW w:w="8138" w:type="dxa"/>
          </w:tcPr>
          <w:p w14:paraId="7F19E81D" w14:textId="77777777" w:rsidR="007F5DED" w:rsidRPr="00760872" w:rsidRDefault="007F5DED" w:rsidP="00F12DF6">
            <w:pPr>
              <w:rPr>
                <w:rFonts w:cs="Arial"/>
              </w:rPr>
            </w:pPr>
            <w:r>
              <w:rPr>
                <w:rFonts w:cs="Arial"/>
              </w:rPr>
              <w:t xml:space="preserve">Consider the </w:t>
            </w:r>
            <w:r w:rsidRPr="00320962">
              <w:rPr>
                <w:rFonts w:cs="Arial"/>
              </w:rPr>
              <w:t>Safe Learning Environment</w:t>
            </w:r>
            <w:r>
              <w:rPr>
                <w:rFonts w:cs="Arial"/>
              </w:rPr>
              <w:t xml:space="preserve"> </w:t>
            </w:r>
            <w:hyperlink r:id="rId28" w:history="1">
              <w:r w:rsidRPr="00320962">
                <w:rPr>
                  <w:rFonts w:cs="Arial"/>
                  <w:color w:val="005EB8" w:themeColor="hyperlink"/>
                  <w:u w:val="single"/>
                </w:rPr>
                <w:t>NHS England » Safe Learning Environment Charter – what good looks like</w:t>
              </w:r>
            </w:hyperlink>
          </w:p>
        </w:tc>
        <w:tc>
          <w:tcPr>
            <w:tcW w:w="1643" w:type="dxa"/>
          </w:tcPr>
          <w:p w14:paraId="1FEAAE14" w14:textId="77777777" w:rsidR="007F5DED" w:rsidRPr="00760872" w:rsidRDefault="007F5DED" w:rsidP="00F12DF6">
            <w:pPr>
              <w:ind w:left="720"/>
              <w:rPr>
                <w:rFonts w:cs="Arial"/>
              </w:rPr>
            </w:pPr>
          </w:p>
        </w:tc>
      </w:tr>
    </w:tbl>
    <w:p w14:paraId="6C23631A" w14:textId="77777777" w:rsidR="007F5DED" w:rsidRDefault="00E74238" w:rsidP="007F5DED">
      <w:pPr>
        <w:pStyle w:val="h2numbered"/>
      </w:pPr>
      <w:r>
        <w:t xml:space="preserve">Supportive Work Practices </w:t>
      </w:r>
    </w:p>
    <w:tbl>
      <w:tblPr>
        <w:tblStyle w:val="TableGrid"/>
        <w:tblW w:w="9781" w:type="dxa"/>
        <w:tblInd w:w="137" w:type="dxa"/>
        <w:tblLook w:val="04A0" w:firstRow="1" w:lastRow="0" w:firstColumn="1" w:lastColumn="0" w:noHBand="0" w:noVBand="1"/>
      </w:tblPr>
      <w:tblGrid>
        <w:gridCol w:w="8138"/>
        <w:gridCol w:w="1643"/>
      </w:tblGrid>
      <w:tr w:rsidR="00E74238" w:rsidRPr="005F13E9" w14:paraId="3F133B7A" w14:textId="77777777" w:rsidTr="00E74238">
        <w:tc>
          <w:tcPr>
            <w:tcW w:w="8138" w:type="dxa"/>
          </w:tcPr>
          <w:p w14:paraId="249DC7D2" w14:textId="77777777" w:rsidR="00E74238" w:rsidRPr="0077056B" w:rsidRDefault="00E74238" w:rsidP="00F12DF6">
            <w:pPr>
              <w:rPr>
                <w:rFonts w:cs="Arial"/>
              </w:rPr>
            </w:pPr>
          </w:p>
        </w:tc>
        <w:tc>
          <w:tcPr>
            <w:tcW w:w="1643" w:type="dxa"/>
          </w:tcPr>
          <w:p w14:paraId="54078201" w14:textId="77777777" w:rsidR="00E74238" w:rsidRPr="005F13E9" w:rsidRDefault="00E74238" w:rsidP="00F12DF6">
            <w:pPr>
              <w:rPr>
                <w:rFonts w:cs="Arial"/>
                <w:b/>
                <w:bCs/>
                <w:sz w:val="20"/>
                <w:szCs w:val="20"/>
              </w:rPr>
            </w:pPr>
            <w:r w:rsidRPr="005F13E9">
              <w:rPr>
                <w:rFonts w:cs="Arial"/>
                <w:b/>
                <w:bCs/>
                <w:sz w:val="20"/>
                <w:szCs w:val="20"/>
              </w:rPr>
              <w:t>Actioned (Tick)</w:t>
            </w:r>
          </w:p>
        </w:tc>
      </w:tr>
      <w:tr w:rsidR="00E74238" w14:paraId="37F35210" w14:textId="77777777" w:rsidTr="00E74238">
        <w:tc>
          <w:tcPr>
            <w:tcW w:w="8138" w:type="dxa"/>
          </w:tcPr>
          <w:p w14:paraId="5FDD8C5D" w14:textId="77777777" w:rsidR="00E74238" w:rsidRPr="0077056B" w:rsidRDefault="00E74238" w:rsidP="00F12DF6">
            <w:pPr>
              <w:rPr>
                <w:rFonts w:cs="Arial"/>
              </w:rPr>
            </w:pPr>
            <w:r w:rsidRPr="0077056B">
              <w:rPr>
                <w:rFonts w:cs="Arial"/>
              </w:rPr>
              <w:t>Flexible Working: Offer flexible work hours or shifts to accommodate employees’ diverse needs, including religious practices, caregiving responsibilities, or health issues.</w:t>
            </w:r>
          </w:p>
        </w:tc>
        <w:tc>
          <w:tcPr>
            <w:tcW w:w="1643" w:type="dxa"/>
          </w:tcPr>
          <w:p w14:paraId="515EABD8" w14:textId="77777777" w:rsidR="00E74238" w:rsidRDefault="00E74238" w:rsidP="00F12DF6">
            <w:pPr>
              <w:rPr>
                <w:rFonts w:cs="Arial"/>
                <w:b/>
                <w:bCs/>
              </w:rPr>
            </w:pPr>
          </w:p>
        </w:tc>
      </w:tr>
      <w:tr w:rsidR="00E74238" w14:paraId="4D62B9F3" w14:textId="77777777" w:rsidTr="00E74238">
        <w:tc>
          <w:tcPr>
            <w:tcW w:w="8138" w:type="dxa"/>
          </w:tcPr>
          <w:p w14:paraId="0CA00C6D" w14:textId="77777777" w:rsidR="00E74238" w:rsidRPr="0077056B" w:rsidRDefault="00E74238" w:rsidP="00F12DF6">
            <w:pPr>
              <w:rPr>
                <w:rFonts w:cs="Arial"/>
              </w:rPr>
            </w:pPr>
            <w:r w:rsidRPr="0077056B">
              <w:rPr>
                <w:rFonts w:cs="Arial"/>
              </w:rPr>
              <w:t>Religious and Cultural Accommodations: Respect religious observances (e.g., prayer times, fasting) and cultural holidays, allowing employees to take time off or adjust schedules as needed.</w:t>
            </w:r>
          </w:p>
        </w:tc>
        <w:tc>
          <w:tcPr>
            <w:tcW w:w="1643" w:type="dxa"/>
          </w:tcPr>
          <w:p w14:paraId="7309788D" w14:textId="77777777" w:rsidR="00E74238" w:rsidRDefault="00E74238" w:rsidP="00F12DF6">
            <w:pPr>
              <w:rPr>
                <w:rFonts w:cs="Arial"/>
                <w:b/>
                <w:bCs/>
              </w:rPr>
            </w:pPr>
          </w:p>
        </w:tc>
      </w:tr>
      <w:tr w:rsidR="00E74238" w14:paraId="5E7207EE" w14:textId="77777777" w:rsidTr="00E74238">
        <w:tc>
          <w:tcPr>
            <w:tcW w:w="8138" w:type="dxa"/>
          </w:tcPr>
          <w:p w14:paraId="5F847B83" w14:textId="77777777" w:rsidR="00E74238" w:rsidRPr="0077056B" w:rsidRDefault="00E74238" w:rsidP="00F12DF6">
            <w:pPr>
              <w:rPr>
                <w:rFonts w:cs="Arial"/>
              </w:rPr>
            </w:pPr>
            <w:r w:rsidRPr="0077056B">
              <w:rPr>
                <w:rFonts w:cs="Arial"/>
              </w:rPr>
              <w:t>Ensure workplace accommodations are available for employees with disabilities, including physical, sensory, neurodivergence or mental health conditions.</w:t>
            </w:r>
          </w:p>
        </w:tc>
        <w:tc>
          <w:tcPr>
            <w:tcW w:w="1643" w:type="dxa"/>
          </w:tcPr>
          <w:p w14:paraId="7883416E" w14:textId="77777777" w:rsidR="00E74238" w:rsidRDefault="00E74238" w:rsidP="00F12DF6">
            <w:pPr>
              <w:rPr>
                <w:rFonts w:cs="Arial"/>
                <w:b/>
                <w:bCs/>
              </w:rPr>
            </w:pPr>
          </w:p>
        </w:tc>
      </w:tr>
    </w:tbl>
    <w:p w14:paraId="57A70FC0" w14:textId="77777777" w:rsidR="00E74238" w:rsidRDefault="00E74238" w:rsidP="007F5DED">
      <w:pPr>
        <w:sectPr w:rsidR="00E74238" w:rsidSect="001D1247">
          <w:footerReference w:type="default" r:id="rId29"/>
          <w:type w:val="continuous"/>
          <w:pgSz w:w="11906" w:h="16838"/>
          <w:pgMar w:top="1021" w:right="1021" w:bottom="1021" w:left="1021" w:header="454" w:footer="556" w:gutter="0"/>
          <w:cols w:space="708"/>
          <w:titlePg/>
          <w:docGrid w:linePitch="360"/>
        </w:sectPr>
      </w:pPr>
    </w:p>
    <w:p w14:paraId="3F140DDE" w14:textId="77777777" w:rsidR="00E74238" w:rsidRDefault="00E74238" w:rsidP="00E74238">
      <w:pPr>
        <w:pStyle w:val="h2numbered"/>
      </w:pPr>
      <w:r>
        <w:lastRenderedPageBreak/>
        <w:t xml:space="preserve">Inclusive Pharmacy Practice (IPP) Smart Action Plan </w:t>
      </w:r>
    </w:p>
    <w:tbl>
      <w:tblPr>
        <w:tblStyle w:val="TableGrid"/>
        <w:tblpPr w:leftFromText="180" w:rightFromText="180" w:vertAnchor="page" w:horzAnchor="margin" w:tblpY="2836"/>
        <w:tblW w:w="14846" w:type="dxa"/>
        <w:tblLook w:val="04A0" w:firstRow="1" w:lastRow="0" w:firstColumn="1" w:lastColumn="0" w:noHBand="0" w:noVBand="1"/>
      </w:tblPr>
      <w:tblGrid>
        <w:gridCol w:w="2588"/>
        <w:gridCol w:w="2450"/>
        <w:gridCol w:w="2452"/>
        <w:gridCol w:w="2452"/>
        <w:gridCol w:w="2452"/>
        <w:gridCol w:w="2452"/>
      </w:tblGrid>
      <w:tr w:rsidR="00E74238" w:rsidRPr="0090550E" w14:paraId="47386D60" w14:textId="77777777" w:rsidTr="00E74238">
        <w:trPr>
          <w:trHeight w:val="183"/>
        </w:trPr>
        <w:tc>
          <w:tcPr>
            <w:tcW w:w="2588" w:type="dxa"/>
          </w:tcPr>
          <w:p w14:paraId="7F64E4AC" w14:textId="77777777" w:rsidR="00E74238" w:rsidRPr="00E74238" w:rsidRDefault="00E74238" w:rsidP="00E74238">
            <w:pPr>
              <w:pStyle w:val="NoSpacing"/>
              <w:rPr>
                <w:b/>
                <w:bCs/>
              </w:rPr>
            </w:pPr>
            <w:bookmarkStart w:id="3" w:name="_Hlk190099118"/>
            <w:r w:rsidRPr="00E74238">
              <w:rPr>
                <w:b/>
                <w:bCs/>
              </w:rPr>
              <w:t>Action</w:t>
            </w:r>
          </w:p>
        </w:tc>
        <w:tc>
          <w:tcPr>
            <w:tcW w:w="2450" w:type="dxa"/>
          </w:tcPr>
          <w:p w14:paraId="5CA59152" w14:textId="77777777" w:rsidR="00E74238" w:rsidRPr="0090550E" w:rsidRDefault="00E74238" w:rsidP="00E74238">
            <w:pPr>
              <w:pStyle w:val="NoSpacing"/>
              <w:rPr>
                <w:rFonts w:ascii="Arial" w:hAnsi="Arial" w:cs="Arial"/>
                <w:b/>
                <w:bCs/>
              </w:rPr>
            </w:pPr>
            <w:r w:rsidRPr="0090550E">
              <w:rPr>
                <w:rFonts w:ascii="Arial" w:hAnsi="Arial" w:cs="Arial"/>
                <w:b/>
                <w:bCs/>
              </w:rPr>
              <w:t>Specific</w:t>
            </w:r>
          </w:p>
        </w:tc>
        <w:tc>
          <w:tcPr>
            <w:tcW w:w="2452" w:type="dxa"/>
          </w:tcPr>
          <w:p w14:paraId="56C4D3ED" w14:textId="77777777" w:rsidR="00E74238" w:rsidRPr="0090550E" w:rsidRDefault="00E74238" w:rsidP="00E74238">
            <w:pPr>
              <w:pStyle w:val="NoSpacing"/>
              <w:rPr>
                <w:rFonts w:ascii="Arial" w:hAnsi="Arial" w:cs="Arial"/>
                <w:b/>
                <w:bCs/>
              </w:rPr>
            </w:pPr>
            <w:r w:rsidRPr="0090550E">
              <w:rPr>
                <w:rFonts w:ascii="Arial" w:hAnsi="Arial" w:cs="Arial"/>
                <w:b/>
                <w:bCs/>
              </w:rPr>
              <w:t>Measurable</w:t>
            </w:r>
          </w:p>
        </w:tc>
        <w:tc>
          <w:tcPr>
            <w:tcW w:w="2452" w:type="dxa"/>
          </w:tcPr>
          <w:p w14:paraId="5802FC78" w14:textId="77777777" w:rsidR="00E74238" w:rsidRPr="0090550E" w:rsidRDefault="00E74238" w:rsidP="00E74238">
            <w:pPr>
              <w:pStyle w:val="NoSpacing"/>
              <w:rPr>
                <w:rFonts w:ascii="Arial" w:hAnsi="Arial" w:cs="Arial"/>
                <w:b/>
                <w:bCs/>
              </w:rPr>
            </w:pPr>
            <w:r w:rsidRPr="0090550E">
              <w:rPr>
                <w:rFonts w:ascii="Arial" w:hAnsi="Arial" w:cs="Arial"/>
                <w:b/>
                <w:bCs/>
              </w:rPr>
              <w:t>Achievable</w:t>
            </w:r>
          </w:p>
        </w:tc>
        <w:tc>
          <w:tcPr>
            <w:tcW w:w="2452" w:type="dxa"/>
          </w:tcPr>
          <w:p w14:paraId="059C6B7A" w14:textId="77777777" w:rsidR="00E74238" w:rsidRPr="0090550E" w:rsidRDefault="00E74238" w:rsidP="00E74238">
            <w:pPr>
              <w:pStyle w:val="NoSpacing"/>
              <w:rPr>
                <w:rFonts w:ascii="Arial" w:hAnsi="Arial" w:cs="Arial"/>
                <w:b/>
                <w:bCs/>
              </w:rPr>
            </w:pPr>
            <w:r w:rsidRPr="0090550E">
              <w:rPr>
                <w:rFonts w:ascii="Arial" w:hAnsi="Arial" w:cs="Arial"/>
                <w:b/>
                <w:bCs/>
              </w:rPr>
              <w:t xml:space="preserve">Relevant </w:t>
            </w:r>
          </w:p>
        </w:tc>
        <w:tc>
          <w:tcPr>
            <w:tcW w:w="2452" w:type="dxa"/>
          </w:tcPr>
          <w:p w14:paraId="5CD3DFAA" w14:textId="77777777" w:rsidR="00E74238" w:rsidRPr="0090550E" w:rsidRDefault="00E74238" w:rsidP="00E74238">
            <w:pPr>
              <w:pStyle w:val="NoSpacing"/>
              <w:rPr>
                <w:rFonts w:ascii="Arial" w:hAnsi="Arial" w:cs="Arial"/>
                <w:b/>
                <w:bCs/>
              </w:rPr>
            </w:pPr>
            <w:r w:rsidRPr="0090550E">
              <w:rPr>
                <w:rFonts w:ascii="Arial" w:hAnsi="Arial" w:cs="Arial"/>
                <w:b/>
                <w:bCs/>
              </w:rPr>
              <w:t>Time-Bound</w:t>
            </w:r>
          </w:p>
        </w:tc>
      </w:tr>
      <w:tr w:rsidR="00E74238" w:rsidRPr="0090550E" w14:paraId="0465D796" w14:textId="77777777" w:rsidTr="00E74238">
        <w:trPr>
          <w:trHeight w:val="1453"/>
        </w:trPr>
        <w:tc>
          <w:tcPr>
            <w:tcW w:w="2588" w:type="dxa"/>
          </w:tcPr>
          <w:p w14:paraId="5AC8D5F0" w14:textId="77777777" w:rsidR="00E74238" w:rsidRPr="0090550E" w:rsidRDefault="00E74238" w:rsidP="00E74238">
            <w:pPr>
              <w:pStyle w:val="NoSpacing"/>
              <w:rPr>
                <w:rFonts w:ascii="Arial" w:hAnsi="Arial" w:cs="Arial"/>
                <w:b/>
                <w:bCs/>
              </w:rPr>
            </w:pPr>
            <w:r w:rsidRPr="0090550E">
              <w:rPr>
                <w:rFonts w:ascii="Arial" w:hAnsi="Arial" w:cs="Arial"/>
                <w:b/>
                <w:bCs/>
              </w:rPr>
              <w:t xml:space="preserve">Example: </w:t>
            </w:r>
            <w:r w:rsidRPr="00E74238">
              <w:rPr>
                <w:rFonts w:ascii="Arial" w:hAnsi="Arial" w:cs="Arial"/>
              </w:rPr>
              <w:t xml:space="preserve">Implement CPPE (for all pharmacy </w:t>
            </w:r>
            <w:proofErr w:type="gramStart"/>
            <w:r w:rsidRPr="00E74238">
              <w:rPr>
                <w:rFonts w:ascii="Arial" w:hAnsi="Arial" w:cs="Arial"/>
              </w:rPr>
              <w:t>professionals)   Cultural  Competency</w:t>
            </w:r>
            <w:proofErr w:type="gramEnd"/>
            <w:r w:rsidRPr="00E74238">
              <w:rPr>
                <w:rFonts w:ascii="Arial" w:hAnsi="Arial" w:cs="Arial"/>
              </w:rPr>
              <w:t xml:space="preserve"> Training</w:t>
            </w:r>
          </w:p>
        </w:tc>
        <w:tc>
          <w:tcPr>
            <w:tcW w:w="2450" w:type="dxa"/>
          </w:tcPr>
          <w:p w14:paraId="65C43EC3" w14:textId="77777777" w:rsidR="00E74238" w:rsidRPr="0090550E" w:rsidRDefault="00E74238" w:rsidP="00E74238">
            <w:pPr>
              <w:pStyle w:val="NoSpacing"/>
              <w:rPr>
                <w:rFonts w:ascii="Arial" w:hAnsi="Arial" w:cs="Arial"/>
              </w:rPr>
            </w:pPr>
            <w:r w:rsidRPr="0090550E">
              <w:rPr>
                <w:rFonts w:ascii="Arial" w:hAnsi="Arial" w:cs="Arial"/>
              </w:rPr>
              <w:t>Develop and deliver training on cultural competency for pharmacy staff.</w:t>
            </w:r>
          </w:p>
        </w:tc>
        <w:tc>
          <w:tcPr>
            <w:tcW w:w="2452" w:type="dxa"/>
          </w:tcPr>
          <w:p w14:paraId="34A8B23B" w14:textId="77777777" w:rsidR="00E74238" w:rsidRPr="0090550E" w:rsidRDefault="00E74238" w:rsidP="00E74238">
            <w:pPr>
              <w:pStyle w:val="NoSpacing"/>
              <w:rPr>
                <w:rFonts w:ascii="Arial" w:hAnsi="Arial" w:cs="Arial"/>
              </w:rPr>
            </w:pPr>
            <w:r w:rsidRPr="0090550E">
              <w:rPr>
                <w:rFonts w:ascii="Arial" w:hAnsi="Arial" w:cs="Arial"/>
              </w:rPr>
              <w:t>At least 90% of staff complete the training</w:t>
            </w:r>
          </w:p>
        </w:tc>
        <w:tc>
          <w:tcPr>
            <w:tcW w:w="2452" w:type="dxa"/>
          </w:tcPr>
          <w:p w14:paraId="46CA50C8" w14:textId="77777777" w:rsidR="00E74238" w:rsidRPr="0090550E" w:rsidRDefault="00E74238" w:rsidP="00E74238">
            <w:pPr>
              <w:pStyle w:val="NoSpacing"/>
              <w:rPr>
                <w:rFonts w:ascii="Arial" w:hAnsi="Arial" w:cs="Arial"/>
              </w:rPr>
            </w:pPr>
            <w:r>
              <w:rPr>
                <w:rFonts w:ascii="Arial" w:hAnsi="Arial" w:cs="Arial"/>
              </w:rPr>
              <w:t>P</w:t>
            </w:r>
            <w:r w:rsidRPr="0090550E">
              <w:rPr>
                <w:rFonts w:ascii="Arial" w:hAnsi="Arial" w:cs="Arial"/>
              </w:rPr>
              <w:t>artner with EDI experts and pharmacy bodies to facilitate training.</w:t>
            </w:r>
          </w:p>
        </w:tc>
        <w:tc>
          <w:tcPr>
            <w:tcW w:w="2452" w:type="dxa"/>
          </w:tcPr>
          <w:p w14:paraId="5A89F035" w14:textId="77777777" w:rsidR="00E74238" w:rsidRPr="0090550E" w:rsidRDefault="00E74238" w:rsidP="00E74238">
            <w:pPr>
              <w:pStyle w:val="NoSpacing"/>
              <w:rPr>
                <w:rFonts w:ascii="Arial" w:hAnsi="Arial" w:cs="Arial"/>
              </w:rPr>
            </w:pPr>
            <w:r w:rsidRPr="0090550E">
              <w:rPr>
                <w:rFonts w:ascii="Arial" w:hAnsi="Arial" w:cs="Arial"/>
              </w:rPr>
              <w:t>Ensures staff understand and address health inequalities.</w:t>
            </w:r>
          </w:p>
        </w:tc>
        <w:tc>
          <w:tcPr>
            <w:tcW w:w="2452" w:type="dxa"/>
          </w:tcPr>
          <w:p w14:paraId="78D0FC24" w14:textId="77777777" w:rsidR="00E74238" w:rsidRPr="0090550E" w:rsidRDefault="00E74238" w:rsidP="00E74238">
            <w:pPr>
              <w:pStyle w:val="NoSpacing"/>
              <w:rPr>
                <w:rFonts w:ascii="Arial" w:hAnsi="Arial" w:cs="Arial"/>
              </w:rPr>
            </w:pPr>
            <w:r w:rsidRPr="0090550E">
              <w:rPr>
                <w:rFonts w:ascii="Arial" w:hAnsi="Arial" w:cs="Arial"/>
              </w:rPr>
              <w:t>Launch within 3 months and review impact annually.</w:t>
            </w:r>
          </w:p>
        </w:tc>
      </w:tr>
      <w:bookmarkEnd w:id="3"/>
    </w:tbl>
    <w:p w14:paraId="520C3530" w14:textId="77777777" w:rsidR="00E74238" w:rsidRDefault="00E74238" w:rsidP="00E74238">
      <w:pPr>
        <w:rPr>
          <w:rFonts w:cs="Arial"/>
          <w:b/>
          <w:bCs/>
        </w:rPr>
      </w:pPr>
    </w:p>
    <w:tbl>
      <w:tblPr>
        <w:tblStyle w:val="TableGrid"/>
        <w:tblpPr w:leftFromText="180" w:rightFromText="180" w:vertAnchor="page" w:horzAnchor="margin" w:tblpY="5356"/>
        <w:tblW w:w="0" w:type="auto"/>
        <w:tblLook w:val="04A0" w:firstRow="1" w:lastRow="0" w:firstColumn="1" w:lastColumn="0" w:noHBand="0" w:noVBand="1"/>
      </w:tblPr>
      <w:tblGrid>
        <w:gridCol w:w="2415"/>
        <w:gridCol w:w="2461"/>
        <w:gridCol w:w="2593"/>
        <w:gridCol w:w="2583"/>
        <w:gridCol w:w="2490"/>
        <w:gridCol w:w="2244"/>
      </w:tblGrid>
      <w:tr w:rsidR="00446130" w14:paraId="2B4C5E0D" w14:textId="77777777" w:rsidTr="00446130">
        <w:tc>
          <w:tcPr>
            <w:tcW w:w="2415" w:type="dxa"/>
          </w:tcPr>
          <w:p w14:paraId="396145E9" w14:textId="77777777" w:rsidR="00446130" w:rsidRPr="00E74238" w:rsidRDefault="00446130" w:rsidP="00446130">
            <w:pPr>
              <w:rPr>
                <w:b/>
                <w:bCs/>
                <w:sz w:val="22"/>
                <w:szCs w:val="22"/>
              </w:rPr>
            </w:pPr>
            <w:r w:rsidRPr="00E74238">
              <w:rPr>
                <w:b/>
                <w:bCs/>
                <w:sz w:val="22"/>
                <w:szCs w:val="22"/>
              </w:rPr>
              <w:t>Action</w:t>
            </w:r>
          </w:p>
        </w:tc>
        <w:tc>
          <w:tcPr>
            <w:tcW w:w="2461" w:type="dxa"/>
          </w:tcPr>
          <w:p w14:paraId="63C3BC75" w14:textId="77777777" w:rsidR="00446130" w:rsidRPr="00E74238" w:rsidRDefault="00446130" w:rsidP="00446130">
            <w:pPr>
              <w:rPr>
                <w:b/>
                <w:bCs/>
                <w:sz w:val="22"/>
                <w:szCs w:val="22"/>
              </w:rPr>
            </w:pPr>
            <w:r w:rsidRPr="00E74238">
              <w:rPr>
                <w:b/>
                <w:bCs/>
                <w:sz w:val="22"/>
                <w:szCs w:val="22"/>
              </w:rPr>
              <w:t>Specific</w:t>
            </w:r>
          </w:p>
        </w:tc>
        <w:tc>
          <w:tcPr>
            <w:tcW w:w="2593" w:type="dxa"/>
          </w:tcPr>
          <w:p w14:paraId="6721B2E9" w14:textId="77777777" w:rsidR="00446130" w:rsidRPr="00E74238" w:rsidRDefault="00446130" w:rsidP="00446130">
            <w:pPr>
              <w:rPr>
                <w:b/>
                <w:bCs/>
                <w:sz w:val="22"/>
                <w:szCs w:val="22"/>
              </w:rPr>
            </w:pPr>
            <w:r w:rsidRPr="00E74238">
              <w:rPr>
                <w:b/>
                <w:bCs/>
                <w:sz w:val="22"/>
                <w:szCs w:val="22"/>
              </w:rPr>
              <w:t xml:space="preserve">Measurable </w:t>
            </w:r>
          </w:p>
        </w:tc>
        <w:tc>
          <w:tcPr>
            <w:tcW w:w="2583" w:type="dxa"/>
          </w:tcPr>
          <w:p w14:paraId="12D98FC1" w14:textId="77777777" w:rsidR="00446130" w:rsidRPr="00E74238" w:rsidRDefault="00446130" w:rsidP="00446130">
            <w:pPr>
              <w:rPr>
                <w:b/>
                <w:bCs/>
                <w:sz w:val="22"/>
                <w:szCs w:val="22"/>
              </w:rPr>
            </w:pPr>
            <w:r w:rsidRPr="00E74238">
              <w:rPr>
                <w:b/>
                <w:bCs/>
                <w:sz w:val="22"/>
                <w:szCs w:val="22"/>
              </w:rPr>
              <w:t xml:space="preserve">Achievable </w:t>
            </w:r>
          </w:p>
        </w:tc>
        <w:tc>
          <w:tcPr>
            <w:tcW w:w="2490" w:type="dxa"/>
          </w:tcPr>
          <w:p w14:paraId="3F6CA34C" w14:textId="77777777" w:rsidR="00446130" w:rsidRPr="00E74238" w:rsidRDefault="00446130" w:rsidP="00446130">
            <w:pPr>
              <w:rPr>
                <w:b/>
                <w:bCs/>
                <w:sz w:val="22"/>
                <w:szCs w:val="22"/>
              </w:rPr>
            </w:pPr>
            <w:r w:rsidRPr="00E74238">
              <w:rPr>
                <w:b/>
                <w:bCs/>
                <w:sz w:val="22"/>
                <w:szCs w:val="22"/>
              </w:rPr>
              <w:t>Relevant</w:t>
            </w:r>
          </w:p>
        </w:tc>
        <w:tc>
          <w:tcPr>
            <w:tcW w:w="2244" w:type="dxa"/>
          </w:tcPr>
          <w:p w14:paraId="45C17FB0" w14:textId="77777777" w:rsidR="00446130" w:rsidRPr="00E74238" w:rsidRDefault="00446130" w:rsidP="00446130">
            <w:pPr>
              <w:rPr>
                <w:b/>
                <w:bCs/>
                <w:sz w:val="22"/>
                <w:szCs w:val="22"/>
              </w:rPr>
            </w:pPr>
            <w:r w:rsidRPr="00E74238">
              <w:rPr>
                <w:b/>
                <w:bCs/>
                <w:sz w:val="22"/>
                <w:szCs w:val="22"/>
              </w:rPr>
              <w:t xml:space="preserve">Time-Bound </w:t>
            </w:r>
          </w:p>
        </w:tc>
      </w:tr>
      <w:tr w:rsidR="00446130" w14:paraId="365FAE93" w14:textId="77777777" w:rsidTr="00446130">
        <w:tc>
          <w:tcPr>
            <w:tcW w:w="2415" w:type="dxa"/>
          </w:tcPr>
          <w:p w14:paraId="2BC0EDC5" w14:textId="77777777" w:rsidR="00446130" w:rsidRDefault="00446130" w:rsidP="00446130"/>
        </w:tc>
        <w:tc>
          <w:tcPr>
            <w:tcW w:w="2461" w:type="dxa"/>
          </w:tcPr>
          <w:p w14:paraId="236E5843" w14:textId="77777777" w:rsidR="00446130" w:rsidRDefault="00446130" w:rsidP="00446130"/>
        </w:tc>
        <w:tc>
          <w:tcPr>
            <w:tcW w:w="2593" w:type="dxa"/>
          </w:tcPr>
          <w:p w14:paraId="5B3CD6EF" w14:textId="77777777" w:rsidR="00446130" w:rsidRDefault="00446130" w:rsidP="00446130"/>
        </w:tc>
        <w:tc>
          <w:tcPr>
            <w:tcW w:w="2583" w:type="dxa"/>
          </w:tcPr>
          <w:p w14:paraId="480E6B6F" w14:textId="77777777" w:rsidR="00446130" w:rsidRDefault="00446130" w:rsidP="00446130"/>
        </w:tc>
        <w:tc>
          <w:tcPr>
            <w:tcW w:w="2490" w:type="dxa"/>
          </w:tcPr>
          <w:p w14:paraId="6C3C6EA4" w14:textId="77777777" w:rsidR="00446130" w:rsidRDefault="00446130" w:rsidP="00446130"/>
        </w:tc>
        <w:tc>
          <w:tcPr>
            <w:tcW w:w="2244" w:type="dxa"/>
          </w:tcPr>
          <w:p w14:paraId="656D8A4E" w14:textId="77777777" w:rsidR="00446130" w:rsidRDefault="00446130" w:rsidP="00446130"/>
        </w:tc>
      </w:tr>
      <w:tr w:rsidR="00446130" w14:paraId="0360CDB7" w14:textId="77777777" w:rsidTr="00446130">
        <w:tc>
          <w:tcPr>
            <w:tcW w:w="2415" w:type="dxa"/>
          </w:tcPr>
          <w:p w14:paraId="0FB907E2" w14:textId="77777777" w:rsidR="00446130" w:rsidRDefault="00446130" w:rsidP="00446130"/>
        </w:tc>
        <w:tc>
          <w:tcPr>
            <w:tcW w:w="2461" w:type="dxa"/>
          </w:tcPr>
          <w:p w14:paraId="487031B5" w14:textId="77777777" w:rsidR="00446130" w:rsidRDefault="00446130" w:rsidP="00446130"/>
        </w:tc>
        <w:tc>
          <w:tcPr>
            <w:tcW w:w="2593" w:type="dxa"/>
          </w:tcPr>
          <w:p w14:paraId="132FC6F8" w14:textId="77777777" w:rsidR="00446130" w:rsidRDefault="00446130" w:rsidP="00446130"/>
        </w:tc>
        <w:tc>
          <w:tcPr>
            <w:tcW w:w="2583" w:type="dxa"/>
          </w:tcPr>
          <w:p w14:paraId="2AF0E63F" w14:textId="77777777" w:rsidR="00446130" w:rsidRDefault="00446130" w:rsidP="00446130"/>
        </w:tc>
        <w:tc>
          <w:tcPr>
            <w:tcW w:w="2490" w:type="dxa"/>
          </w:tcPr>
          <w:p w14:paraId="76BDC3AB" w14:textId="77777777" w:rsidR="00446130" w:rsidRDefault="00446130" w:rsidP="00446130"/>
        </w:tc>
        <w:tc>
          <w:tcPr>
            <w:tcW w:w="2244" w:type="dxa"/>
          </w:tcPr>
          <w:p w14:paraId="69086D95" w14:textId="77777777" w:rsidR="00446130" w:rsidRDefault="00446130" w:rsidP="00446130"/>
        </w:tc>
      </w:tr>
      <w:tr w:rsidR="00446130" w14:paraId="1C62733D" w14:textId="77777777" w:rsidTr="00446130">
        <w:tc>
          <w:tcPr>
            <w:tcW w:w="2415" w:type="dxa"/>
          </w:tcPr>
          <w:p w14:paraId="33C09E21" w14:textId="77777777" w:rsidR="00446130" w:rsidRDefault="00446130" w:rsidP="00446130"/>
        </w:tc>
        <w:tc>
          <w:tcPr>
            <w:tcW w:w="2461" w:type="dxa"/>
          </w:tcPr>
          <w:p w14:paraId="7F7F17C0" w14:textId="77777777" w:rsidR="00446130" w:rsidRDefault="00446130" w:rsidP="00446130"/>
        </w:tc>
        <w:tc>
          <w:tcPr>
            <w:tcW w:w="2593" w:type="dxa"/>
          </w:tcPr>
          <w:p w14:paraId="49BF10B1" w14:textId="77777777" w:rsidR="00446130" w:rsidRDefault="00446130" w:rsidP="00446130"/>
        </w:tc>
        <w:tc>
          <w:tcPr>
            <w:tcW w:w="2583" w:type="dxa"/>
          </w:tcPr>
          <w:p w14:paraId="41F03E87" w14:textId="77777777" w:rsidR="00446130" w:rsidRDefault="00446130" w:rsidP="00446130"/>
        </w:tc>
        <w:tc>
          <w:tcPr>
            <w:tcW w:w="2490" w:type="dxa"/>
          </w:tcPr>
          <w:p w14:paraId="389B8DEC" w14:textId="77777777" w:rsidR="00446130" w:rsidRDefault="00446130" w:rsidP="00446130"/>
        </w:tc>
        <w:tc>
          <w:tcPr>
            <w:tcW w:w="2244" w:type="dxa"/>
          </w:tcPr>
          <w:p w14:paraId="42A05826" w14:textId="77777777" w:rsidR="00446130" w:rsidRDefault="00446130" w:rsidP="00446130"/>
        </w:tc>
      </w:tr>
      <w:tr w:rsidR="00446130" w14:paraId="21085DFD" w14:textId="77777777" w:rsidTr="00446130">
        <w:tc>
          <w:tcPr>
            <w:tcW w:w="2415" w:type="dxa"/>
          </w:tcPr>
          <w:p w14:paraId="07EB9EF0" w14:textId="77777777" w:rsidR="00446130" w:rsidRDefault="00446130" w:rsidP="00446130"/>
        </w:tc>
        <w:tc>
          <w:tcPr>
            <w:tcW w:w="2461" w:type="dxa"/>
          </w:tcPr>
          <w:p w14:paraId="753D245E" w14:textId="77777777" w:rsidR="00446130" w:rsidRDefault="00446130" w:rsidP="00446130"/>
        </w:tc>
        <w:tc>
          <w:tcPr>
            <w:tcW w:w="2593" w:type="dxa"/>
          </w:tcPr>
          <w:p w14:paraId="45A9196B" w14:textId="77777777" w:rsidR="00446130" w:rsidRDefault="00446130" w:rsidP="00446130"/>
        </w:tc>
        <w:tc>
          <w:tcPr>
            <w:tcW w:w="2583" w:type="dxa"/>
          </w:tcPr>
          <w:p w14:paraId="0340EDAC" w14:textId="77777777" w:rsidR="00446130" w:rsidRDefault="00446130" w:rsidP="00446130"/>
        </w:tc>
        <w:tc>
          <w:tcPr>
            <w:tcW w:w="2490" w:type="dxa"/>
          </w:tcPr>
          <w:p w14:paraId="6CEAA41E" w14:textId="77777777" w:rsidR="00446130" w:rsidRDefault="00446130" w:rsidP="00446130"/>
        </w:tc>
        <w:tc>
          <w:tcPr>
            <w:tcW w:w="2244" w:type="dxa"/>
          </w:tcPr>
          <w:p w14:paraId="00A6FB6E" w14:textId="77777777" w:rsidR="00446130" w:rsidRDefault="00446130" w:rsidP="00446130"/>
        </w:tc>
      </w:tr>
      <w:tr w:rsidR="00446130" w14:paraId="27B1F412" w14:textId="77777777" w:rsidTr="00446130">
        <w:tc>
          <w:tcPr>
            <w:tcW w:w="2415" w:type="dxa"/>
          </w:tcPr>
          <w:p w14:paraId="590A8123" w14:textId="77777777" w:rsidR="00446130" w:rsidRDefault="00446130" w:rsidP="00446130"/>
        </w:tc>
        <w:tc>
          <w:tcPr>
            <w:tcW w:w="2461" w:type="dxa"/>
          </w:tcPr>
          <w:p w14:paraId="0308F2F9" w14:textId="77777777" w:rsidR="00446130" w:rsidRDefault="00446130" w:rsidP="00446130"/>
        </w:tc>
        <w:tc>
          <w:tcPr>
            <w:tcW w:w="2593" w:type="dxa"/>
          </w:tcPr>
          <w:p w14:paraId="095DEEC3" w14:textId="77777777" w:rsidR="00446130" w:rsidRDefault="00446130" w:rsidP="00446130"/>
        </w:tc>
        <w:tc>
          <w:tcPr>
            <w:tcW w:w="2583" w:type="dxa"/>
          </w:tcPr>
          <w:p w14:paraId="739D5A13" w14:textId="77777777" w:rsidR="00446130" w:rsidRDefault="00446130" w:rsidP="00446130"/>
        </w:tc>
        <w:tc>
          <w:tcPr>
            <w:tcW w:w="2490" w:type="dxa"/>
          </w:tcPr>
          <w:p w14:paraId="76957450" w14:textId="77777777" w:rsidR="00446130" w:rsidRDefault="00446130" w:rsidP="00446130"/>
        </w:tc>
        <w:tc>
          <w:tcPr>
            <w:tcW w:w="2244" w:type="dxa"/>
          </w:tcPr>
          <w:p w14:paraId="5E9C27DB" w14:textId="77777777" w:rsidR="00446130" w:rsidRDefault="00446130" w:rsidP="00446130"/>
        </w:tc>
      </w:tr>
    </w:tbl>
    <w:p w14:paraId="70ED2583" w14:textId="77777777" w:rsidR="00E74238" w:rsidRPr="00446130" w:rsidRDefault="00E74238" w:rsidP="00E74238">
      <w:pPr>
        <w:rPr>
          <w:rFonts w:cs="Arial"/>
        </w:rPr>
      </w:pPr>
      <w:r w:rsidRPr="00E96A57">
        <w:rPr>
          <w:rFonts w:cs="Arial"/>
          <w:b/>
          <w:bCs/>
          <w:vanish/>
        </w:rPr>
        <w:t>Top of Form</w:t>
      </w:r>
    </w:p>
    <w:bookmarkEnd w:id="0"/>
    <w:bookmarkEnd w:id="1"/>
    <w:bookmarkEnd w:id="2"/>
    <w:p w14:paraId="54C4FDA9" w14:textId="77777777" w:rsidR="00EA16A9" w:rsidRDefault="00EA16A9" w:rsidP="0019462E"/>
    <w:sectPr w:rsidR="00EA16A9" w:rsidSect="00E74238">
      <w:pgSz w:w="16838" w:h="11906" w:orient="landscape"/>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7B187" w14:textId="77777777" w:rsidR="00052143" w:rsidRDefault="00052143" w:rsidP="000C24AF">
      <w:pPr>
        <w:spacing w:after="0"/>
      </w:pPr>
      <w:r>
        <w:separator/>
      </w:r>
    </w:p>
  </w:endnote>
  <w:endnote w:type="continuationSeparator" w:id="0">
    <w:p w14:paraId="5D76313A" w14:textId="77777777" w:rsidR="00052143" w:rsidRDefault="00052143" w:rsidP="000C24AF">
      <w:pPr>
        <w:spacing w:after="0"/>
      </w:pPr>
      <w:r>
        <w:continuationSeparator/>
      </w:r>
    </w:p>
  </w:endnote>
  <w:endnote w:type="continuationNotice" w:id="1">
    <w:p w14:paraId="58195013" w14:textId="77777777" w:rsidR="00052143" w:rsidRDefault="00052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A930" w14:textId="77777777" w:rsidR="00052143" w:rsidRDefault="00052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14FF2" w14:textId="77777777" w:rsidR="00052143" w:rsidRDefault="00052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273650"/>
      <w:docPartObj>
        <w:docPartGallery w:val="Page Numbers (Bottom of Page)"/>
        <w:docPartUnique/>
      </w:docPartObj>
    </w:sdtPr>
    <w:sdtEndPr>
      <w:rPr>
        <w:color w:val="110F0F" w:themeColor="background1" w:themeShade="7F"/>
        <w:spacing w:val="60"/>
      </w:rPr>
    </w:sdtEndPr>
    <w:sdtContent>
      <w:p w14:paraId="10E08491" w14:textId="3DC5474F" w:rsidR="00052143" w:rsidRDefault="00052143">
        <w:pPr>
          <w:pStyle w:val="Footer"/>
          <w:pBdr>
            <w:top w:val="single" w:sz="4" w:space="1" w:color="1D1A1B"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110F0F" w:themeColor="background1" w:themeShade="7F"/>
            <w:spacing w:val="60"/>
          </w:rPr>
          <w:t>Page</w:t>
        </w:r>
      </w:p>
    </w:sdtContent>
  </w:sdt>
  <w:p w14:paraId="55A3F6F5" w14:textId="4D249E7A" w:rsidR="00B72132" w:rsidRPr="007F5DBC" w:rsidRDefault="00B72132">
    <w:pPr>
      <w:pStyle w:val="Foote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2D38F703" w14:textId="77777777" w:rsidR="00F64AB1" w:rsidRDefault="00F64AB1" w:rsidP="00F64AB1">
        <w:pPr>
          <w:pStyle w:val="Footer"/>
          <w:pBdr>
            <w:top w:val="single" w:sz="4" w:space="1" w:color="005EB8"/>
          </w:pBdr>
        </w:pPr>
      </w:p>
      <w:p w14:paraId="7D68F1AC" w14:textId="633D43D8" w:rsidR="00B72132" w:rsidRPr="00F64AB1" w:rsidRDefault="00F64AB1" w:rsidP="00F64AB1">
        <w:pPr>
          <w:pStyle w:val="Footer"/>
        </w:pPr>
        <w:r>
          <w:rPr>
            <w:sz w:val="24"/>
            <w:szCs w:val="3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C4247" w14:textId="77777777" w:rsidR="00052143" w:rsidRDefault="00052143" w:rsidP="000C24AF">
      <w:pPr>
        <w:spacing w:after="0"/>
      </w:pPr>
      <w:r>
        <w:separator/>
      </w:r>
    </w:p>
  </w:footnote>
  <w:footnote w:type="continuationSeparator" w:id="0">
    <w:p w14:paraId="289092B1" w14:textId="77777777" w:rsidR="00052143" w:rsidRDefault="00052143" w:rsidP="000C24AF">
      <w:pPr>
        <w:spacing w:after="0"/>
      </w:pPr>
      <w:r>
        <w:continuationSeparator/>
      </w:r>
    </w:p>
  </w:footnote>
  <w:footnote w:type="continuationNotice" w:id="1">
    <w:p w14:paraId="5337A0E6" w14:textId="77777777" w:rsidR="00052143" w:rsidRDefault="00052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05FE" w14:textId="77777777" w:rsidR="00052143" w:rsidRDefault="00052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8681" w14:textId="31C07082" w:rsidR="00F25CC7" w:rsidRPr="00B72132" w:rsidRDefault="00F25CC7"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1E36" w14:textId="3ACB59CA" w:rsidR="00B72132" w:rsidRDefault="00B72132" w:rsidP="00B72132">
    <w:pPr>
      <w:pStyle w:val="Header"/>
      <w:pBdr>
        <w:bottom w:val="none" w:sz="0" w:space="0" w:color="auto"/>
      </w:pBdr>
    </w:pPr>
  </w:p>
  <w:p w14:paraId="24ECEAA4" w14:textId="77777777" w:rsidR="00B72132" w:rsidRDefault="00B72132" w:rsidP="00B72132">
    <w:pPr>
      <w:pStyle w:val="Header"/>
      <w:pBdr>
        <w:bottom w:val="none" w:sz="0" w:space="0" w:color="auto"/>
      </w:pBdr>
    </w:pPr>
  </w:p>
  <w:p w14:paraId="2FF25425" w14:textId="77777777" w:rsidR="00B72132" w:rsidRPr="001D243C" w:rsidRDefault="00B72132" w:rsidP="00B72132">
    <w:pPr>
      <w:pStyle w:val="Header"/>
      <w:pBdr>
        <w:bottom w:val="none" w:sz="0" w:space="0" w:color="auto"/>
      </w:pBdr>
    </w:pPr>
  </w:p>
  <w:p w14:paraId="7E92DC9D"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
  </w:num>
  <w:num w:numId="3" w16cid:durableId="5709647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43"/>
    <w:rsid w:val="00000197"/>
    <w:rsid w:val="000005C7"/>
    <w:rsid w:val="00002095"/>
    <w:rsid w:val="0000416F"/>
    <w:rsid w:val="000108B8"/>
    <w:rsid w:val="0001164C"/>
    <w:rsid w:val="0003185C"/>
    <w:rsid w:val="00031FD0"/>
    <w:rsid w:val="00052143"/>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A7843"/>
    <w:rsid w:val="003B2686"/>
    <w:rsid w:val="003B6BB4"/>
    <w:rsid w:val="003D3A42"/>
    <w:rsid w:val="003D3C14"/>
    <w:rsid w:val="003F7B0C"/>
    <w:rsid w:val="00410DE9"/>
    <w:rsid w:val="00411D1D"/>
    <w:rsid w:val="00420E7F"/>
    <w:rsid w:val="00423FAF"/>
    <w:rsid w:val="00427636"/>
    <w:rsid w:val="00430131"/>
    <w:rsid w:val="00443088"/>
    <w:rsid w:val="00446130"/>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84633"/>
    <w:rsid w:val="00692041"/>
    <w:rsid w:val="00694FC4"/>
    <w:rsid w:val="006D02E8"/>
    <w:rsid w:val="006E0C21"/>
    <w:rsid w:val="006E2FE7"/>
    <w:rsid w:val="006F37F0"/>
    <w:rsid w:val="00702B4D"/>
    <w:rsid w:val="00710E40"/>
    <w:rsid w:val="0071497F"/>
    <w:rsid w:val="00723A85"/>
    <w:rsid w:val="0073429A"/>
    <w:rsid w:val="00740573"/>
    <w:rsid w:val="00753953"/>
    <w:rsid w:val="00761E45"/>
    <w:rsid w:val="00763FA3"/>
    <w:rsid w:val="007663CB"/>
    <w:rsid w:val="00776A89"/>
    <w:rsid w:val="00796E96"/>
    <w:rsid w:val="007A1D0E"/>
    <w:rsid w:val="007E4138"/>
    <w:rsid w:val="007E6C52"/>
    <w:rsid w:val="007F5954"/>
    <w:rsid w:val="007F5DBC"/>
    <w:rsid w:val="007F5DED"/>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0A92"/>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D490A"/>
    <w:rsid w:val="00CE086C"/>
    <w:rsid w:val="00CF4C68"/>
    <w:rsid w:val="00CF7DA5"/>
    <w:rsid w:val="00D2315A"/>
    <w:rsid w:val="00D356F8"/>
    <w:rsid w:val="00D50FF0"/>
    <w:rsid w:val="00D66537"/>
    <w:rsid w:val="00D92BBC"/>
    <w:rsid w:val="00D93D0D"/>
    <w:rsid w:val="00DA043E"/>
    <w:rsid w:val="00DA589B"/>
    <w:rsid w:val="00DC7A9D"/>
    <w:rsid w:val="00DD1729"/>
    <w:rsid w:val="00DD3B24"/>
    <w:rsid w:val="00DD77F0"/>
    <w:rsid w:val="00DD7C30"/>
    <w:rsid w:val="00DE3AB8"/>
    <w:rsid w:val="00DF4DBC"/>
    <w:rsid w:val="00E45C31"/>
    <w:rsid w:val="00E5122E"/>
    <w:rsid w:val="00E5704B"/>
    <w:rsid w:val="00E74238"/>
    <w:rsid w:val="00E85295"/>
    <w:rsid w:val="00EA16A9"/>
    <w:rsid w:val="00EA46DE"/>
    <w:rsid w:val="00EB1195"/>
    <w:rsid w:val="00EB4C88"/>
    <w:rsid w:val="00EB6372"/>
    <w:rsid w:val="00EC37E3"/>
    <w:rsid w:val="00EC5299"/>
    <w:rsid w:val="00ED3649"/>
    <w:rsid w:val="00EE0481"/>
    <w:rsid w:val="00F02847"/>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568A1"/>
  <w15:docId w15:val="{83942BB7-1D32-4291-B6BB-37BBDB2C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NoSpacing">
    <w:name w:val="No Spacing"/>
    <w:uiPriority w:val="1"/>
    <w:qFormat/>
    <w:rsid w:val="007F5DED"/>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orms.office.com/Pages/ResponsePage.aspx?id=slTDN7CF9UeyIge0jXdO41fWdvHVUHBEsPXqH4rvjAhUMTE1RUhJTFRSWERGWTk5VFQxMFg5R1VSTSQlQCN0PWcu" TargetMode="External"/><Relationship Id="rId26" Type="http://schemas.openxmlformats.org/officeDocument/2006/relationships/hyperlink" Target="https://nhs-my.sharepoint.com/personal/david_smith192_nhs_net/Documents/IPP/IPP%20docs%20support.docx" TargetMode="External"/><Relationship Id="rId3" Type="http://schemas.openxmlformats.org/officeDocument/2006/relationships/customXml" Target="../customXml/item3.xml"/><Relationship Id="rId21" Type="http://schemas.openxmlformats.org/officeDocument/2006/relationships/hyperlink" Target="https://www.rpharms.com/Portals/0/RPS%20document%20library/Open%20access/Campaigns/Inclusion%20and%20Wellbeing%20Pledge/Pledge%20for%20businesses.pdf?ver=ZhTGmMPh07XEhHx8ZvACRw%3D%3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eams.microsoft.com/l/message/19:meeting_YjgwOGM3NTEtZGFiMC00MTAwLTlhNGYtZTczNTcxYTNkMjM3@thread.v2/1712150915803?context=%7B%22contextType%22%3A%22chat%22%7D" TargetMode="External"/><Relationship Id="rId25" Type="http://schemas.openxmlformats.org/officeDocument/2006/relationships/hyperlink" Target="https://www.e-lfh.org.uk/programmes/cultural-competen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eadershipacademy.nhs.uk/programme-course-1-inclusive-leadership-in-health-and-car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ctivebystander.co.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gender-decoder.katmatfield.com/" TargetMode="External"/><Relationship Id="rId28" Type="http://schemas.openxmlformats.org/officeDocument/2006/relationships/hyperlink" Target="https://www.england.nhs.uk/long-read/safe-learning-environment-charter/" TargetMode="External"/><Relationship Id="rId10" Type="http://schemas.openxmlformats.org/officeDocument/2006/relationships/endnotes" Target="endnotes.xml"/><Relationship Id="rId19" Type="http://schemas.openxmlformats.org/officeDocument/2006/relationships/hyperlink" Target="https://nhssurveys.co.uk/nss/survey-informatio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ronouns.org/what-and-why" TargetMode="External"/><Relationship Id="rId27" Type="http://schemas.openxmlformats.org/officeDocument/2006/relationships/hyperlink" Target="https://www.mesmac.co.uk/"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ngus\OneDrive%20-%20NHS\Inclusive%20Pharmacy%20Practice%20Checklist%20-%20July%202025%20-%20NHS%20NE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06528CD1354D2C8FB39DAE8A33D476"/>
        <w:category>
          <w:name w:val="General"/>
          <w:gallery w:val="placeholder"/>
        </w:category>
        <w:types>
          <w:type w:val="bbPlcHdr"/>
        </w:types>
        <w:behaviors>
          <w:behavior w:val="content"/>
        </w:behaviors>
        <w:guid w:val="{E9F526DC-307A-4A52-AAA6-14ED8996B6FD}"/>
      </w:docPartPr>
      <w:docPartBody>
        <w:p w:rsidR="00734615" w:rsidRDefault="00734615">
          <w:pPr>
            <w:pStyle w:val="BC06528CD1354D2C8FB39DAE8A33D47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15"/>
    <w:rsid w:val="003A7843"/>
    <w:rsid w:val="00734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06528CD1354D2C8FB39DAE8A33D476">
    <w:name w:val="BC06528CD1354D2C8FB39DAE8A33D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220A3E5A37674DA2E7904BCD0FE21A" ma:contentTypeVersion="14" ma:contentTypeDescription="Create a new document." ma:contentTypeScope="" ma:versionID="dcca1831c94f2906ea803a3f8bde5d92">
  <xsd:schema xmlns:xsd="http://www.w3.org/2001/XMLSchema" xmlns:xs="http://www.w3.org/2001/XMLSchema" xmlns:p="http://schemas.microsoft.com/office/2006/metadata/properties" xmlns:ns1="http://schemas.microsoft.com/sharepoint/v3" xmlns:ns2="bb14b9a1-6664-44a7-bf70-a2342ca6b406" xmlns:ns3="bb0d40cd-d0e9-4a06-a3ae-14a45989b875" targetNamespace="http://schemas.microsoft.com/office/2006/metadata/properties" ma:root="true" ma:fieldsID="d5bc05982ba857901e3d3058906d9cc8" ns1:_="" ns2:_="" ns3:_="">
    <xsd:import namespace="http://schemas.microsoft.com/sharepoint/v3"/>
    <xsd:import namespace="bb14b9a1-6664-44a7-bf70-a2342ca6b406"/>
    <xsd:import namespace="bb0d40cd-d0e9-4a06-a3ae-14a45989b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4b9a1-6664-44a7-bf70-a2342ca6b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d40cd-d0e9-4a06-a3ae-14a45989b8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5393c4-e952-4ebf-9372-4796449d8616}" ma:internalName="TaxCatchAll" ma:showField="CatchAllData" ma:web="bb0d40cd-d0e9-4a06-a3ae-14a45989b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0d40cd-d0e9-4a06-a3ae-14a45989b875" xsi:nil="true"/>
    <lcf76f155ced4ddcb4097134ff3c332f xmlns="bb14b9a1-6664-44a7-bf70-a2342ca6b4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A50FCEA0-2495-4B35-8A43-9060F1E3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14b9a1-6664-44a7-bf70-a2342ca6b406"/>
    <ds:schemaRef ds:uri="bb0d40cd-d0e9-4a06-a3ae-14a45989b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bb0d40cd-d0e9-4a06-a3ae-14a45989b875"/>
    <ds:schemaRef ds:uri="bb14b9a1-6664-44a7-bf70-a2342ca6b406"/>
    <ds:schemaRef ds:uri="http://schemas.microsoft.com/sharepoint/v3"/>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Inclusive Pharmacy Practice Checklist - July 2025 - NHS NEY</Template>
  <TotalTime>2</TotalTime>
  <Pages>6</Pages>
  <Words>839</Words>
  <Characters>5551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and Yorkshire Inclusive Pharmacy Practice Checklist</dc:title>
  <dc:subject/>
  <dc:creator>Angus, Laura</dc:creator>
  <cp:keywords/>
  <cp:lastModifiedBy>ANGUS, Laura (NHS HUMBER AND NORTH YORKSHIRE ICB - 42D)</cp:lastModifiedBy>
  <cp:revision>1</cp:revision>
  <cp:lastPrinted>2016-07-14T17:27:00Z</cp:lastPrinted>
  <dcterms:created xsi:type="dcterms:W3CDTF">2025-07-23T10:52:00Z</dcterms:created>
  <dcterms:modified xsi:type="dcterms:W3CDTF">2025-07-23T10:54:00Z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0x0101001F220A3E5A37674DA2E7904BCD0FE21A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GrammarlyDocumentId">
    <vt:lpwstr>fee168c4-d5b2-402a-a9c9-a4a0c61d5199</vt:lpwstr>
  </property>
</Properties>
</file>