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EBE6" w14:textId="77777777" w:rsidR="00AF342C" w:rsidRDefault="00AF342C" w:rsidP="005228A2">
      <w:pPr>
        <w:pStyle w:val="Heading2"/>
        <w:numPr>
          <w:ilvl w:val="0"/>
          <w:numId w:val="0"/>
        </w:numPr>
        <w:ind w:left="357" w:hanging="357"/>
        <w:jc w:val="center"/>
        <w:rPr>
          <w:sz w:val="28"/>
          <w:szCs w:val="32"/>
        </w:rPr>
      </w:pPr>
    </w:p>
    <w:p w14:paraId="1A9789A2" w14:textId="2B75389F" w:rsidR="005228A2" w:rsidRPr="005228A2" w:rsidRDefault="00D5504F" w:rsidP="005228A2">
      <w:pPr>
        <w:pStyle w:val="Heading2"/>
        <w:numPr>
          <w:ilvl w:val="0"/>
          <w:numId w:val="0"/>
        </w:numPr>
        <w:ind w:left="357" w:hanging="357"/>
        <w:jc w:val="center"/>
        <w:rPr>
          <w:sz w:val="28"/>
          <w:szCs w:val="32"/>
        </w:rPr>
      </w:pPr>
      <w:r>
        <w:rPr>
          <w:sz w:val="28"/>
          <w:szCs w:val="32"/>
        </w:rPr>
        <w:t>Lithium</w:t>
      </w:r>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B864035">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73788FF6" w:rsidR="00812579" w:rsidRDefault="002014C7" w:rsidP="00BF1406">
            <w:pPr>
              <w:rPr>
                <w:rFonts w:cs="Arial"/>
              </w:rPr>
            </w:pPr>
            <w:r>
              <w:rPr>
                <w:rFonts w:cs="Arial"/>
              </w:rPr>
              <w:t>HNY V</w:t>
            </w:r>
            <w:r w:rsidR="005431B2">
              <w:rPr>
                <w:rFonts w:cs="Arial"/>
              </w:rPr>
              <w:t>1</w:t>
            </w:r>
            <w:r w:rsidR="007365A8">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5D4B1E9B" w:rsidR="00812579" w:rsidRDefault="0D1726A9" w:rsidP="00BF1406">
            <w:pPr>
              <w:rPr>
                <w:rFonts w:cs="Arial"/>
              </w:rPr>
            </w:pPr>
            <w:r w:rsidRPr="0B864035">
              <w:rPr>
                <w:rFonts w:cs="Arial"/>
              </w:rPr>
              <w:t>RDTC draft 3</w:t>
            </w:r>
          </w:p>
        </w:tc>
      </w:tr>
      <w:tr w:rsidR="00812579" w14:paraId="69C53677" w14:textId="77777777" w:rsidTr="0B864035">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2850B25D" w:rsidR="00812579" w:rsidRDefault="00744FE5" w:rsidP="00BF1406">
            <w:pPr>
              <w:rPr>
                <w:rFonts w:cs="Arial"/>
              </w:rPr>
            </w:pPr>
            <w:r>
              <w:rPr>
                <w:rFonts w:cs="Arial"/>
              </w:rPr>
              <w:t>December 2023</w:t>
            </w:r>
          </w:p>
        </w:tc>
        <w:tc>
          <w:tcPr>
            <w:tcW w:w="2447" w:type="dxa"/>
          </w:tcPr>
          <w:p w14:paraId="3D826204" w14:textId="3AD76850" w:rsidR="00812579" w:rsidRDefault="00812579" w:rsidP="00BF1406">
            <w:pPr>
              <w:rPr>
                <w:rFonts w:cs="Arial"/>
              </w:rPr>
            </w:pPr>
            <w:r>
              <w:rPr>
                <w:rFonts w:cs="Arial"/>
              </w:rPr>
              <w:t>Next review date:</w:t>
            </w:r>
          </w:p>
        </w:tc>
        <w:tc>
          <w:tcPr>
            <w:tcW w:w="2448" w:type="dxa"/>
          </w:tcPr>
          <w:p w14:paraId="112594AC" w14:textId="2B9AEDDD" w:rsidR="00812579" w:rsidRDefault="00744FE5" w:rsidP="00BF1406">
            <w:pPr>
              <w:rPr>
                <w:rFonts w:cs="Arial"/>
              </w:rPr>
            </w:pPr>
            <w:r>
              <w:rPr>
                <w:rFonts w:cs="Arial"/>
              </w:rPr>
              <w:t>December 2025</w:t>
            </w:r>
          </w:p>
        </w:tc>
      </w:tr>
    </w:tbl>
    <w:p w14:paraId="530E612C" w14:textId="77777777" w:rsidR="00BF1406" w:rsidRPr="005431B2" w:rsidRDefault="00BF1406">
      <w:pPr>
        <w:rPr>
          <w:rFonts w:cs="Arial"/>
          <w:sz w:val="16"/>
          <w:szCs w:val="16"/>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B864035">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B864035">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4D45AF95" w:rsidR="00812579" w:rsidRDefault="00505001" w:rsidP="00812579">
            <w:pPr>
              <w:rPr>
                <w:rFonts w:cs="Arial"/>
              </w:rPr>
            </w:pPr>
            <w:r>
              <w:rPr>
                <w:rFonts w:cs="Arial"/>
              </w:rPr>
              <w:t>2</w:t>
            </w:r>
            <w:r w:rsidR="00077A4C">
              <w:rPr>
                <w:rFonts w:cs="Arial"/>
              </w:rPr>
              <w:t>2</w:t>
            </w:r>
            <w:r>
              <w:rPr>
                <w:rFonts w:cs="Arial"/>
              </w:rPr>
              <w:t>/03/2024</w:t>
            </w:r>
          </w:p>
        </w:tc>
        <w:tc>
          <w:tcPr>
            <w:tcW w:w="7200" w:type="dxa"/>
          </w:tcPr>
          <w:p w14:paraId="480531FA" w14:textId="6FE00CB5" w:rsidR="00641F7D" w:rsidRDefault="00637CD5" w:rsidP="007A56FB">
            <w:pPr>
              <w:rPr>
                <w:rFonts w:cs="Arial"/>
              </w:rPr>
            </w:pPr>
            <w:r>
              <w:rPr>
                <w:rFonts w:cs="Arial"/>
              </w:rPr>
              <w:t xml:space="preserve">Hyperlinks and references updated to current versions. </w:t>
            </w:r>
          </w:p>
          <w:p w14:paraId="01547691" w14:textId="69204DB6" w:rsidR="00DA0CD2" w:rsidRDefault="00DA0CD2" w:rsidP="007A56FB">
            <w:pPr>
              <w:rPr>
                <w:rFonts w:cs="Arial"/>
              </w:rPr>
            </w:pPr>
            <w:r>
              <w:rPr>
                <w:rFonts w:cs="Arial"/>
              </w:rPr>
              <w:t>Updated information on frequency of monitoring to align with NICE NG222.</w:t>
            </w:r>
          </w:p>
          <w:p w14:paraId="640BF99D" w14:textId="710F2D17" w:rsidR="00DA0CD2" w:rsidRDefault="00DA0CD2" w:rsidP="007A56FB">
            <w:pPr>
              <w:rPr>
                <w:rFonts w:cs="Arial"/>
              </w:rPr>
            </w:pPr>
            <w:r>
              <w:rPr>
                <w:rFonts w:cs="Arial"/>
              </w:rPr>
              <w:t>Additional cautions added: drugs affecting electrolyte balance, diabetes insipidus, congenital long QT syndrome or risk factors for QT prolongation, bariatric surgery, and people who refuse monitoring or are at high risk of overdose.</w:t>
            </w:r>
          </w:p>
          <w:p w14:paraId="6E41B9A6" w14:textId="2F6CCD4F" w:rsidR="00DA0CD2" w:rsidRDefault="00DA0CD2" w:rsidP="007A56FB">
            <w:pPr>
              <w:rPr>
                <w:rFonts w:cs="Arial"/>
              </w:rPr>
            </w:pPr>
            <w:r>
              <w:rPr>
                <w:rFonts w:cs="Arial"/>
              </w:rPr>
              <w:t xml:space="preserve">Additional interactions added: effervescent analgesics, carbonic anhydrase inhibitors, dapagliflozin, empagliflozin, methyldopa. </w:t>
            </w:r>
          </w:p>
          <w:p w14:paraId="36F87864" w14:textId="67718826" w:rsidR="00637CD5" w:rsidRPr="007A56FB" w:rsidRDefault="00DA0CD2" w:rsidP="007A56FB">
            <w:pPr>
              <w:rPr>
                <w:rFonts w:cs="Arial"/>
              </w:rPr>
            </w:pPr>
            <w:r>
              <w:rPr>
                <w:rFonts w:cs="Arial"/>
              </w:rPr>
              <w:t>Additional wording throughout to reinforce safety precautions.</w:t>
            </w:r>
          </w:p>
        </w:tc>
      </w:tr>
      <w:tr w:rsidR="00812579" w14:paraId="120F2CF5" w14:textId="77777777" w:rsidTr="0B864035">
        <w:tc>
          <w:tcPr>
            <w:tcW w:w="1413" w:type="dxa"/>
          </w:tcPr>
          <w:p w14:paraId="36E8A0C3" w14:textId="4484D569" w:rsidR="00812579" w:rsidRDefault="00A27767" w:rsidP="00812579">
            <w:pPr>
              <w:rPr>
                <w:rFonts w:cs="Arial"/>
              </w:rPr>
            </w:pPr>
            <w:r>
              <w:rPr>
                <w:rFonts w:cs="Arial"/>
              </w:rPr>
              <w:t>HNY</w:t>
            </w:r>
            <w:r w:rsidR="001B475B">
              <w:rPr>
                <w:rFonts w:cs="Arial"/>
              </w:rPr>
              <w:t xml:space="preserve"> v1</w:t>
            </w:r>
            <w:r w:rsidR="00AC5DEA">
              <w:rPr>
                <w:rFonts w:cs="Arial"/>
              </w:rPr>
              <w:t>.0</w:t>
            </w:r>
          </w:p>
        </w:tc>
        <w:tc>
          <w:tcPr>
            <w:tcW w:w="1843" w:type="dxa"/>
          </w:tcPr>
          <w:p w14:paraId="156C2558" w14:textId="2558ACC2" w:rsidR="00812579" w:rsidRDefault="00156EF7" w:rsidP="00812579">
            <w:pPr>
              <w:rPr>
                <w:rFonts w:cs="Arial"/>
              </w:rPr>
            </w:pPr>
            <w:r>
              <w:rPr>
                <w:rFonts w:cs="Arial"/>
              </w:rPr>
              <w:t>August 2025</w:t>
            </w:r>
          </w:p>
        </w:tc>
        <w:tc>
          <w:tcPr>
            <w:tcW w:w="7200" w:type="dxa"/>
          </w:tcPr>
          <w:p w14:paraId="580F8F51" w14:textId="77777777" w:rsidR="00AC5DEA" w:rsidRDefault="00AC5DEA" w:rsidP="00812579">
            <w:pPr>
              <w:rPr>
                <w:rFonts w:cs="Arial"/>
              </w:rPr>
            </w:pPr>
            <w:r>
              <w:rPr>
                <w:rFonts w:cs="Arial"/>
              </w:rPr>
              <w:t>HNY logos added</w:t>
            </w:r>
          </w:p>
          <w:p w14:paraId="2DF10540" w14:textId="2C8AABD7" w:rsidR="00821B36" w:rsidRDefault="00821B36" w:rsidP="00821B36">
            <w:pPr>
              <w:rPr>
                <w:rFonts w:cs="Arial"/>
              </w:rPr>
            </w:pPr>
            <w:r w:rsidRPr="0B864035">
              <w:rPr>
                <w:rFonts w:cs="Arial"/>
              </w:rPr>
              <w:t>Section 1: Prescribing and monitoring responsibility of patients with a target lithium level &gt;1 mmol/L must not transfer to primary care</w:t>
            </w:r>
          </w:p>
          <w:p w14:paraId="49EA3EF4" w14:textId="77777777" w:rsidR="006B2380" w:rsidRDefault="00A27767" w:rsidP="006B2380">
            <w:pPr>
              <w:rPr>
                <w:rFonts w:cs="Arial"/>
              </w:rPr>
            </w:pPr>
            <w:r>
              <w:rPr>
                <w:rFonts w:cs="Arial"/>
              </w:rPr>
              <w:t>Section 4: Transfer to primary care should happen after at least 12 weeks when dose has been optimised and test results are stable for at least 12 weeks.</w:t>
            </w:r>
            <w:r w:rsidR="006B2380">
              <w:rPr>
                <w:rFonts w:cs="Arial"/>
              </w:rPr>
              <w:t xml:space="preserve"> </w:t>
            </w:r>
          </w:p>
          <w:p w14:paraId="52A31305" w14:textId="69F728EF" w:rsidR="006B2380" w:rsidRDefault="006B2380" w:rsidP="006B2380">
            <w:pPr>
              <w:rPr>
                <w:rFonts w:cs="Arial"/>
              </w:rPr>
            </w:pPr>
            <w:r>
              <w:rPr>
                <w:rFonts w:cs="Arial"/>
              </w:rPr>
              <w:t xml:space="preserve">Section 4: </w:t>
            </w:r>
            <w:r w:rsidRPr="00642F41">
              <w:rPr>
                <w:rFonts w:cs="Arial"/>
              </w:rPr>
              <w:t>To transfer from the specialist to primary care, the patient must be a) stable, i.e. the condition/indication is 'managed' appropriately, monitoring is within normal parameters, and b) the patient remains on the same dose that the specialist recommended.</w:t>
            </w:r>
          </w:p>
          <w:p w14:paraId="7F6D54AB" w14:textId="77777777" w:rsidR="00E06D0A" w:rsidRDefault="008D6C4B" w:rsidP="008D6C4B">
            <w:pPr>
              <w:rPr>
                <w:rFonts w:cs="Arial"/>
                <w:b/>
                <w:bCs/>
              </w:rPr>
            </w:pPr>
            <w:r>
              <w:rPr>
                <w:rFonts w:cs="Arial"/>
              </w:rPr>
              <w:t xml:space="preserve">Section 5: </w:t>
            </w:r>
            <w:r w:rsidR="00CD2A02">
              <w:rPr>
                <w:rFonts w:cs="Arial"/>
              </w:rPr>
              <w:t xml:space="preserve">Added </w:t>
            </w:r>
            <w:r w:rsidR="003A3AFF">
              <w:rPr>
                <w:rFonts w:cs="Arial"/>
              </w:rPr>
              <w:t xml:space="preserve">- </w:t>
            </w:r>
            <w:r w:rsidR="00E06D0A" w:rsidRPr="00E06D0A">
              <w:rPr>
                <w:rFonts w:cs="Arial"/>
              </w:rPr>
              <w:t>Prescribing and dispensing of lithium should be by brand name and formulation to avoid inadvertent switching</w:t>
            </w:r>
            <w:r w:rsidR="00E06D0A">
              <w:rPr>
                <w:rFonts w:cs="Arial"/>
                <w:b/>
                <w:bCs/>
              </w:rPr>
              <w:t>.</w:t>
            </w:r>
          </w:p>
          <w:p w14:paraId="278D535F" w14:textId="05EE594A" w:rsidR="00CC7D29" w:rsidRDefault="00CC7D29" w:rsidP="00CC7D29">
            <w:pPr>
              <w:rPr>
                <w:rFonts w:cs="Arial"/>
              </w:rPr>
            </w:pPr>
            <w:r w:rsidRPr="007B7094">
              <w:rPr>
                <w:rFonts w:cs="Arial"/>
              </w:rPr>
              <w:t>Ongoing monitoring: Added</w:t>
            </w:r>
            <w:r>
              <w:rPr>
                <w:rFonts w:cs="Arial"/>
                <w:b/>
                <w:bCs/>
              </w:rPr>
              <w:t xml:space="preserve"> - </w:t>
            </w:r>
            <w:r>
              <w:rPr>
                <w:rFonts w:cs="Arial"/>
              </w:rPr>
              <w:t>If the specialist team becomes aware that the patient does not attend for their regular monitoring:</w:t>
            </w:r>
          </w:p>
          <w:p w14:paraId="73C436AE" w14:textId="77777777" w:rsidR="00CC7D29" w:rsidRDefault="00CC7D29" w:rsidP="00CC7D29">
            <w:pPr>
              <w:rPr>
                <w:rFonts w:cs="Arial"/>
              </w:rPr>
            </w:pPr>
            <w:r>
              <w:rPr>
                <w:rFonts w:cs="Arial"/>
              </w:rPr>
              <w:t>First non-attendance – inform primary care of the actions being taken to get the patient in for their monitoring</w:t>
            </w:r>
          </w:p>
          <w:p w14:paraId="4972A2E0" w14:textId="77777777" w:rsidR="00CC7D29" w:rsidRDefault="00CC7D29" w:rsidP="00CC7D29">
            <w:pPr>
              <w:rPr>
                <w:rFonts w:cs="Arial"/>
              </w:rPr>
            </w:pPr>
            <w:r>
              <w:rPr>
                <w:rFonts w:cs="Arial"/>
              </w:rPr>
              <w:t>Second non–attendance – advise primary care to suspend the repeat prescription for lithium</w:t>
            </w:r>
          </w:p>
          <w:p w14:paraId="7826155F" w14:textId="7295D151" w:rsidR="00385BE2" w:rsidRPr="00243D8D" w:rsidRDefault="008D6C4B" w:rsidP="008D6C4B">
            <w:pPr>
              <w:rPr>
                <w:rFonts w:cs="Arial"/>
              </w:rPr>
            </w:pPr>
            <w:r w:rsidRPr="00243D8D">
              <w:rPr>
                <w:rFonts w:cs="Arial"/>
              </w:rPr>
              <w:t>At initiation of shared care, communication to primary care should include current and ongoing dose, and also that the brand and form of lithium should be specified any relevant test results, and date the next monitoring is required</w:t>
            </w:r>
            <w:r w:rsidR="00C06215">
              <w:rPr>
                <w:rFonts w:cs="Arial"/>
              </w:rPr>
              <w:t xml:space="preserve"> (</w:t>
            </w:r>
            <w:r w:rsidR="00385BE2">
              <w:rPr>
                <w:rFonts w:cs="Arial"/>
              </w:rPr>
              <w:t xml:space="preserve">see </w:t>
            </w:r>
            <w:hyperlink w:anchor="Appendix_1" w:history="1">
              <w:r w:rsidR="00385BE2" w:rsidRPr="00031541">
                <w:rPr>
                  <w:rStyle w:val="Hyperlink"/>
                  <w:rFonts w:cs="Arial"/>
                </w:rPr>
                <w:t>Appendix 1</w:t>
              </w:r>
            </w:hyperlink>
            <w:r w:rsidR="00385BE2">
              <w:rPr>
                <w:rFonts w:cs="Arial"/>
              </w:rPr>
              <w:t xml:space="preserve"> for sample letter from specialist to primary care prescriber and </w:t>
            </w:r>
            <w:hyperlink w:anchor="Appendix_2" w:history="1">
              <w:r w:rsidR="00385BE2" w:rsidRPr="006E7D1B">
                <w:rPr>
                  <w:rStyle w:val="Hyperlink"/>
                  <w:rFonts w:cs="Arial"/>
                </w:rPr>
                <w:t>Appendix 2</w:t>
              </w:r>
            </w:hyperlink>
            <w:r w:rsidR="00385BE2">
              <w:rPr>
                <w:rFonts w:cs="Arial"/>
              </w:rPr>
              <w:t xml:space="preserve"> for sample shared care agreement letter from primary care prescriber to specialist</w:t>
            </w:r>
            <w:r w:rsidR="00C06215">
              <w:rPr>
                <w:rFonts w:cs="Arial"/>
              </w:rPr>
              <w:t>)</w:t>
            </w:r>
          </w:p>
          <w:p w14:paraId="1A8A83A7" w14:textId="43EC2D65" w:rsidR="008D6C4B" w:rsidRPr="00243D8D" w:rsidRDefault="008D6C4B" w:rsidP="008D6C4B">
            <w:pPr>
              <w:rPr>
                <w:rFonts w:cs="Arial"/>
              </w:rPr>
            </w:pPr>
            <w:r w:rsidRPr="00243D8D">
              <w:rPr>
                <w:rFonts w:cs="Arial"/>
              </w:rPr>
              <w:t xml:space="preserve">The specialist will retain the responsibility for monitoring the patient’s ongoing response to </w:t>
            </w:r>
            <w:r w:rsidR="007B7094" w:rsidRPr="00243D8D">
              <w:rPr>
                <w:rFonts w:cs="Arial"/>
              </w:rPr>
              <w:t>treatment and</w:t>
            </w:r>
            <w:r w:rsidRPr="00243D8D">
              <w:rPr>
                <w:rFonts w:cs="Arial"/>
              </w:rPr>
              <w:t xml:space="preserve"> advise if a dose change or treatment cessation is appropriate. This should usually be undertaken annually.</w:t>
            </w:r>
          </w:p>
          <w:p w14:paraId="4EE94FF2" w14:textId="77777777" w:rsidR="008D6C4B" w:rsidRDefault="008D6C4B" w:rsidP="008D6C4B">
            <w:pPr>
              <w:rPr>
                <w:rFonts w:cs="Arial"/>
              </w:rPr>
            </w:pPr>
            <w:r w:rsidRPr="00243D8D">
              <w:rPr>
                <w:rFonts w:cs="Arial"/>
              </w:rPr>
              <w:lastRenderedPageBreak/>
              <w:t>When a patient is reviewed, advise primary care whether treatment should be continued, confirm the ongoing dose, and whether the ongoing monitoring outlined in section 6 remains appropriate.</w:t>
            </w:r>
          </w:p>
          <w:p w14:paraId="0CD8DE0F" w14:textId="77777777" w:rsidR="00E041A5" w:rsidRDefault="00E041A5" w:rsidP="00E041A5">
            <w:pPr>
              <w:rPr>
                <w:rFonts w:cs="Arial"/>
              </w:rPr>
            </w:pPr>
            <w:r>
              <w:rPr>
                <w:rFonts w:cs="Arial"/>
              </w:rPr>
              <w:t>Section 6: Changed frequency section to be in line with NENC lithium shared care guideline:</w:t>
            </w:r>
          </w:p>
          <w:p w14:paraId="76CBA30A" w14:textId="7019A28F" w:rsidR="00E041A5" w:rsidRPr="00F26850" w:rsidRDefault="00E041A5" w:rsidP="00E041A5">
            <w:pPr>
              <w:rPr>
                <w:rFonts w:cs="Arial"/>
              </w:rPr>
            </w:pPr>
            <w:r w:rsidRPr="00F26850">
              <w:rPr>
                <w:rFonts w:cs="Arial"/>
              </w:rPr>
              <w:t>At least every 3 months for the first yea</w:t>
            </w:r>
            <w:r>
              <w:rPr>
                <w:rFonts w:cs="Arial"/>
              </w:rPr>
              <w:t>r. A</w:t>
            </w:r>
            <w:r w:rsidRPr="00F26850">
              <w:rPr>
                <w:rFonts w:cs="Arial"/>
              </w:rPr>
              <w:t>fter a year, monitoring of stable patients can be extended to 6-monthly, as advised by the specialist team</w:t>
            </w:r>
            <w:r>
              <w:rPr>
                <w:rFonts w:cs="Arial"/>
              </w:rPr>
              <w:t xml:space="preserve"> </w:t>
            </w:r>
            <w:r w:rsidRPr="00F26850">
              <w:rPr>
                <w:rFonts w:cs="Arial"/>
              </w:rPr>
              <w:t>- this is not recommended in the following patients for whom 3-monthly monitoring should be maintained or re-established:</w:t>
            </w:r>
          </w:p>
          <w:p w14:paraId="7D3A9C4F" w14:textId="77777777" w:rsidR="00E041A5" w:rsidRPr="00F26850" w:rsidRDefault="00E041A5" w:rsidP="00E041A5">
            <w:pPr>
              <w:rPr>
                <w:rFonts w:cs="Arial"/>
              </w:rPr>
            </w:pPr>
            <w:r w:rsidRPr="00F26850">
              <w:rPr>
                <w:rFonts w:cs="Arial"/>
              </w:rPr>
              <w:t>•</w:t>
            </w:r>
            <w:r w:rsidRPr="00F26850">
              <w:rPr>
                <w:rFonts w:cs="Arial"/>
              </w:rPr>
              <w:tab/>
              <w:t>Pregnant</w:t>
            </w:r>
          </w:p>
          <w:p w14:paraId="4C8B6F45" w14:textId="77777777" w:rsidR="00E041A5" w:rsidRPr="00F26850" w:rsidRDefault="00E041A5" w:rsidP="00E041A5">
            <w:pPr>
              <w:rPr>
                <w:rFonts w:cs="Arial"/>
              </w:rPr>
            </w:pPr>
            <w:r w:rsidRPr="00F26850">
              <w:rPr>
                <w:rFonts w:cs="Arial"/>
              </w:rPr>
              <w:t>•</w:t>
            </w:r>
            <w:r w:rsidRPr="00F26850">
              <w:rPr>
                <w:rFonts w:cs="Arial"/>
              </w:rPr>
              <w:tab/>
              <w:t>Aged 65 years or older</w:t>
            </w:r>
          </w:p>
          <w:p w14:paraId="1C388B8D" w14:textId="77777777" w:rsidR="00E041A5" w:rsidRPr="00F26850" w:rsidRDefault="00E041A5" w:rsidP="00E041A5">
            <w:pPr>
              <w:rPr>
                <w:rFonts w:cs="Arial"/>
              </w:rPr>
            </w:pPr>
            <w:r w:rsidRPr="00F26850">
              <w:rPr>
                <w:rFonts w:cs="Arial"/>
              </w:rPr>
              <w:t>•</w:t>
            </w:r>
            <w:r w:rsidRPr="00F26850">
              <w:rPr>
                <w:rFonts w:cs="Arial"/>
              </w:rPr>
              <w:tab/>
              <w:t>People taking interacting medicines</w:t>
            </w:r>
          </w:p>
          <w:p w14:paraId="404E5FC3" w14:textId="77777777" w:rsidR="00E041A5" w:rsidRPr="00F26850" w:rsidRDefault="00E041A5" w:rsidP="00E041A5">
            <w:pPr>
              <w:rPr>
                <w:rFonts w:cs="Arial"/>
              </w:rPr>
            </w:pPr>
            <w:r w:rsidRPr="00F26850">
              <w:rPr>
                <w:rFonts w:cs="Arial"/>
              </w:rPr>
              <w:t>•</w:t>
            </w:r>
            <w:r w:rsidRPr="00F26850">
              <w:rPr>
                <w:rFonts w:cs="Arial"/>
              </w:rPr>
              <w:tab/>
              <w:t>People at risk of impaired renal* or thyroid function, raised calcium levels or other complications.</w:t>
            </w:r>
          </w:p>
          <w:p w14:paraId="19BC96E1" w14:textId="77777777" w:rsidR="00E041A5" w:rsidRPr="00F26850" w:rsidRDefault="00E041A5" w:rsidP="00E041A5">
            <w:pPr>
              <w:rPr>
                <w:rFonts w:cs="Arial"/>
              </w:rPr>
            </w:pPr>
            <w:r w:rsidRPr="00F26850">
              <w:rPr>
                <w:rFonts w:cs="Arial"/>
              </w:rPr>
              <w:t>•</w:t>
            </w:r>
            <w:r w:rsidRPr="00F26850">
              <w:rPr>
                <w:rFonts w:cs="Arial"/>
              </w:rPr>
              <w:tab/>
              <w:t>People with poor symptom control</w:t>
            </w:r>
          </w:p>
          <w:p w14:paraId="72F503D0" w14:textId="77777777" w:rsidR="00E041A5" w:rsidRPr="00F26850" w:rsidRDefault="00E041A5" w:rsidP="00E041A5">
            <w:pPr>
              <w:rPr>
                <w:rFonts w:cs="Arial"/>
              </w:rPr>
            </w:pPr>
            <w:r w:rsidRPr="00F26850">
              <w:rPr>
                <w:rFonts w:cs="Arial"/>
              </w:rPr>
              <w:t>•</w:t>
            </w:r>
            <w:r w:rsidRPr="00F26850">
              <w:rPr>
                <w:rFonts w:cs="Arial"/>
              </w:rPr>
              <w:tab/>
              <w:t>People with poor adherence</w:t>
            </w:r>
          </w:p>
          <w:p w14:paraId="3CA026BE" w14:textId="79163747" w:rsidR="00E041A5" w:rsidRPr="00F26850" w:rsidRDefault="00E041A5" w:rsidP="00E041A5">
            <w:pPr>
              <w:rPr>
                <w:rFonts w:cs="Arial"/>
              </w:rPr>
            </w:pPr>
            <w:r w:rsidRPr="00F26850">
              <w:rPr>
                <w:rFonts w:cs="Arial"/>
              </w:rPr>
              <w:t>•</w:t>
            </w:r>
            <w:r w:rsidRPr="00F26850">
              <w:rPr>
                <w:rFonts w:cs="Arial"/>
              </w:rPr>
              <w:tab/>
              <w:t xml:space="preserve">People with most recent 12-hour </w:t>
            </w:r>
            <w:r w:rsidR="00596748">
              <w:rPr>
                <w:rFonts w:cs="Arial"/>
              </w:rPr>
              <w:t xml:space="preserve">post dose </w:t>
            </w:r>
            <w:r w:rsidRPr="00F26850">
              <w:rPr>
                <w:rFonts w:cs="Arial"/>
              </w:rPr>
              <w:t>plasma lithium level at 0.8mmol/litre or higher.</w:t>
            </w:r>
          </w:p>
          <w:p w14:paraId="66FB1B51" w14:textId="77777777" w:rsidR="00E041A5" w:rsidRPr="00F26850" w:rsidRDefault="00E041A5" w:rsidP="00E041A5">
            <w:pPr>
              <w:rPr>
                <w:rFonts w:cs="Arial"/>
              </w:rPr>
            </w:pPr>
            <w:r w:rsidRPr="00F26850">
              <w:rPr>
                <w:rFonts w:cs="Arial"/>
              </w:rPr>
              <w:t>•</w:t>
            </w:r>
            <w:r w:rsidRPr="00F26850">
              <w:rPr>
                <w:rFonts w:cs="Arial"/>
              </w:rPr>
              <w:tab/>
              <w:t xml:space="preserve">People with significant change in sodium or fluid intake </w:t>
            </w:r>
          </w:p>
          <w:p w14:paraId="4A53D987" w14:textId="14F5CBBF" w:rsidR="00E041A5" w:rsidRPr="00F26850" w:rsidRDefault="00E041A5" w:rsidP="00E041A5">
            <w:pPr>
              <w:rPr>
                <w:rFonts w:cs="Arial"/>
              </w:rPr>
            </w:pPr>
            <w:r w:rsidRPr="00F26850">
              <w:rPr>
                <w:rFonts w:cs="Arial"/>
              </w:rPr>
              <w:t>Consider additional monitoring whenever there is a change in the patient's circumstance e.g. intercurrent illness.</w:t>
            </w:r>
          </w:p>
          <w:p w14:paraId="0DCCE77D" w14:textId="77777777" w:rsidR="00E041A5" w:rsidRDefault="00E041A5" w:rsidP="00E041A5">
            <w:pPr>
              <w:rPr>
                <w:rFonts w:cs="Arial"/>
              </w:rPr>
            </w:pPr>
            <w:r w:rsidRPr="00F26850">
              <w:rPr>
                <w:rFonts w:cs="Arial"/>
              </w:rPr>
              <w:t>*declining eGFR or urea and creatinine elevated.</w:t>
            </w:r>
          </w:p>
          <w:p w14:paraId="2982D53A" w14:textId="1C00B702" w:rsidR="000655EF" w:rsidRDefault="00B85E3C" w:rsidP="00E041A5">
            <w:pPr>
              <w:rPr>
                <w:rFonts w:cs="Arial"/>
              </w:rPr>
            </w:pPr>
            <w:r>
              <w:rPr>
                <w:rFonts w:cs="Arial"/>
              </w:rPr>
              <w:t xml:space="preserve">Section 6: </w:t>
            </w:r>
            <w:r w:rsidR="000655EF">
              <w:rPr>
                <w:rFonts w:cs="Arial"/>
              </w:rPr>
              <w:t>Added - If the patient does not attend for their regular monitoring, advise the specialist so they can advise on actions to take</w:t>
            </w:r>
          </w:p>
          <w:p w14:paraId="63388E2A" w14:textId="77777777" w:rsidR="001E58E3" w:rsidRDefault="001E58E3" w:rsidP="001E58E3">
            <w:pPr>
              <w:rPr>
                <w:rFonts w:cs="Arial"/>
              </w:rPr>
            </w:pPr>
            <w:r>
              <w:rPr>
                <w:rFonts w:cs="Arial"/>
              </w:rPr>
              <w:t>Section 8: expanded sentence around pregnancy and made reference to section 12.</w:t>
            </w:r>
          </w:p>
          <w:p w14:paraId="2C8886DC" w14:textId="77777777" w:rsidR="001E58E3" w:rsidRDefault="001E58E3" w:rsidP="001E58E3">
            <w:pPr>
              <w:rPr>
                <w:rFonts w:cs="Arial"/>
              </w:rPr>
            </w:pPr>
            <w:r>
              <w:rPr>
                <w:rFonts w:cs="Arial"/>
              </w:rPr>
              <w:t>Section 9: changed wording from Must not to should not.</w:t>
            </w:r>
          </w:p>
          <w:p w14:paraId="2AD63701" w14:textId="620C7412" w:rsidR="009E0BDA" w:rsidRDefault="009E0BDA" w:rsidP="001E58E3">
            <w:pPr>
              <w:rPr>
                <w:rFonts w:cs="Arial"/>
              </w:rPr>
            </w:pPr>
            <w:r>
              <w:rPr>
                <w:rFonts w:cs="Arial"/>
              </w:rPr>
              <w:t xml:space="preserve">Section 10: Added </w:t>
            </w:r>
            <w:r w:rsidRPr="00776279">
              <w:rPr>
                <w:rStyle w:val="Hyperlink"/>
                <w:rFonts w:eastAsia="Calibri"/>
                <w:bCs/>
                <w:noProof/>
                <w:color w:val="000000"/>
                <w:u w:val="none"/>
                <w:lang w:eastAsia="en-GB"/>
              </w:rPr>
              <w:t xml:space="preserve">A LiSERS scale has been included in </w:t>
            </w:r>
            <w:hyperlink w:anchor="Appendix_3" w:history="1">
              <w:r w:rsidRPr="00F33AC9">
                <w:rPr>
                  <w:rStyle w:val="Hyperlink"/>
                  <w:rFonts w:eastAsia="Calibri"/>
                  <w:bCs/>
                  <w:noProof/>
                  <w:lang w:eastAsia="en-GB"/>
                </w:rPr>
                <w:t>Appendix 3</w:t>
              </w:r>
            </w:hyperlink>
            <w:r w:rsidRPr="00776279">
              <w:rPr>
                <w:rStyle w:val="Hyperlink"/>
                <w:rFonts w:eastAsia="Calibri"/>
                <w:bCs/>
                <w:noProof/>
                <w:color w:val="000000"/>
                <w:u w:val="none"/>
                <w:lang w:eastAsia="en-GB"/>
              </w:rPr>
              <w:t xml:space="preserve"> for information</w:t>
            </w:r>
          </w:p>
          <w:p w14:paraId="0CAA7068" w14:textId="4CF15AE8" w:rsidR="001E58E3" w:rsidRDefault="001E58E3" w:rsidP="001E58E3">
            <w:pPr>
              <w:rPr>
                <w:rFonts w:cs="Arial"/>
              </w:rPr>
            </w:pPr>
            <w:r>
              <w:rPr>
                <w:rFonts w:cs="Arial"/>
              </w:rPr>
              <w:t xml:space="preserve">Section 11: </w:t>
            </w:r>
            <w:r w:rsidRPr="00BD5BF4">
              <w:rPr>
                <w:rFonts w:cs="Arial"/>
              </w:rPr>
              <w:t xml:space="preserve">The NHS lithium health monitoring App can be used as an alternative to the purple lithium monitoring book; </w:t>
            </w:r>
            <w:r w:rsidR="00555B67" w:rsidRPr="00BD5BF4">
              <w:rPr>
                <w:rFonts w:cs="Arial"/>
              </w:rPr>
              <w:t>however,</w:t>
            </w:r>
            <w:r w:rsidRPr="00BD5BF4">
              <w:rPr>
                <w:rFonts w:cs="Arial"/>
              </w:rPr>
              <w:t xml:space="preserve"> this is only available on Android devices and is not available via the Apple APP store</w:t>
            </w:r>
          </w:p>
          <w:p w14:paraId="01A6F66A" w14:textId="77777777" w:rsidR="001E58E3" w:rsidRDefault="001E58E3" w:rsidP="001E58E3">
            <w:pPr>
              <w:rPr>
                <w:rFonts w:cs="Arial"/>
              </w:rPr>
            </w:pPr>
            <w:r>
              <w:rPr>
                <w:rFonts w:cs="Arial"/>
              </w:rPr>
              <w:t xml:space="preserve">Section 12: </w:t>
            </w:r>
            <w:r w:rsidRPr="00F576AE">
              <w:rPr>
                <w:rFonts w:cs="Arial"/>
              </w:rPr>
              <w:t>Patients stabilised on lithium who are planning pregnancy should be referred to the local perinatal psychiatry team for pre-conception advice</w:t>
            </w:r>
            <w:r>
              <w:rPr>
                <w:rFonts w:cs="Arial"/>
              </w:rPr>
              <w:t xml:space="preserve"> added.</w:t>
            </w:r>
          </w:p>
          <w:p w14:paraId="44C8307F" w14:textId="77777777" w:rsidR="00A27767" w:rsidRDefault="00A27767" w:rsidP="00812579">
            <w:pPr>
              <w:rPr>
                <w:rFonts w:cs="Arial"/>
              </w:rPr>
            </w:pPr>
            <w:r>
              <w:rPr>
                <w:rFonts w:cs="Arial"/>
              </w:rPr>
              <w:t>Section 13</w:t>
            </w:r>
            <w:r w:rsidR="00AC5DEA">
              <w:rPr>
                <w:rFonts w:cs="Arial"/>
              </w:rPr>
              <w:t xml:space="preserve">: Contact information updated to </w:t>
            </w:r>
            <w:r w:rsidRPr="00A27767">
              <w:rPr>
                <w:rFonts w:cs="Arial"/>
              </w:rPr>
              <w:t>Details for contacting specialist must be included on the clinic letter.</w:t>
            </w:r>
          </w:p>
          <w:p w14:paraId="6F50E13B" w14:textId="77777777" w:rsidR="001E58E3" w:rsidRDefault="001E58E3" w:rsidP="00812579">
            <w:pPr>
              <w:rPr>
                <w:rFonts w:cs="Arial"/>
              </w:rPr>
            </w:pPr>
            <w:r w:rsidRPr="007325C3">
              <w:rPr>
                <w:rFonts w:cs="Arial"/>
              </w:rPr>
              <w:t>Section 16: Hyperlink to Shared Care for Medicines Guidance updated</w:t>
            </w:r>
          </w:p>
          <w:p w14:paraId="70E165E6" w14:textId="18CC6BCB" w:rsidR="009E0BDA" w:rsidRDefault="00AB4704" w:rsidP="00812579">
            <w:pPr>
              <w:rPr>
                <w:rFonts w:cs="Arial"/>
              </w:rPr>
            </w:pPr>
            <w:r>
              <w:rPr>
                <w:rFonts w:cs="Arial"/>
              </w:rPr>
              <w:t xml:space="preserve">Added </w:t>
            </w:r>
            <w:r w:rsidR="009E0BDA">
              <w:rPr>
                <w:rFonts w:cs="Arial"/>
              </w:rPr>
              <w:t xml:space="preserve">Appendix 1,2 and 3 </w:t>
            </w:r>
          </w:p>
        </w:tc>
      </w:tr>
    </w:tbl>
    <w:p w14:paraId="3EC6F559" w14:textId="0E9B4AA3" w:rsidR="00A66AB6" w:rsidRDefault="00A66AB6">
      <w:pPr>
        <w:rPr>
          <w:rFonts w:cs="Arial"/>
          <w:sz w:val="16"/>
          <w:szCs w:val="16"/>
        </w:rPr>
      </w:pPr>
    </w:p>
    <w:p w14:paraId="768AF6B3" w14:textId="77777777" w:rsidR="00A66AB6" w:rsidRDefault="00A66AB6">
      <w:pPr>
        <w:spacing w:before="0" w:after="160"/>
        <w:rPr>
          <w:rFonts w:cs="Arial"/>
          <w:sz w:val="16"/>
          <w:szCs w:val="16"/>
        </w:rPr>
      </w:pPr>
      <w:r>
        <w:rPr>
          <w:rFonts w:cs="Arial"/>
          <w:sz w:val="16"/>
          <w:szCs w:val="16"/>
        </w:rPr>
        <w:br w:type="page"/>
      </w:r>
    </w:p>
    <w:p w14:paraId="461A042C" w14:textId="77777777" w:rsidR="005432DD" w:rsidRPr="007815A0" w:rsidRDefault="005432DD" w:rsidP="005432DD">
      <w:pPr>
        <w:rPr>
          <w:rFonts w:cs="Arial"/>
          <w:b/>
          <w:bCs/>
        </w:rPr>
      </w:pPr>
      <w:r w:rsidRPr="007815A0">
        <w:rPr>
          <w:rFonts w:cs="Arial"/>
          <w:b/>
          <w:bCs/>
        </w:rPr>
        <w:lastRenderedPageBreak/>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C22CC5">
        <w:tc>
          <w:tcPr>
            <w:tcW w:w="4248" w:type="dxa"/>
          </w:tcPr>
          <w:p w14:paraId="6F1EF854" w14:textId="77777777" w:rsidR="005432DD" w:rsidRPr="00812579" w:rsidRDefault="005432DD" w:rsidP="00C22CC5">
            <w:pPr>
              <w:rPr>
                <w:rFonts w:cs="Arial"/>
                <w:b/>
                <w:bCs/>
              </w:rPr>
            </w:pPr>
            <w:r>
              <w:rPr>
                <w:rFonts w:cs="Arial"/>
                <w:b/>
                <w:bCs/>
              </w:rPr>
              <w:t>Local approval</w:t>
            </w:r>
          </w:p>
        </w:tc>
        <w:tc>
          <w:tcPr>
            <w:tcW w:w="4365" w:type="dxa"/>
          </w:tcPr>
          <w:p w14:paraId="1229A162" w14:textId="77777777" w:rsidR="005432DD" w:rsidRPr="00812579" w:rsidRDefault="005432DD" w:rsidP="00C22CC5">
            <w:pPr>
              <w:rPr>
                <w:rFonts w:cs="Arial"/>
                <w:b/>
                <w:bCs/>
              </w:rPr>
            </w:pPr>
            <w:r>
              <w:rPr>
                <w:rFonts w:cs="Arial"/>
                <w:b/>
                <w:bCs/>
              </w:rPr>
              <w:t>Date</w:t>
            </w:r>
          </w:p>
        </w:tc>
      </w:tr>
      <w:tr w:rsidR="005A7119" w14:paraId="141E8B71" w14:textId="77777777" w:rsidTr="00C22CC5">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1A7936A7" w:rsidR="005A7119" w:rsidRDefault="003401F1" w:rsidP="005A7119">
            <w:pPr>
              <w:rPr>
                <w:rFonts w:cs="Arial"/>
              </w:rPr>
            </w:pPr>
            <w:r>
              <w:rPr>
                <w:rFonts w:cs="Arial"/>
              </w:rPr>
              <w:t>July 2025</w:t>
            </w:r>
          </w:p>
        </w:tc>
      </w:tr>
      <w:tr w:rsidR="005A7119" w14:paraId="5274CE57" w14:textId="77777777" w:rsidTr="00C22CC5">
        <w:tc>
          <w:tcPr>
            <w:tcW w:w="4248" w:type="dxa"/>
          </w:tcPr>
          <w:p w14:paraId="72D8275E" w14:textId="61314905" w:rsidR="005A7119" w:rsidRDefault="005A7119" w:rsidP="005A7119">
            <w:pPr>
              <w:rPr>
                <w:rFonts w:cs="Arial"/>
              </w:rPr>
            </w:pPr>
            <w:r>
              <w:rPr>
                <w:rFonts w:cs="Arial"/>
              </w:rPr>
              <w:t xml:space="preserve">Approved for use by </w:t>
            </w:r>
            <w:r w:rsidR="005C4899">
              <w:rPr>
                <w:rFonts w:cs="Arial"/>
              </w:rPr>
              <w:t>HNY</w:t>
            </w:r>
            <w:r>
              <w:rPr>
                <w:rFonts w:cs="Arial"/>
              </w:rPr>
              <w:t xml:space="preserve"> ICB </w:t>
            </w:r>
          </w:p>
        </w:tc>
        <w:tc>
          <w:tcPr>
            <w:tcW w:w="4365" w:type="dxa"/>
          </w:tcPr>
          <w:p w14:paraId="696B3FA0" w14:textId="08737A27" w:rsidR="005A7119" w:rsidRDefault="00156EF7" w:rsidP="005A7119">
            <w:pPr>
              <w:rPr>
                <w:rFonts w:cs="Arial"/>
              </w:rPr>
            </w:pPr>
            <w:r>
              <w:rPr>
                <w:rFonts w:cs="Arial"/>
              </w:rPr>
              <w:t>6</w:t>
            </w:r>
            <w:r w:rsidRPr="00156EF7">
              <w:rPr>
                <w:rFonts w:cs="Arial"/>
                <w:vertAlign w:val="superscript"/>
              </w:rPr>
              <w:t>th</w:t>
            </w:r>
            <w:r>
              <w:rPr>
                <w:rFonts w:cs="Arial"/>
              </w:rPr>
              <w:t xml:space="preserve"> August 2025</w:t>
            </w:r>
          </w:p>
        </w:tc>
      </w:tr>
    </w:tbl>
    <w:p w14:paraId="4E87CD01" w14:textId="77777777" w:rsidR="00812579" w:rsidRPr="005431B2" w:rsidRDefault="00812579">
      <w:pPr>
        <w:rPr>
          <w:rFonts w:cs="Arial"/>
          <w:sz w:val="16"/>
          <w:szCs w:val="16"/>
        </w:rPr>
      </w:pPr>
    </w:p>
    <w:p w14:paraId="2EA3AED0" w14:textId="7A26C37B"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1" w:history="1">
        <w:r w:rsidR="00505001" w:rsidRPr="00A35DF4">
          <w:rPr>
            <w:rStyle w:val="Hyperlink"/>
            <w:rFonts w:cs="Arial"/>
            <w:sz w:val="24"/>
            <w:szCs w:val="24"/>
          </w:rPr>
          <w:t>https://rdtc.nhs.uk/prescribing-support-document/shared-care-protocol-lithium-in-adults/</w:t>
        </w:r>
      </w:hyperlink>
      <w:r w:rsidR="00505001">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6965693B" w14:textId="77777777" w:rsidR="00A66AB6" w:rsidRDefault="00A66AB6">
      <w:pPr>
        <w:spacing w:before="0" w:after="160"/>
        <w:rPr>
          <w:rFonts w:cs="Arial"/>
          <w:b/>
          <w:bCs/>
          <w:sz w:val="24"/>
          <w:szCs w:val="24"/>
        </w:rPr>
      </w:pPr>
      <w:r>
        <w:rPr>
          <w:rFonts w:cs="Arial"/>
          <w:b/>
          <w:bCs/>
          <w:sz w:val="24"/>
          <w:szCs w:val="24"/>
        </w:rPr>
        <w:br w:type="page"/>
      </w:r>
    </w:p>
    <w:p w14:paraId="2EBD1324" w14:textId="54695EC4"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0BBE92B3" w:rsidR="00F321FC" w:rsidRPr="00ED7968" w:rsidRDefault="00D5504F" w:rsidP="005228A2">
      <w:pPr>
        <w:pStyle w:val="Heading2"/>
        <w:numPr>
          <w:ilvl w:val="0"/>
          <w:numId w:val="0"/>
        </w:numPr>
        <w:ind w:left="357" w:hanging="357"/>
        <w:rPr>
          <w:sz w:val="24"/>
          <w:szCs w:val="24"/>
        </w:rPr>
      </w:pPr>
      <w:r>
        <w:rPr>
          <w:sz w:val="24"/>
          <w:szCs w:val="24"/>
        </w:rPr>
        <w:t>Lithium</w:t>
      </w:r>
      <w:r w:rsidR="00F321FC" w:rsidRPr="00ED7968">
        <w:rPr>
          <w:sz w:val="24"/>
          <w:szCs w:val="24"/>
        </w:rPr>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C72861" w:rsidRPr="00F321FC" w14:paraId="3FF50130" w14:textId="77777777" w:rsidTr="0B864035">
        <w:tc>
          <w:tcPr>
            <w:tcW w:w="2199" w:type="dxa"/>
            <w:tcBorders>
              <w:top w:val="single" w:sz="4" w:space="0" w:color="BFBFBF" w:themeColor="background1" w:themeShade="BF"/>
            </w:tcBorders>
          </w:tcPr>
          <w:p w14:paraId="60850D61" w14:textId="74515AEE" w:rsidR="00C72861" w:rsidRPr="00F321FC" w:rsidRDefault="00721E7A" w:rsidP="00413F90">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75DC2C50" w14:textId="5EDC4278" w:rsidR="00D5504F" w:rsidRDefault="00D5504F" w:rsidP="00D5504F">
            <w:r>
              <w:t xml:space="preserve">Lithium is licensed for the treatment and prevention of mania, bipolar </w:t>
            </w:r>
            <w:r w:rsidR="00D7536E">
              <w:t>disorder</w:t>
            </w:r>
            <w:r>
              <w:t>, recurrent depression (unipolar) and aggressive/self-mutilating behaviour.  Not all patients respond to lithium, so the benefits and risks should be regularly and individually assessed. Lithium treatment should not be stopped suddenly, as this can cause relapse.</w:t>
            </w:r>
          </w:p>
          <w:p w14:paraId="31804E9B" w14:textId="77777777" w:rsidR="00D5504F" w:rsidRDefault="00D5504F" w:rsidP="00D5504F"/>
          <w:p w14:paraId="1A9CE2CA" w14:textId="66CD8B93" w:rsidR="00D5504F" w:rsidRDefault="00D5504F" w:rsidP="00D5504F">
            <w:pPr>
              <w:rPr>
                <w:b/>
              </w:rPr>
            </w:pPr>
            <w:r>
              <w:t xml:space="preserve">Lithium has a narrow therapeutic window of between 0.4 and </w:t>
            </w:r>
            <w:r w:rsidR="00D7536E">
              <w:t>1.0</w:t>
            </w:r>
            <w:r>
              <w:t xml:space="preserve"> mmol/L for most indications, although a narrower range is usually specified </w:t>
            </w:r>
            <w:r w:rsidR="00D7536E">
              <w:t xml:space="preserve">for </w:t>
            </w:r>
            <w:r>
              <w:t xml:space="preserve">an individual patient. Higher target plasma levels (0.8–1 mmol/L) </w:t>
            </w:r>
            <w:r w:rsidR="00D7536E">
              <w:t>may be</w:t>
            </w:r>
            <w:r>
              <w:t xml:space="preserve"> recommended for acute episodes of mania, for patients who have previously relapsed or when subthreshold symptoms of illness are associated with functional impairment. </w:t>
            </w:r>
            <w:r>
              <w:rPr>
                <w:b/>
              </w:rPr>
              <w:t xml:space="preserve">The specialist service will determine the target range for each patient and advise the primary care prescriber accordingly. </w:t>
            </w:r>
            <w:r w:rsidR="00AC5DEA">
              <w:rPr>
                <w:b/>
              </w:rPr>
              <w:t>However, if the target plasma level is above 1mmol/l, prescribing and monitoring should remain with the specialist.</w:t>
            </w:r>
          </w:p>
          <w:p w14:paraId="16E71A1D" w14:textId="77777777" w:rsidR="00D5504F" w:rsidRDefault="00D5504F" w:rsidP="00D5504F">
            <w:pPr>
              <w:rPr>
                <w:b/>
              </w:rPr>
            </w:pPr>
          </w:p>
          <w:p w14:paraId="0FB51E40" w14:textId="77777777" w:rsidR="00D5504F" w:rsidRDefault="00D5504F" w:rsidP="00D5504F">
            <w:r>
              <w:t xml:space="preserve">Lithium has numerous mild side effects but can be toxic if the dose is too high. Toxicity usually occurs with levels above 1.5 mmol/L but can emerge at lower levels in susceptible patients such as the elderly or those with renal impairment. Toxicity can also occur when levels are in the ‘therapeutic range’. Excluding excessive ingestion, toxicity most commonly arises due to a reduced elimination of lithium. Elimination of lithium is almost exclusively renal and is sensitive to the handling of sodium by the kidneys. Lithium toxicity can itself impair renal function, so rapid escalations in plasma lithium levels may occur. With long-term use, lithium can have adverse effects on the kidneys, the thyroid, and the parathyroid glands. </w:t>
            </w:r>
          </w:p>
          <w:p w14:paraId="250EBBA7" w14:textId="11FC50EB" w:rsidR="00243D8D" w:rsidRDefault="00243D8D" w:rsidP="00243D8D"/>
          <w:p w14:paraId="6B5F3EB1" w14:textId="5CA0DA0C" w:rsidR="0065325B" w:rsidRPr="00D5504F" w:rsidRDefault="00D5504F" w:rsidP="00D5504F">
            <w:r>
              <w:rPr>
                <w:b/>
                <w:u w:val="single"/>
              </w:rPr>
              <w:t>Lithium should always be prescribed by brand and form</w:t>
            </w:r>
            <w:r>
              <w:t>; tablets and liquids are not interchangeable. Extra care must be taken when prescribing liquid forms, with clarity over the name and strength of the preparation. Patients should be involved in treatment decisions and understand the im</w:t>
            </w:r>
            <w:r w:rsidR="00B515FA">
              <w:t>portance of lithium monitoring.</w:t>
            </w:r>
          </w:p>
        </w:tc>
      </w:tr>
      <w:tr w:rsidR="00C72861" w:rsidRPr="00F321FC" w14:paraId="700AF380" w14:textId="77777777" w:rsidTr="0B864035">
        <w:tc>
          <w:tcPr>
            <w:tcW w:w="2199" w:type="dxa"/>
          </w:tcPr>
          <w:p w14:paraId="353B7610" w14:textId="421AD839" w:rsidR="00C72861" w:rsidRPr="00F321FC" w:rsidRDefault="00A93496" w:rsidP="00D31D08">
            <w:pPr>
              <w:pStyle w:val="Heading2"/>
              <w:rPr>
                <w:rFonts w:cs="Arial"/>
              </w:rPr>
            </w:pPr>
            <w:bookmarkStart w:id="2" w:name="two_indications"/>
            <w:bookmarkStart w:id="3" w:name="_Toc149231786"/>
            <w:r w:rsidRPr="00F321FC">
              <w:rPr>
                <w:rFonts w:cs="Arial"/>
              </w:rPr>
              <w:t xml:space="preserve">Licensed </w:t>
            </w:r>
            <w:r w:rsidR="00035AE8">
              <w:rPr>
                <w:rFonts w:cs="Arial"/>
              </w:rPr>
              <w:t xml:space="preserve">and agreed off-label </w:t>
            </w:r>
            <w:r w:rsidRPr="00F321FC">
              <w:rPr>
                <w:rFonts w:cs="Arial"/>
              </w:rPr>
              <w:t>indications</w:t>
            </w:r>
            <w:bookmarkEnd w:id="2"/>
            <w:bookmarkEnd w:id="3"/>
          </w:p>
        </w:tc>
        <w:tc>
          <w:tcPr>
            <w:tcW w:w="8262" w:type="dxa"/>
          </w:tcPr>
          <w:p w14:paraId="4B147EF3" w14:textId="77777777" w:rsidR="00D5504F" w:rsidRPr="00D5504F" w:rsidRDefault="00D5504F" w:rsidP="00D5504F">
            <w:pPr>
              <w:rPr>
                <w:rFonts w:cs="Arial"/>
              </w:rPr>
            </w:pPr>
            <w:r w:rsidRPr="00D5504F">
              <w:rPr>
                <w:rFonts w:cs="Arial"/>
              </w:rPr>
              <w:t>Indications:</w:t>
            </w:r>
          </w:p>
          <w:p w14:paraId="6C5706D1" w14:textId="40C07F3C" w:rsidR="00D5504F" w:rsidRPr="00D5504F" w:rsidRDefault="00D5504F" w:rsidP="00093D5F">
            <w:pPr>
              <w:pStyle w:val="ListParagraph"/>
              <w:numPr>
                <w:ilvl w:val="0"/>
                <w:numId w:val="4"/>
              </w:numPr>
              <w:rPr>
                <w:rFonts w:cs="Arial"/>
              </w:rPr>
            </w:pPr>
            <w:r w:rsidRPr="00D5504F">
              <w:rPr>
                <w:rFonts w:cs="Arial"/>
              </w:rPr>
              <w:t>Treatment and prophylaxis of mania</w:t>
            </w:r>
          </w:p>
          <w:p w14:paraId="61AD7842" w14:textId="6715C32D" w:rsidR="00D5504F" w:rsidRPr="00D5504F" w:rsidRDefault="00D5504F" w:rsidP="00093D5F">
            <w:pPr>
              <w:pStyle w:val="ListParagraph"/>
              <w:numPr>
                <w:ilvl w:val="0"/>
                <w:numId w:val="4"/>
              </w:numPr>
              <w:rPr>
                <w:rFonts w:cs="Arial"/>
              </w:rPr>
            </w:pPr>
            <w:r w:rsidRPr="00D5504F">
              <w:rPr>
                <w:rFonts w:cs="Arial"/>
              </w:rPr>
              <w:t>Treatment and prophylaxis of bipolar disorder</w:t>
            </w:r>
          </w:p>
          <w:p w14:paraId="56EB7163" w14:textId="13B98F35" w:rsidR="00D5504F" w:rsidRPr="00D5504F" w:rsidRDefault="00D5504F" w:rsidP="00093D5F">
            <w:pPr>
              <w:pStyle w:val="ListParagraph"/>
              <w:numPr>
                <w:ilvl w:val="0"/>
                <w:numId w:val="4"/>
              </w:numPr>
              <w:rPr>
                <w:rFonts w:cs="Arial"/>
              </w:rPr>
            </w:pPr>
            <w:r w:rsidRPr="00D5504F">
              <w:rPr>
                <w:rFonts w:cs="Arial"/>
              </w:rPr>
              <w:t xml:space="preserve">Treatment and prophylaxis of recurrent depression. NB: </w:t>
            </w:r>
            <w:r w:rsidR="00864423">
              <w:rPr>
                <w:rFonts w:cs="Arial"/>
              </w:rPr>
              <w:t xml:space="preserve">national guidance does not </w:t>
            </w:r>
            <w:r w:rsidR="009304B9">
              <w:rPr>
                <w:rFonts w:cs="Arial"/>
              </w:rPr>
              <w:t xml:space="preserve">include </w:t>
            </w:r>
            <w:r w:rsidR="00864423">
              <w:rPr>
                <w:rFonts w:cs="Arial"/>
              </w:rPr>
              <w:t>recommend</w:t>
            </w:r>
            <w:r w:rsidR="009304B9">
              <w:rPr>
                <w:rFonts w:cs="Arial"/>
              </w:rPr>
              <w:t>ations on using</w:t>
            </w:r>
            <w:r w:rsidR="00864423">
              <w:rPr>
                <w:rFonts w:cs="Arial"/>
              </w:rPr>
              <w:t xml:space="preserve"> </w:t>
            </w:r>
            <w:r w:rsidRPr="00D5504F">
              <w:rPr>
                <w:rFonts w:cs="Arial"/>
              </w:rPr>
              <w:t xml:space="preserve">lithium as a sole agent to prevent recurrence, see </w:t>
            </w:r>
            <w:hyperlink r:id="rId12" w:history="1">
              <w:r w:rsidR="00864423">
                <w:rPr>
                  <w:rStyle w:val="Hyperlink"/>
                  <w:rFonts w:cs="Arial"/>
                </w:rPr>
                <w:t>NICE NG222: Depression in adults: recognition and management</w:t>
              </w:r>
            </w:hyperlink>
          </w:p>
          <w:p w14:paraId="2169D502" w14:textId="4E411381" w:rsidR="00D5504F" w:rsidRPr="00D5504F" w:rsidRDefault="00D5504F" w:rsidP="00093D5F">
            <w:pPr>
              <w:pStyle w:val="ListParagraph"/>
              <w:numPr>
                <w:ilvl w:val="0"/>
                <w:numId w:val="4"/>
              </w:numPr>
              <w:rPr>
                <w:rFonts w:cs="Arial"/>
              </w:rPr>
            </w:pPr>
            <w:r w:rsidRPr="00D5504F">
              <w:rPr>
                <w:rFonts w:cs="Arial"/>
              </w:rPr>
              <w:t>Treatment and prophylaxis of aggressive or self-harming behaviour</w:t>
            </w:r>
          </w:p>
          <w:p w14:paraId="741D72BC" w14:textId="50B79F26" w:rsidR="00D5504F" w:rsidRPr="009304B9" w:rsidRDefault="00D5504F" w:rsidP="009304B9">
            <w:pPr>
              <w:pStyle w:val="ListParagraph"/>
              <w:numPr>
                <w:ilvl w:val="0"/>
                <w:numId w:val="4"/>
              </w:numPr>
              <w:spacing w:line="259" w:lineRule="auto"/>
              <w:rPr>
                <w:rFonts w:cs="Arial"/>
              </w:rPr>
            </w:pPr>
            <w:r w:rsidRPr="00D5504F">
              <w:rPr>
                <w:rFonts w:cs="Arial"/>
              </w:rPr>
              <w:t>Augmentation of antidepressants</w:t>
            </w:r>
            <w:r w:rsidRPr="00D5504F">
              <w:rPr>
                <w:rFonts w:cs="Arial"/>
                <w:vertAlign w:val="superscript"/>
              </w:rPr>
              <w:t>ǂ</w:t>
            </w:r>
            <w:r w:rsidRPr="00D5504F">
              <w:rPr>
                <w:rFonts w:cs="Arial"/>
              </w:rPr>
              <w:t xml:space="preserve"> </w:t>
            </w:r>
            <w:hyperlink r:id="rId13" w:history="1">
              <w:r w:rsidR="009304B9">
                <w:rPr>
                  <w:rFonts w:cs="Arial"/>
                  <w:color w:val="0563C1" w:themeColor="hyperlink"/>
                  <w:u w:val="single"/>
                </w:rPr>
                <w:t>See NICE NG222: Depression in adults: recognition and management</w:t>
              </w:r>
            </w:hyperlink>
          </w:p>
          <w:p w14:paraId="0BC99708" w14:textId="77777777" w:rsidR="00D5504F" w:rsidRDefault="00D5504F" w:rsidP="00D5504F">
            <w:pPr>
              <w:rPr>
                <w:rFonts w:cs="Arial"/>
              </w:rPr>
            </w:pPr>
            <w:r w:rsidRPr="00D5504F">
              <w:rPr>
                <w:rFonts w:cs="Arial"/>
              </w:rPr>
              <w:t xml:space="preserve">ǂ Off-label indications. (Please note licensed indications vary by manufacturer). </w:t>
            </w:r>
          </w:p>
          <w:p w14:paraId="452D25AB" w14:textId="1B50F4BC" w:rsidR="007A56FB" w:rsidRPr="007A56FB" w:rsidRDefault="007A56FB" w:rsidP="00D5504F">
            <w:pPr>
              <w:rPr>
                <w:rFonts w:cs="Arial"/>
              </w:rPr>
            </w:pPr>
            <w:r w:rsidRPr="00AF2590">
              <w:rPr>
                <w:rFonts w:cs="Arial"/>
              </w:rPr>
              <w:lastRenderedPageBreak/>
              <w:t>This shared care protocol applies to adults aged 18 and over.</w:t>
            </w:r>
          </w:p>
        </w:tc>
      </w:tr>
      <w:tr w:rsidR="00C72861" w:rsidRPr="00F321FC" w14:paraId="36B1B999" w14:textId="77777777" w:rsidTr="0B864035">
        <w:tc>
          <w:tcPr>
            <w:tcW w:w="2199" w:type="dxa"/>
          </w:tcPr>
          <w:p w14:paraId="6F2C624B" w14:textId="515A3B01" w:rsidR="00C72861" w:rsidRPr="00F321FC" w:rsidRDefault="00A93496" w:rsidP="00D31D08">
            <w:pPr>
              <w:pStyle w:val="Heading2"/>
              <w:rPr>
                <w:rFonts w:cs="Arial"/>
              </w:rPr>
            </w:pPr>
            <w:bookmarkStart w:id="4" w:name="three_local_indications"/>
            <w:bookmarkStart w:id="5" w:name="_Toc149231787"/>
            <w:r w:rsidRPr="00F321FC">
              <w:rPr>
                <w:rFonts w:cs="Arial"/>
              </w:rPr>
              <w:lastRenderedPageBreak/>
              <w:t xml:space="preserve">Locally agreed </w:t>
            </w:r>
            <w:r w:rsidR="00EC0326">
              <w:rPr>
                <w:rFonts w:cs="Arial"/>
              </w:rPr>
              <w:t>indications</w:t>
            </w:r>
            <w:bookmarkEnd w:id="4"/>
            <w:bookmarkEnd w:id="5"/>
          </w:p>
        </w:tc>
        <w:tc>
          <w:tcPr>
            <w:tcW w:w="8262" w:type="dxa"/>
          </w:tcPr>
          <w:p w14:paraId="14C3CD90" w14:textId="1DE52299" w:rsidR="00C72861" w:rsidRPr="001E25E9" w:rsidRDefault="00674D24" w:rsidP="001E25E9">
            <w:pPr>
              <w:rPr>
                <w:rFonts w:cs="Arial"/>
              </w:rPr>
            </w:pPr>
            <w:r>
              <w:rPr>
                <w:rFonts w:cs="Arial"/>
              </w:rPr>
              <w:t>As per indications included in Section 2 above.</w:t>
            </w:r>
          </w:p>
        </w:tc>
      </w:tr>
      <w:tr w:rsidR="00C72861" w:rsidRPr="00F321FC" w14:paraId="6823BC14" w14:textId="77777777" w:rsidTr="0B864035">
        <w:tc>
          <w:tcPr>
            <w:tcW w:w="2199" w:type="dxa"/>
          </w:tcPr>
          <w:p w14:paraId="5B29E378" w14:textId="09C1A858" w:rsidR="00C72861" w:rsidRPr="00F321FC" w:rsidRDefault="00F132AA" w:rsidP="00D31D08">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7AB5F9FB" w14:textId="2E510A72" w:rsidR="00FB404F" w:rsidRPr="00FB404F" w:rsidRDefault="00FB404F" w:rsidP="00FB404F">
            <w:pPr>
              <w:rPr>
                <w:rFonts w:cs="Arial"/>
              </w:rPr>
            </w:pPr>
            <w:r w:rsidRPr="00FB404F">
              <w:rPr>
                <w:rFonts w:cs="Arial"/>
              </w:rPr>
              <w:t>Transfe</w:t>
            </w:r>
            <w:r w:rsidRPr="002628FF">
              <w:rPr>
                <w:rFonts w:cs="Arial"/>
              </w:rPr>
              <w:t xml:space="preserve">r of monitoring and prescribing to primary care is normally after at least </w:t>
            </w:r>
            <w:r w:rsidR="002628FF" w:rsidRPr="002628FF">
              <w:rPr>
                <w:rFonts w:cs="Arial"/>
              </w:rPr>
              <w:t>12</w:t>
            </w:r>
            <w:r w:rsidR="002628FF">
              <w:rPr>
                <w:rFonts w:cs="Arial"/>
              </w:rPr>
              <w:t xml:space="preserve"> </w:t>
            </w:r>
            <w:r w:rsidRPr="002628FF">
              <w:rPr>
                <w:rFonts w:cs="Arial"/>
              </w:rPr>
              <w:t>weeks,</w:t>
            </w:r>
            <w:r w:rsidRPr="00FB404F">
              <w:rPr>
                <w:rFonts w:cs="Arial"/>
              </w:rPr>
              <w:t xml:space="preserve"> and when the patient’s dose has been optimised and with satisfactory investigation results for at least </w:t>
            </w:r>
            <w:r w:rsidR="002628FF">
              <w:rPr>
                <w:rFonts w:cs="Arial"/>
              </w:rPr>
              <w:t xml:space="preserve">12 </w:t>
            </w:r>
            <w:r w:rsidRPr="002628FF">
              <w:rPr>
                <w:rFonts w:cs="Arial"/>
              </w:rPr>
              <w:t>weeks.</w:t>
            </w:r>
            <w:r w:rsidR="00642F41">
              <w:t xml:space="preserve"> </w:t>
            </w:r>
            <w:r w:rsidR="00642F41" w:rsidRPr="00642F41">
              <w:rPr>
                <w:rFonts w:cs="Arial"/>
              </w:rPr>
              <w:t>To transfer from the specialist to primary care, the patient must be a) stable, i.e. the condition/indication is 'managed' appropriately, monitoring is within normal parameters, and b) the patient remains on the same dose that the specialist recommended.</w:t>
            </w:r>
          </w:p>
          <w:p w14:paraId="563233E2" w14:textId="77777777" w:rsidR="00642F41" w:rsidRDefault="00642F41" w:rsidP="00FB404F">
            <w:pPr>
              <w:rPr>
                <w:rFonts w:cs="Arial"/>
              </w:rPr>
            </w:pPr>
          </w:p>
          <w:p w14:paraId="3243FEE8" w14:textId="7F96C5E1" w:rsidR="00FB404F" w:rsidRPr="00FB404F" w:rsidRDefault="00FB404F" w:rsidP="00FB404F">
            <w:pPr>
              <w:rPr>
                <w:rFonts w:cs="Arial"/>
              </w:rPr>
            </w:pPr>
            <w:r w:rsidRPr="00FB404F">
              <w:rPr>
                <w:rFonts w:cs="Arial"/>
              </w:rPr>
              <w:t>The duration of treatment &amp; frequency of review will be determined by the specialist, based on clinical response and tolerability.</w:t>
            </w:r>
          </w:p>
          <w:p w14:paraId="7596D355" w14:textId="77EFBABC" w:rsidR="00FB404F" w:rsidRPr="00FB404F" w:rsidRDefault="00FB404F" w:rsidP="00FB404F">
            <w:pPr>
              <w:rPr>
                <w:rFonts w:cs="Arial"/>
              </w:rPr>
            </w:pPr>
            <w:r w:rsidRPr="00FB404F">
              <w:rPr>
                <w:rFonts w:cs="Arial"/>
              </w:rPr>
              <w:t>All dose or formulation adjustments will be the responsibility of the specialist unless directions have been discussed and agreed with the primary care clinician.</w:t>
            </w:r>
          </w:p>
          <w:p w14:paraId="78E31A93" w14:textId="0476360E" w:rsidR="00C72861" w:rsidRPr="00FB404F" w:rsidRDefault="00FB404F" w:rsidP="00FB404F">
            <w:pPr>
              <w:rPr>
                <w:rFonts w:cs="Arial"/>
              </w:rPr>
            </w:pPr>
            <w:r w:rsidRPr="00FB404F">
              <w:rPr>
                <w:rFonts w:cs="Arial"/>
              </w:rPr>
              <w:t>Termination of treatment will be the responsibility of the specialist.</w:t>
            </w:r>
          </w:p>
          <w:p w14:paraId="7FAC74DC" w14:textId="77777777" w:rsidR="00FB404F" w:rsidRPr="00FB404F" w:rsidRDefault="00FB404F" w:rsidP="00FB404F">
            <w:pPr>
              <w:rPr>
                <w:rFonts w:cs="Arial"/>
              </w:rPr>
            </w:pPr>
          </w:p>
          <w:p w14:paraId="610BB041" w14:textId="77777777" w:rsidR="00D5504F" w:rsidRPr="00D5504F" w:rsidRDefault="00D5504F" w:rsidP="00D5504F">
            <w:pPr>
              <w:rPr>
                <w:b/>
                <w:bCs/>
                <w:u w:val="single"/>
              </w:rPr>
            </w:pPr>
            <w:r w:rsidRPr="00D5504F">
              <w:rPr>
                <w:b/>
                <w:bCs/>
                <w:u w:val="single"/>
              </w:rPr>
              <w:t>Initial stabilisation:</w:t>
            </w:r>
          </w:p>
          <w:p w14:paraId="18759A90" w14:textId="77777777" w:rsidR="00D5504F" w:rsidRPr="00D5504F" w:rsidRDefault="00D5504F" w:rsidP="00D5504F">
            <w:pPr>
              <w:rPr>
                <w:u w:val="single"/>
              </w:rPr>
            </w:pPr>
            <w:r w:rsidRPr="00D5504F">
              <w:rPr>
                <w:u w:val="single"/>
              </w:rPr>
              <w:t>Lithium carbonate</w:t>
            </w:r>
          </w:p>
          <w:p w14:paraId="72B73DD5" w14:textId="49A77C60" w:rsidR="00D5504F" w:rsidRPr="00D5504F" w:rsidRDefault="00D5504F" w:rsidP="00D5504F">
            <w:r w:rsidRPr="00D5504F">
              <w:t xml:space="preserve">Typically </w:t>
            </w:r>
            <w:r w:rsidR="00C22CC5">
              <w:t xml:space="preserve">from </w:t>
            </w:r>
            <w:r w:rsidRPr="00D5504F">
              <w:t>400 mg</w:t>
            </w:r>
            <w:r w:rsidR="00AC5C2E">
              <w:t xml:space="preserve"> – 1.5 g</w:t>
            </w:r>
            <w:r w:rsidRPr="00D5504F">
              <w:t xml:space="preserve"> daily</w:t>
            </w:r>
            <w:r w:rsidR="00C22CC5">
              <w:t xml:space="preserve"> (depending on </w:t>
            </w:r>
            <w:r w:rsidR="00AC5C2E">
              <w:t xml:space="preserve">indication and </w:t>
            </w:r>
            <w:r w:rsidR="00C22CC5">
              <w:t>brand)</w:t>
            </w:r>
            <w:r w:rsidRPr="00D5504F">
              <w:t xml:space="preserve">, then adjusted according to patient response and 12-hour </w:t>
            </w:r>
            <w:r w:rsidR="001E793E">
              <w:t xml:space="preserve">post dose </w:t>
            </w:r>
            <w:r w:rsidRPr="00D5504F">
              <w:t xml:space="preserve">plasma levels. </w:t>
            </w:r>
          </w:p>
          <w:p w14:paraId="7ACC0511" w14:textId="77777777" w:rsidR="00D5504F" w:rsidRPr="00D5504F" w:rsidRDefault="00D5504F" w:rsidP="00D5504F">
            <w:r w:rsidRPr="00D5504F">
              <w:t xml:space="preserve">In some scenarios, such as acute mania, a higher starting dose may be preferable. The BNF outlines the typical starting doses by indication and brand. </w:t>
            </w:r>
          </w:p>
          <w:p w14:paraId="047E1793" w14:textId="77777777" w:rsidR="00D5504F" w:rsidRDefault="00D5504F" w:rsidP="00D5504F">
            <w:pPr>
              <w:spacing w:line="259" w:lineRule="auto"/>
            </w:pPr>
            <w:r w:rsidRPr="00D5504F">
              <w:t>Lithium carbonate tablets should be prescribed unless there is a specific problem with swallowing difficulties.</w:t>
            </w:r>
          </w:p>
          <w:p w14:paraId="2D3DCB15" w14:textId="77777777" w:rsidR="00D5504F" w:rsidRPr="00D5504F" w:rsidRDefault="00D5504F" w:rsidP="00D5504F">
            <w:pPr>
              <w:spacing w:line="259" w:lineRule="auto"/>
              <w:rPr>
                <w:b/>
                <w:bCs/>
              </w:rPr>
            </w:pPr>
            <w:r w:rsidRPr="00D5504F">
              <w:rPr>
                <w:b/>
                <w:bCs/>
              </w:rPr>
              <w:t>The initial period must be prescribed by the initiating specialist.</w:t>
            </w:r>
          </w:p>
          <w:p w14:paraId="3E4F3558" w14:textId="77777777" w:rsidR="00D5504F" w:rsidRPr="00D5504F" w:rsidRDefault="00D5504F" w:rsidP="00D5504F"/>
          <w:p w14:paraId="745B107B" w14:textId="77777777" w:rsidR="00D5504F" w:rsidRPr="00D5504F" w:rsidRDefault="00D5504F" w:rsidP="00D5504F">
            <w:pPr>
              <w:rPr>
                <w:u w:val="single"/>
              </w:rPr>
            </w:pPr>
            <w:r w:rsidRPr="00D5504F">
              <w:rPr>
                <w:u w:val="single"/>
              </w:rPr>
              <w:t>Lithium citrate</w:t>
            </w:r>
          </w:p>
          <w:p w14:paraId="649433B8" w14:textId="0ABC4A92" w:rsidR="00D5504F" w:rsidRPr="00D5504F" w:rsidRDefault="00D5504F" w:rsidP="00D5504F">
            <w:r w:rsidRPr="00D5504F">
              <w:t xml:space="preserve">Typically 509 mg or 520 mg twice daily (depending on brand), in the morning and evening, then adjusted according to patient response and 12-hour </w:t>
            </w:r>
            <w:r w:rsidR="00273110">
              <w:t xml:space="preserve">post dose </w:t>
            </w:r>
            <w:r w:rsidRPr="00D5504F">
              <w:t xml:space="preserve">plasma levels. </w:t>
            </w:r>
          </w:p>
          <w:p w14:paraId="24910F8F" w14:textId="77777777" w:rsidR="00D5504F" w:rsidRPr="00D5504F" w:rsidRDefault="00D5504F" w:rsidP="00D5504F">
            <w:r w:rsidRPr="00D5504F">
              <w:t xml:space="preserve">Liquid formulations contain lithium citrate and doses are not equivalent to lithium carbonate; bioavailability is significantly different. If a switch in formulation is considered, discuss with the specialist team. </w:t>
            </w:r>
          </w:p>
          <w:p w14:paraId="6C0EA222" w14:textId="77777777" w:rsidR="00D5504F" w:rsidRPr="00D5504F" w:rsidRDefault="00D5504F" w:rsidP="00D5504F">
            <w:r w:rsidRPr="00D5504F">
              <w:t xml:space="preserve">Extra care must be taken when prescribing lithium in liquid form, as some offer different strengths under the same brand names, and some brands are used for the liquid and tablet forms. </w:t>
            </w:r>
          </w:p>
          <w:p w14:paraId="086EF39B" w14:textId="77777777" w:rsidR="00D5504F" w:rsidRPr="00D5504F" w:rsidRDefault="00D5504F" w:rsidP="00D5504F">
            <w:pPr>
              <w:spacing w:line="259" w:lineRule="auto"/>
              <w:rPr>
                <w:b/>
                <w:bCs/>
              </w:rPr>
            </w:pPr>
            <w:r w:rsidRPr="00D5504F">
              <w:rPr>
                <w:b/>
                <w:bCs/>
              </w:rPr>
              <w:t>The initial period must be prescribed by the initiating specialist.</w:t>
            </w:r>
          </w:p>
          <w:p w14:paraId="5C9CBD56" w14:textId="118B5583" w:rsidR="008433C6" w:rsidRPr="00D5504F" w:rsidRDefault="008433C6" w:rsidP="0B864035"/>
          <w:p w14:paraId="23844186" w14:textId="77777777" w:rsidR="00D5504F" w:rsidRPr="00D5504F" w:rsidRDefault="00D5504F" w:rsidP="00D5504F">
            <w:pPr>
              <w:rPr>
                <w:b/>
                <w:bCs/>
                <w:u w:val="single"/>
              </w:rPr>
            </w:pPr>
            <w:r w:rsidRPr="00D5504F">
              <w:rPr>
                <w:b/>
                <w:bCs/>
                <w:u w:val="single"/>
              </w:rPr>
              <w:t>Maintenance dose (following initial stabilisation):</w:t>
            </w:r>
          </w:p>
          <w:p w14:paraId="23DCC0C1" w14:textId="77777777" w:rsidR="00CF2DFC" w:rsidRPr="00D5504F" w:rsidRDefault="00D5504F" w:rsidP="00CF2DFC">
            <w:r w:rsidRPr="00D5504F">
              <w:t xml:space="preserve">Individualised, to achieve plasma lithium levels in the range specified for the patient. </w:t>
            </w:r>
            <w:r w:rsidR="00CF2DFC" w:rsidRPr="00D5504F">
              <w:t xml:space="preserve">Doses may initially be divided throughout the day but once-daily administration is preferred when plasma lithium concentration is stabilised in the target range (specified by specialist team). </w:t>
            </w:r>
          </w:p>
          <w:p w14:paraId="5D53B51A" w14:textId="77777777" w:rsidR="00D5504F" w:rsidRDefault="00D5504F" w:rsidP="00D5504F">
            <w:pPr>
              <w:spacing w:line="259" w:lineRule="auto"/>
              <w:rPr>
                <w:b/>
                <w:bCs/>
              </w:rPr>
            </w:pPr>
            <w:r w:rsidRPr="00D5504F">
              <w:rPr>
                <w:b/>
                <w:bCs/>
              </w:rPr>
              <w:t>The initial maintenance dose must be prescribed by the initiating specialist.</w:t>
            </w:r>
          </w:p>
          <w:p w14:paraId="215BA0C5" w14:textId="77777777" w:rsidR="00D5504F" w:rsidRPr="00D5504F" w:rsidRDefault="00D5504F" w:rsidP="00D5504F">
            <w:pPr>
              <w:rPr>
                <w:b/>
                <w:bCs/>
              </w:rPr>
            </w:pPr>
          </w:p>
          <w:p w14:paraId="6F578DFE" w14:textId="77777777" w:rsidR="00D5504F" w:rsidRPr="00D5504F" w:rsidRDefault="00D5504F" w:rsidP="00D5504F">
            <w:pPr>
              <w:rPr>
                <w:b/>
                <w:bCs/>
                <w:u w:val="single"/>
              </w:rPr>
            </w:pPr>
            <w:r w:rsidRPr="00D5504F">
              <w:rPr>
                <w:b/>
                <w:bCs/>
                <w:u w:val="single"/>
              </w:rPr>
              <w:t>Conditions requiring dose adjustment:</w:t>
            </w:r>
          </w:p>
          <w:p w14:paraId="0CEF4A87" w14:textId="11BDFEDE" w:rsidR="00D5504F" w:rsidRDefault="00D5504F" w:rsidP="00D5504F">
            <w:pPr>
              <w:spacing w:line="259" w:lineRule="auto"/>
            </w:pPr>
            <w:r w:rsidRPr="00D5504F">
              <w:t>Lower doses may be required in older or physically frail/low body weight patients, in mild to moderate renal impairment and electrolyte imbalance. Dose adjustments may also be required in patients prescribed interacting medicines</w:t>
            </w:r>
            <w:r w:rsidR="00CF2DFC">
              <w:t xml:space="preserve"> (see </w:t>
            </w:r>
            <w:hyperlink w:anchor="nine_interactions" w:history="1">
              <w:r w:rsidR="00CF2DFC" w:rsidRPr="00CF2DFC">
                <w:rPr>
                  <w:rStyle w:val="Hyperlink"/>
                </w:rPr>
                <w:t>section 9</w:t>
              </w:r>
            </w:hyperlink>
            <w:r w:rsidR="00CF2DFC">
              <w:t>)</w:t>
            </w:r>
            <w:r w:rsidR="00B5188F">
              <w:t xml:space="preserve"> and patients who have undergone bariatric surgery</w:t>
            </w:r>
            <w:r w:rsidRPr="00D5504F">
              <w:t>.</w:t>
            </w:r>
          </w:p>
          <w:p w14:paraId="75CEB6F0" w14:textId="77777777" w:rsidR="00D5504F" w:rsidRPr="00D5504F" w:rsidRDefault="00D5504F" w:rsidP="00D5504F"/>
          <w:p w14:paraId="70BFA35D" w14:textId="5CDDE9F1" w:rsidR="00674D24" w:rsidRPr="00D5504F" w:rsidRDefault="00D5504F" w:rsidP="00D5504F">
            <w:pPr>
              <w:rPr>
                <w:b/>
                <w:bCs/>
                <w:u w:val="single"/>
              </w:rPr>
            </w:pPr>
            <w:r w:rsidRPr="0B864035">
              <w:rPr>
                <w:b/>
                <w:bCs/>
                <w:u w:val="single"/>
              </w:rPr>
              <w:t>Stopping lithium treatment</w:t>
            </w:r>
          </w:p>
          <w:p w14:paraId="710857F8" w14:textId="6C274267" w:rsidR="00674D24" w:rsidRPr="00AF342C" w:rsidRDefault="00D5504F" w:rsidP="00D5504F">
            <w:r w:rsidRPr="00D5504F">
              <w:t>The decision to stop treatment will be the responsibility of the specialist. Clinicians, patients, and carers should be aware that abrupt discontinuation of lithium increases the risk of relapse. If lithium is to be stopped, the dose should gradually be reduced over a period of at least four weeks but preferably over a period of up to three months.</w:t>
            </w:r>
          </w:p>
        </w:tc>
      </w:tr>
      <w:tr w:rsidR="00C72861" w:rsidRPr="00F321FC" w14:paraId="68FCED24" w14:textId="77777777" w:rsidTr="0B864035">
        <w:tc>
          <w:tcPr>
            <w:tcW w:w="2199" w:type="dxa"/>
          </w:tcPr>
          <w:p w14:paraId="3DF33630" w14:textId="4E2865B1" w:rsidR="00C72861" w:rsidRPr="00F321FC" w:rsidRDefault="00AE0E89" w:rsidP="00AE0E89">
            <w:pPr>
              <w:pStyle w:val="Heading2"/>
              <w:rPr>
                <w:rFonts w:cs="Arial"/>
              </w:rPr>
            </w:pPr>
            <w:bookmarkStart w:id="8" w:name="five_initial_monitoring"/>
            <w:bookmarkStart w:id="9" w:name="_Toc149231789"/>
            <w:r w:rsidRPr="00F321FC">
              <w:rPr>
                <w:rFonts w:cs="Arial"/>
              </w:rPr>
              <w:lastRenderedPageBreak/>
              <w:t xml:space="preserve">Baseline investigations, initial </w:t>
            </w:r>
            <w:r w:rsidR="00005FC7" w:rsidRPr="00F321FC">
              <w:rPr>
                <w:rFonts w:cs="Arial"/>
              </w:rPr>
              <w:t>monitoring,</w:t>
            </w:r>
            <w:r w:rsidRPr="00F321FC">
              <w:rPr>
                <w:rFonts w:cs="Arial"/>
              </w:rPr>
              <w:t xml:space="preserve"> and </w:t>
            </w:r>
            <w:r w:rsidR="00FB404F">
              <w:rPr>
                <w:rFonts w:cs="Arial"/>
              </w:rPr>
              <w:t xml:space="preserve">ongoing monitoring </w:t>
            </w:r>
            <w:r w:rsidRPr="00F321FC">
              <w:rPr>
                <w:rFonts w:cs="Arial"/>
              </w:rPr>
              <w:t>to be undertaken by specialist</w:t>
            </w:r>
            <w:bookmarkEnd w:id="8"/>
            <w:bookmarkEnd w:id="9"/>
          </w:p>
        </w:tc>
        <w:tc>
          <w:tcPr>
            <w:tcW w:w="8262" w:type="dxa"/>
          </w:tcPr>
          <w:p w14:paraId="0226882F" w14:textId="432B5CFF" w:rsidR="00FB404F" w:rsidRDefault="00FB404F" w:rsidP="00003E35">
            <w:pPr>
              <w:rPr>
                <w:lang w:eastAsia="en-GB"/>
              </w:rPr>
            </w:pPr>
            <w:r w:rsidRPr="00D5504F">
              <w:rPr>
                <w:b/>
                <w:bCs/>
                <w:lang w:eastAsia="en-GB"/>
              </w:rPr>
              <w:t>Monitoring at baseline and during initiation is the responsibility of the specialist</w:t>
            </w:r>
            <w:r w:rsidRPr="00FB404F">
              <w:rPr>
                <w:lang w:eastAsia="en-GB"/>
              </w:rPr>
              <w: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2DF5C01B" w14:textId="719A05F0" w:rsidR="00D5504F" w:rsidRPr="00D5504F" w:rsidRDefault="00D5504F" w:rsidP="00003E35">
            <w:pPr>
              <w:rPr>
                <w:bCs/>
                <w:lang w:eastAsia="en-GB"/>
              </w:rPr>
            </w:pPr>
            <w:r w:rsidRPr="00D5504F">
              <w:rPr>
                <w:bCs/>
                <w:lang w:eastAsia="en-GB"/>
              </w:rPr>
              <w:t>Recent and relevant investigation results must be documented in the corresponding letter from specialist</w:t>
            </w:r>
            <w:r>
              <w:rPr>
                <w:bCs/>
                <w:lang w:eastAsia="en-GB"/>
              </w:rPr>
              <w:t>.</w:t>
            </w:r>
          </w:p>
          <w:p w14:paraId="3E25A637" w14:textId="77777777" w:rsidR="00FB404F" w:rsidRPr="00FB404F" w:rsidRDefault="00FB404F" w:rsidP="00003E35">
            <w:pPr>
              <w:rPr>
                <w:lang w:eastAsia="en-GB"/>
              </w:rPr>
            </w:pPr>
          </w:p>
          <w:p w14:paraId="706B6366" w14:textId="471EF6A2" w:rsidR="0041687B" w:rsidRPr="0051526F" w:rsidRDefault="0041687B" w:rsidP="0051526F">
            <w:pPr>
              <w:rPr>
                <w:b/>
                <w:bCs/>
                <w:u w:val="single"/>
              </w:rPr>
            </w:pPr>
            <w:r w:rsidRPr="0051526F">
              <w:rPr>
                <w:b/>
                <w:bCs/>
                <w:u w:val="single"/>
              </w:rPr>
              <w:t>Baseline investigations</w:t>
            </w:r>
            <w:r w:rsidR="00D5504F">
              <w:rPr>
                <w:b/>
                <w:bCs/>
                <w:u w:val="single"/>
              </w:rPr>
              <w:t xml:space="preserve"> (all indications)</w:t>
            </w:r>
            <w:r w:rsidRPr="0051526F">
              <w:rPr>
                <w:b/>
                <w:bCs/>
                <w:u w:val="single"/>
              </w:rPr>
              <w:t>:</w:t>
            </w:r>
          </w:p>
          <w:p w14:paraId="6EF9C36D" w14:textId="380915B2" w:rsidR="00D5504F" w:rsidRDefault="00D5504F" w:rsidP="00093D5F">
            <w:pPr>
              <w:pStyle w:val="ListParagraph"/>
              <w:numPr>
                <w:ilvl w:val="0"/>
                <w:numId w:val="5"/>
              </w:numPr>
            </w:pPr>
            <w:r>
              <w:t>Urea and electrolytes (U&amp;Es), including estimated glomerular filtration rate (eGFR)</w:t>
            </w:r>
          </w:p>
          <w:p w14:paraId="7ECB0C6D" w14:textId="35A90A09" w:rsidR="00D5504F" w:rsidRDefault="00D5504F" w:rsidP="00093D5F">
            <w:pPr>
              <w:pStyle w:val="ListParagraph"/>
              <w:numPr>
                <w:ilvl w:val="0"/>
                <w:numId w:val="5"/>
              </w:numPr>
            </w:pPr>
            <w:r>
              <w:t>Calcium</w:t>
            </w:r>
          </w:p>
          <w:p w14:paraId="4EA8BE16" w14:textId="6D81F4E1" w:rsidR="00D5504F" w:rsidRDefault="00D5504F" w:rsidP="00093D5F">
            <w:pPr>
              <w:pStyle w:val="ListParagraph"/>
              <w:numPr>
                <w:ilvl w:val="0"/>
                <w:numId w:val="5"/>
              </w:numPr>
            </w:pPr>
            <w:r>
              <w:t>Thyroid function tests (TFTs)</w:t>
            </w:r>
          </w:p>
          <w:p w14:paraId="3A914203" w14:textId="5E866C14" w:rsidR="00D5504F" w:rsidRDefault="00D5504F" w:rsidP="00093D5F">
            <w:pPr>
              <w:pStyle w:val="ListParagraph"/>
              <w:numPr>
                <w:ilvl w:val="0"/>
                <w:numId w:val="5"/>
              </w:numPr>
            </w:pPr>
            <w:r>
              <w:t>Electrocardiogram (ECG) recommended for patients with existing cardiovascular disease (CVD) or risk factors</w:t>
            </w:r>
          </w:p>
          <w:p w14:paraId="719E35C5" w14:textId="5471D16B" w:rsidR="00D5504F" w:rsidRDefault="00D5504F" w:rsidP="00093D5F">
            <w:pPr>
              <w:pStyle w:val="ListParagraph"/>
              <w:numPr>
                <w:ilvl w:val="0"/>
                <w:numId w:val="5"/>
              </w:numPr>
            </w:pPr>
            <w:r>
              <w:t>Full blood count (FBC)</w:t>
            </w:r>
          </w:p>
          <w:p w14:paraId="5D81A7BF" w14:textId="5156B4E5" w:rsidR="00D5504F" w:rsidRDefault="007A0D6E" w:rsidP="00093D5F">
            <w:pPr>
              <w:pStyle w:val="ListParagraph"/>
              <w:numPr>
                <w:ilvl w:val="0"/>
                <w:numId w:val="5"/>
              </w:numPr>
            </w:pPr>
            <w:r>
              <w:t>Body</w:t>
            </w:r>
            <w:r w:rsidR="00D5504F">
              <w:t xml:space="preserve">weight </w:t>
            </w:r>
            <w:r>
              <w:t xml:space="preserve">or </w:t>
            </w:r>
            <w:r w:rsidR="00D5504F">
              <w:t>body mass index (BMI)</w:t>
            </w:r>
          </w:p>
          <w:p w14:paraId="1B12F5F9" w14:textId="190AB88E" w:rsidR="001A51F3" w:rsidRDefault="00D5504F" w:rsidP="00093D5F">
            <w:pPr>
              <w:pStyle w:val="ListParagraph"/>
              <w:numPr>
                <w:ilvl w:val="0"/>
                <w:numId w:val="5"/>
              </w:numPr>
            </w:pPr>
            <w:r>
              <w:t>Exclude pregnancy</w:t>
            </w:r>
          </w:p>
          <w:p w14:paraId="4CF8F537" w14:textId="77777777" w:rsidR="007A56FB" w:rsidRDefault="007A56FB" w:rsidP="001A51F3"/>
          <w:p w14:paraId="106D2CA2" w14:textId="77777777" w:rsidR="00D5504F" w:rsidRPr="00D5504F" w:rsidRDefault="00D5504F" w:rsidP="00D5504F">
            <w:pPr>
              <w:rPr>
                <w:b/>
                <w:bCs/>
              </w:rPr>
            </w:pPr>
            <w:r w:rsidRPr="00D5504F">
              <w:rPr>
                <w:b/>
                <w:bCs/>
              </w:rPr>
              <w:t>Additional baseline investigations (bipolar disorder):</w:t>
            </w:r>
          </w:p>
          <w:p w14:paraId="4755F846" w14:textId="0E23A408" w:rsidR="00D5504F" w:rsidRDefault="00D5504F" w:rsidP="00093D5F">
            <w:pPr>
              <w:pStyle w:val="ListParagraph"/>
              <w:numPr>
                <w:ilvl w:val="0"/>
                <w:numId w:val="6"/>
              </w:numPr>
            </w:pPr>
            <w:r>
              <w:t>Cardiovascular status including pulse and blood pressure (BP)</w:t>
            </w:r>
          </w:p>
          <w:p w14:paraId="482282D3" w14:textId="740DB38F" w:rsidR="00D5504F" w:rsidRDefault="00D5504F" w:rsidP="00093D5F">
            <w:pPr>
              <w:pStyle w:val="ListParagraph"/>
              <w:numPr>
                <w:ilvl w:val="0"/>
                <w:numId w:val="6"/>
              </w:numPr>
            </w:pPr>
            <w:r>
              <w:t>Metabolic status including fasting blood glucose, glycosylated haemoglobin (HbA1c) and blood lipid profile</w:t>
            </w:r>
          </w:p>
          <w:p w14:paraId="5E418EBF" w14:textId="053F9A43" w:rsidR="00D5504F" w:rsidRDefault="00D5504F" w:rsidP="00093D5F">
            <w:pPr>
              <w:pStyle w:val="ListParagraph"/>
              <w:numPr>
                <w:ilvl w:val="0"/>
                <w:numId w:val="6"/>
              </w:numPr>
            </w:pPr>
            <w:r>
              <w:t>Liver function tests (LFTs)</w:t>
            </w:r>
          </w:p>
          <w:p w14:paraId="4FA2AB84" w14:textId="77777777" w:rsidR="00AF342C" w:rsidRDefault="00AF342C" w:rsidP="001A51F3"/>
          <w:p w14:paraId="1C3B3B05" w14:textId="77665B47" w:rsidR="001A51F3" w:rsidRDefault="001A51F3" w:rsidP="001A51F3">
            <w:r w:rsidRPr="00BF174A">
              <w:rPr>
                <w:b/>
                <w:bCs/>
                <w:u w:val="single"/>
              </w:rPr>
              <w:t xml:space="preserve">Initial monitoring: </w:t>
            </w:r>
          </w:p>
          <w:p w14:paraId="1F75BCD4" w14:textId="3B5E04F6" w:rsidR="00D5504F" w:rsidRDefault="00D5504F" w:rsidP="001A51F3">
            <w:r w:rsidRPr="00D5504F">
              <w:t xml:space="preserve">12-hour </w:t>
            </w:r>
            <w:r w:rsidR="00273110">
              <w:t xml:space="preserve">post dose </w:t>
            </w:r>
            <w:r w:rsidRPr="00D5504F">
              <w:t xml:space="preserve">plasma lithium levels one week after initiation and one week after any change in dose or formulation; lithium levels take 4-7 days to reach steady state concentrations. </w:t>
            </w:r>
          </w:p>
          <w:p w14:paraId="06D68A65" w14:textId="7B9BB4D8" w:rsidR="007A56FB" w:rsidRDefault="00D5504F" w:rsidP="001A51F3">
            <w:r w:rsidRPr="00D5504F">
              <w:t xml:space="preserve">Typically, this means levels will be monitored weekly until the desired level and clinical effect is achieved. Following a dose, levels fluctuate during </w:t>
            </w:r>
            <w:r w:rsidRPr="00D5504F">
              <w:lastRenderedPageBreak/>
              <w:t>absorption/distribution, so measurements are made 12 hours post-dose for monitoring purposes.</w:t>
            </w:r>
          </w:p>
          <w:p w14:paraId="461D97B0" w14:textId="77777777" w:rsidR="00D5504F" w:rsidRPr="001A51F3" w:rsidRDefault="00D5504F" w:rsidP="001A51F3"/>
          <w:p w14:paraId="07CDEB35" w14:textId="77777777" w:rsidR="0041687B" w:rsidRDefault="0041687B" w:rsidP="0051526F">
            <w:pPr>
              <w:rPr>
                <w:b/>
                <w:bCs/>
                <w:u w:val="single"/>
              </w:rPr>
            </w:pPr>
            <w:r w:rsidRPr="0051526F">
              <w:rPr>
                <w:b/>
                <w:bCs/>
                <w:u w:val="single"/>
              </w:rPr>
              <w:t>Ongoing monitoring:</w:t>
            </w:r>
          </w:p>
          <w:p w14:paraId="2525B633" w14:textId="22ADB2DF" w:rsidR="007A56FB" w:rsidRDefault="00D5504F" w:rsidP="00D5504F">
            <w:pPr>
              <w:rPr>
                <w:rFonts w:cs="Arial"/>
              </w:rPr>
            </w:pPr>
            <w:r w:rsidRPr="00D5504F">
              <w:rPr>
                <w:rFonts w:cs="Arial"/>
              </w:rPr>
              <w:t>Review patient at least every 12 months to assess their mental health, effectiveness of treatment and the ongoing need for lithium.</w:t>
            </w:r>
            <w:r w:rsidR="00ED4717">
              <w:rPr>
                <w:rFonts w:cs="Arial"/>
              </w:rPr>
              <w:t xml:space="preserve"> </w:t>
            </w:r>
            <w:r w:rsidR="0054735E">
              <w:rPr>
                <w:rFonts w:cs="Arial"/>
              </w:rPr>
              <w:t xml:space="preserve">If the </w:t>
            </w:r>
            <w:r w:rsidR="00A4686F">
              <w:rPr>
                <w:rFonts w:cs="Arial"/>
              </w:rPr>
              <w:t xml:space="preserve">specialist team becomes aware </w:t>
            </w:r>
            <w:r w:rsidR="00B51E92">
              <w:rPr>
                <w:rFonts w:cs="Arial"/>
              </w:rPr>
              <w:t xml:space="preserve">that the </w:t>
            </w:r>
            <w:r w:rsidR="0054735E">
              <w:rPr>
                <w:rFonts w:cs="Arial"/>
              </w:rPr>
              <w:t xml:space="preserve">patient </w:t>
            </w:r>
            <w:r w:rsidR="000D682E">
              <w:rPr>
                <w:rFonts w:cs="Arial"/>
              </w:rPr>
              <w:t xml:space="preserve">does not attend for their </w:t>
            </w:r>
            <w:r w:rsidR="006B24BC">
              <w:rPr>
                <w:rFonts w:cs="Arial"/>
              </w:rPr>
              <w:t>regular monitoring:</w:t>
            </w:r>
          </w:p>
          <w:p w14:paraId="6A3A3889" w14:textId="6EA4767C" w:rsidR="006B24BC" w:rsidRDefault="006B24BC" w:rsidP="00D5504F">
            <w:pPr>
              <w:rPr>
                <w:rFonts w:cs="Arial"/>
              </w:rPr>
            </w:pPr>
            <w:r>
              <w:rPr>
                <w:rFonts w:cs="Arial"/>
              </w:rPr>
              <w:t xml:space="preserve">First non-attendance – </w:t>
            </w:r>
            <w:r w:rsidR="00B51E92">
              <w:rPr>
                <w:rFonts w:cs="Arial"/>
              </w:rPr>
              <w:t>inform</w:t>
            </w:r>
            <w:r>
              <w:rPr>
                <w:rFonts w:cs="Arial"/>
              </w:rPr>
              <w:t xml:space="preserve"> primary care of the actions being taken to </w:t>
            </w:r>
            <w:r w:rsidR="00E00CA7">
              <w:rPr>
                <w:rFonts w:cs="Arial"/>
              </w:rPr>
              <w:t>get the patient in for their monitoring</w:t>
            </w:r>
          </w:p>
          <w:p w14:paraId="08801F9D" w14:textId="15D4E6AA" w:rsidR="00E00CA7" w:rsidRDefault="00E00CA7" w:rsidP="00D5504F">
            <w:pPr>
              <w:rPr>
                <w:rFonts w:cs="Arial"/>
              </w:rPr>
            </w:pPr>
            <w:r>
              <w:rPr>
                <w:rFonts w:cs="Arial"/>
              </w:rPr>
              <w:t>Second non–attendance – advi</w:t>
            </w:r>
            <w:r w:rsidR="00AA7B83">
              <w:rPr>
                <w:rFonts w:cs="Arial"/>
              </w:rPr>
              <w:t>se</w:t>
            </w:r>
            <w:r>
              <w:rPr>
                <w:rFonts w:cs="Arial"/>
              </w:rPr>
              <w:t xml:space="preserve"> primary care to </w:t>
            </w:r>
            <w:r w:rsidR="00AA7B83">
              <w:rPr>
                <w:rFonts w:cs="Arial"/>
              </w:rPr>
              <w:t>suspend the repeat prescription for</w:t>
            </w:r>
            <w:r>
              <w:rPr>
                <w:rFonts w:cs="Arial"/>
              </w:rPr>
              <w:t xml:space="preserve"> </w:t>
            </w:r>
            <w:r w:rsidR="00B9284C">
              <w:rPr>
                <w:rFonts w:cs="Arial"/>
              </w:rPr>
              <w:t>lithium</w:t>
            </w:r>
          </w:p>
          <w:p w14:paraId="06418277" w14:textId="77777777" w:rsidR="00674D24" w:rsidRDefault="00674D24" w:rsidP="00D5504F">
            <w:pPr>
              <w:rPr>
                <w:rFonts w:cs="Arial"/>
              </w:rPr>
            </w:pPr>
          </w:p>
          <w:p w14:paraId="49C2BFBF" w14:textId="47CA06D5" w:rsidR="007325C3" w:rsidRPr="00C31FC8" w:rsidRDefault="007325C3" w:rsidP="00D5504F">
            <w:pPr>
              <w:rPr>
                <w:rFonts w:cs="Arial"/>
                <w:b/>
                <w:bCs/>
              </w:rPr>
            </w:pPr>
            <w:r w:rsidRPr="00C31FC8">
              <w:rPr>
                <w:rFonts w:cs="Arial"/>
                <w:b/>
                <w:bCs/>
              </w:rPr>
              <w:t xml:space="preserve">Prescribing and dispensing of lithium should be by brand name and formulation to avoid inadvertent switching. </w:t>
            </w:r>
          </w:p>
          <w:p w14:paraId="5BF673DE" w14:textId="77777777" w:rsidR="00243D8D" w:rsidRDefault="00243D8D" w:rsidP="00D5504F">
            <w:pPr>
              <w:rPr>
                <w:rFonts w:cs="Arial"/>
              </w:rPr>
            </w:pPr>
          </w:p>
          <w:p w14:paraId="068A1B09" w14:textId="56A24552" w:rsidR="00243D8D" w:rsidRPr="00243D8D" w:rsidRDefault="00243D8D" w:rsidP="00243D8D">
            <w:pPr>
              <w:rPr>
                <w:rFonts w:cs="Arial"/>
              </w:rPr>
            </w:pPr>
            <w:r w:rsidRPr="00243D8D">
              <w:rPr>
                <w:rFonts w:cs="Arial"/>
              </w:rPr>
              <w:t>At initiation of shared care, communication to primary care should include current and ongoing dose,</w:t>
            </w:r>
            <w:r>
              <w:rPr>
                <w:rFonts w:cs="Arial"/>
              </w:rPr>
              <w:t xml:space="preserve"> and also that the brand and form of lithium should be specified</w:t>
            </w:r>
            <w:r w:rsidRPr="00243D8D">
              <w:rPr>
                <w:rFonts w:cs="Arial"/>
              </w:rPr>
              <w:t xml:space="preserve"> any relevant test results, and date the next monitoring is required</w:t>
            </w:r>
            <w:r w:rsidR="00031541">
              <w:rPr>
                <w:rFonts w:cs="Arial"/>
              </w:rPr>
              <w:t xml:space="preserve"> (see </w:t>
            </w:r>
            <w:hyperlink w:anchor="Appendix_1" w:history="1">
              <w:r w:rsidR="00031541" w:rsidRPr="00031541">
                <w:rPr>
                  <w:rStyle w:val="Hyperlink"/>
                  <w:rFonts w:cs="Arial"/>
                </w:rPr>
                <w:t>Appendix 1</w:t>
              </w:r>
            </w:hyperlink>
            <w:r w:rsidR="00031541">
              <w:rPr>
                <w:rFonts w:cs="Arial"/>
              </w:rPr>
              <w:t xml:space="preserve"> for sample letter</w:t>
            </w:r>
            <w:r w:rsidR="00F1507F">
              <w:rPr>
                <w:rFonts w:cs="Arial"/>
              </w:rPr>
              <w:t xml:space="preserve"> from specialist to</w:t>
            </w:r>
            <w:r w:rsidR="00A94941">
              <w:rPr>
                <w:rFonts w:cs="Arial"/>
              </w:rPr>
              <w:t xml:space="preserve"> primary care prescriber</w:t>
            </w:r>
            <w:r w:rsidR="00452435">
              <w:rPr>
                <w:rFonts w:cs="Arial"/>
              </w:rPr>
              <w:t xml:space="preserve"> and </w:t>
            </w:r>
            <w:hyperlink w:anchor="Appendix_2" w:history="1">
              <w:r w:rsidR="00452435" w:rsidRPr="006E7D1B">
                <w:rPr>
                  <w:rStyle w:val="Hyperlink"/>
                  <w:rFonts w:cs="Arial"/>
                </w:rPr>
                <w:t>Appendix 2</w:t>
              </w:r>
            </w:hyperlink>
            <w:r w:rsidR="00452435">
              <w:rPr>
                <w:rFonts w:cs="Arial"/>
              </w:rPr>
              <w:t xml:space="preserve"> for sample </w:t>
            </w:r>
            <w:r w:rsidR="00482302">
              <w:rPr>
                <w:rFonts w:cs="Arial"/>
              </w:rPr>
              <w:t>shared care agreement letter from primary care prescriber to specialist</w:t>
            </w:r>
            <w:r w:rsidR="00031541">
              <w:rPr>
                <w:rFonts w:cs="Arial"/>
              </w:rPr>
              <w:t>)</w:t>
            </w:r>
            <w:r w:rsidRPr="00243D8D">
              <w:rPr>
                <w:rFonts w:cs="Arial"/>
              </w:rPr>
              <w:t>.</w:t>
            </w:r>
            <w:r w:rsidR="00452435">
              <w:rPr>
                <w:rFonts w:cs="Arial"/>
              </w:rPr>
              <w:t xml:space="preserve"> </w:t>
            </w:r>
          </w:p>
          <w:p w14:paraId="7B3BCD5B" w14:textId="760A81E4" w:rsidR="00243D8D" w:rsidRPr="00243D8D" w:rsidRDefault="00243D8D" w:rsidP="00243D8D">
            <w:pPr>
              <w:rPr>
                <w:rFonts w:cs="Arial"/>
              </w:rPr>
            </w:pPr>
            <w:r w:rsidRPr="00243D8D">
              <w:rPr>
                <w:rFonts w:cs="Arial"/>
              </w:rPr>
              <w:t>The specialist will retain the responsibility for monitoring the patient’s ongoing response to treatment and advise if a dose change or treatment cessation is appropriate. This should usually be undertaken annually.</w:t>
            </w:r>
          </w:p>
          <w:p w14:paraId="3672B0FF" w14:textId="2B154E09" w:rsidR="00243D8D" w:rsidRPr="0041687B" w:rsidRDefault="00243D8D" w:rsidP="00243D8D">
            <w:pPr>
              <w:rPr>
                <w:rFonts w:cs="Arial"/>
              </w:rPr>
            </w:pPr>
            <w:r w:rsidRPr="00243D8D">
              <w:rPr>
                <w:rFonts w:cs="Arial"/>
              </w:rPr>
              <w:t xml:space="preserve">When a patient is reviewed, advise primary care whether treatment should be continued, confirm the ongoing dose, and whether the ongoing monitoring outlined in </w:t>
            </w:r>
            <w:hyperlink w:anchor="six_monitoring" w:history="1">
              <w:r w:rsidRPr="00BF4BA2">
                <w:rPr>
                  <w:rStyle w:val="Hyperlink"/>
                  <w:rFonts w:cs="Arial"/>
                </w:rPr>
                <w:t>section 6</w:t>
              </w:r>
            </w:hyperlink>
            <w:r w:rsidRPr="00243D8D">
              <w:rPr>
                <w:rFonts w:cs="Arial"/>
              </w:rPr>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10" w:name="six_monitoring"/>
      <w:bookmarkStart w:id="11" w:name="_Toc149231790"/>
      <w:r w:rsidRPr="00F321FC">
        <w:rPr>
          <w:rFonts w:cs="Arial"/>
        </w:rPr>
        <w:t>Ongoing monitoring requirements to be undertaken by primary care</w:t>
      </w:r>
      <w:bookmarkEnd w:id="11"/>
    </w:p>
    <w:bookmarkEnd w:id="10"/>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D5504F" w:rsidRPr="00F321FC" w14:paraId="33418424" w14:textId="77777777" w:rsidTr="000B18BF">
        <w:tc>
          <w:tcPr>
            <w:tcW w:w="5245" w:type="dxa"/>
          </w:tcPr>
          <w:p w14:paraId="7CD6468D" w14:textId="77777777" w:rsidR="00D5504F" w:rsidRDefault="00D5504F" w:rsidP="00D5504F">
            <w:pPr>
              <w:autoSpaceDE w:val="0"/>
              <w:autoSpaceDN w:val="0"/>
              <w:adjustRightInd w:val="0"/>
              <w:spacing w:after="0"/>
              <w:rPr>
                <w:rFonts w:eastAsia="Times New Roman" w:cstheme="minorHAnsi"/>
                <w:b/>
                <w:color w:val="000000"/>
                <w:lang w:eastAsia="en-GB"/>
              </w:rPr>
            </w:pPr>
            <w:r>
              <w:rPr>
                <w:rFonts w:eastAsia="Times New Roman" w:cstheme="minorHAnsi"/>
                <w:b/>
                <w:color w:val="000000"/>
                <w:lang w:eastAsia="en-GB"/>
              </w:rPr>
              <w:t xml:space="preserve">Plasma lithium level taken 10-14 hours post-dose. NB: samples should be taken as close to 12-hours post-dose as possible. </w:t>
            </w:r>
          </w:p>
          <w:p w14:paraId="1B8B24DE" w14:textId="77777777" w:rsidR="00B515FA" w:rsidRPr="00B515FA" w:rsidRDefault="00D5504F" w:rsidP="00B515FA">
            <w:pPr>
              <w:pStyle w:val="ListParagraph"/>
              <w:numPr>
                <w:ilvl w:val="0"/>
                <w:numId w:val="7"/>
              </w:numPr>
              <w:spacing w:before="0" w:after="0"/>
              <w:ind w:left="357" w:hanging="357"/>
              <w:rPr>
                <w:rFonts w:cs="Arial"/>
              </w:rPr>
            </w:pPr>
            <w:r>
              <w:rPr>
                <w:rFonts w:eastAsia="Times New Roman" w:cstheme="minorHAnsi"/>
                <w:color w:val="000000"/>
                <w:lang w:eastAsia="en-GB"/>
              </w:rPr>
              <w:t xml:space="preserve">Record results in the patient’s record as well as patient-held purple lithium pack, or other suitable recording mechanism. </w:t>
            </w:r>
          </w:p>
          <w:p w14:paraId="38C3A527" w14:textId="3EA6AEC2" w:rsidR="00D5504F" w:rsidRPr="007A56FB" w:rsidRDefault="00D5504F" w:rsidP="00B515FA">
            <w:pPr>
              <w:pStyle w:val="ListParagraph"/>
              <w:numPr>
                <w:ilvl w:val="0"/>
                <w:numId w:val="7"/>
              </w:numPr>
              <w:spacing w:before="0" w:after="0"/>
              <w:ind w:left="357" w:hanging="357"/>
              <w:rPr>
                <w:rFonts w:cs="Arial"/>
              </w:rPr>
            </w:pPr>
            <w:r>
              <w:rPr>
                <w:rFonts w:eastAsia="Times New Roman" w:cstheme="minorHAnsi"/>
                <w:iCs/>
                <w:color w:val="000000"/>
                <w:lang w:eastAsia="en-GB"/>
              </w:rPr>
              <w:t>It is advisable to document the actual time interval between the last dose and the blood sample</w:t>
            </w:r>
          </w:p>
        </w:tc>
        <w:tc>
          <w:tcPr>
            <w:tcW w:w="5245" w:type="dxa"/>
          </w:tcPr>
          <w:p w14:paraId="1F76DC98" w14:textId="43CC07EA" w:rsidR="00D5504F" w:rsidRDefault="004671D7" w:rsidP="00D5504F">
            <w:pPr>
              <w:rPr>
                <w:rFonts w:cs="Arial"/>
                <w:b/>
                <w:bCs/>
              </w:rPr>
            </w:pPr>
            <w:r>
              <w:rPr>
                <w:rFonts w:cs="Arial"/>
                <w:b/>
                <w:bCs/>
              </w:rPr>
              <w:t>At least every 3 months for the first yea</w:t>
            </w:r>
            <w:r w:rsidR="00FC0F0D">
              <w:rPr>
                <w:rFonts w:cs="Arial"/>
                <w:b/>
                <w:bCs/>
              </w:rPr>
              <w:t>r</w:t>
            </w:r>
            <w:r w:rsidR="0093321A">
              <w:rPr>
                <w:rFonts w:cs="Arial"/>
                <w:b/>
                <w:bCs/>
              </w:rPr>
              <w:t>. A</w:t>
            </w:r>
            <w:r>
              <w:rPr>
                <w:rFonts w:cs="Arial"/>
                <w:b/>
                <w:bCs/>
              </w:rPr>
              <w:t>fter a year, monitoring of stable patients can be extended to 6-monthly, as advised by the specialist team</w:t>
            </w:r>
            <w:r w:rsidR="0093321A">
              <w:rPr>
                <w:rFonts w:cs="Arial"/>
                <w:b/>
                <w:bCs/>
              </w:rPr>
              <w:t xml:space="preserve"> </w:t>
            </w:r>
            <w:r>
              <w:rPr>
                <w:rFonts w:cs="Arial"/>
                <w:b/>
                <w:bCs/>
              </w:rPr>
              <w:t>- this is not recommended in the following patients for whom 3-monthly monitoring should be maintained or re-established:</w:t>
            </w:r>
          </w:p>
          <w:p w14:paraId="5F8106E0" w14:textId="77777777" w:rsidR="004671D7" w:rsidRPr="004671D7" w:rsidRDefault="004671D7" w:rsidP="004671D7">
            <w:pPr>
              <w:pStyle w:val="ListParagraph"/>
              <w:numPr>
                <w:ilvl w:val="0"/>
                <w:numId w:val="25"/>
              </w:numPr>
              <w:rPr>
                <w:rFonts w:cs="Arial"/>
                <w:b/>
                <w:bCs/>
              </w:rPr>
            </w:pPr>
            <w:r>
              <w:rPr>
                <w:rFonts w:cs="Arial"/>
              </w:rPr>
              <w:t>Pregnant</w:t>
            </w:r>
          </w:p>
          <w:p w14:paraId="3DDEBD6E" w14:textId="77777777" w:rsidR="004671D7" w:rsidRPr="004671D7" w:rsidRDefault="004671D7" w:rsidP="004671D7">
            <w:pPr>
              <w:pStyle w:val="ListParagraph"/>
              <w:numPr>
                <w:ilvl w:val="0"/>
                <w:numId w:val="25"/>
              </w:numPr>
              <w:rPr>
                <w:rFonts w:cs="Arial"/>
                <w:b/>
                <w:bCs/>
              </w:rPr>
            </w:pPr>
            <w:r>
              <w:rPr>
                <w:rFonts w:cs="Arial"/>
              </w:rPr>
              <w:t>Aged 65 years or older</w:t>
            </w:r>
          </w:p>
          <w:p w14:paraId="7B5761FE" w14:textId="77777777" w:rsidR="004671D7" w:rsidRDefault="004671D7" w:rsidP="004671D7">
            <w:pPr>
              <w:pStyle w:val="ListParagraph"/>
              <w:numPr>
                <w:ilvl w:val="0"/>
                <w:numId w:val="25"/>
              </w:numPr>
              <w:rPr>
                <w:rFonts w:cs="Arial"/>
              </w:rPr>
            </w:pPr>
            <w:r w:rsidRPr="004671D7">
              <w:rPr>
                <w:rFonts w:cs="Arial"/>
              </w:rPr>
              <w:t xml:space="preserve">People taking interacting </w:t>
            </w:r>
            <w:r>
              <w:rPr>
                <w:rFonts w:cs="Arial"/>
              </w:rPr>
              <w:t>medicines</w:t>
            </w:r>
          </w:p>
          <w:p w14:paraId="04DCADB6" w14:textId="77777777" w:rsidR="004671D7" w:rsidRDefault="004671D7" w:rsidP="004671D7">
            <w:pPr>
              <w:pStyle w:val="ListParagraph"/>
              <w:numPr>
                <w:ilvl w:val="0"/>
                <w:numId w:val="25"/>
              </w:numPr>
              <w:rPr>
                <w:rFonts w:cs="Arial"/>
              </w:rPr>
            </w:pPr>
            <w:r>
              <w:rPr>
                <w:rFonts w:cs="Arial"/>
              </w:rPr>
              <w:t xml:space="preserve">People at risk of impaired renal* or thyroid function, raised </w:t>
            </w:r>
            <w:r w:rsidR="005A7657">
              <w:rPr>
                <w:rFonts w:cs="Arial"/>
              </w:rPr>
              <w:t>calcium levels or other complications.</w:t>
            </w:r>
          </w:p>
          <w:p w14:paraId="257EE04E" w14:textId="77777777" w:rsidR="005A7657" w:rsidRDefault="005A7657" w:rsidP="004671D7">
            <w:pPr>
              <w:pStyle w:val="ListParagraph"/>
              <w:numPr>
                <w:ilvl w:val="0"/>
                <w:numId w:val="25"/>
              </w:numPr>
              <w:rPr>
                <w:rFonts w:cs="Arial"/>
              </w:rPr>
            </w:pPr>
            <w:r>
              <w:rPr>
                <w:rFonts w:cs="Arial"/>
              </w:rPr>
              <w:lastRenderedPageBreak/>
              <w:t>People with poor symptom control</w:t>
            </w:r>
          </w:p>
          <w:p w14:paraId="197FBA63" w14:textId="77777777" w:rsidR="005A7657" w:rsidRDefault="005A7657" w:rsidP="004671D7">
            <w:pPr>
              <w:pStyle w:val="ListParagraph"/>
              <w:numPr>
                <w:ilvl w:val="0"/>
                <w:numId w:val="25"/>
              </w:numPr>
              <w:rPr>
                <w:rFonts w:cs="Arial"/>
              </w:rPr>
            </w:pPr>
            <w:r>
              <w:rPr>
                <w:rFonts w:cs="Arial"/>
              </w:rPr>
              <w:t>People with poor adherence</w:t>
            </w:r>
          </w:p>
          <w:p w14:paraId="061DFD54" w14:textId="10E14B43" w:rsidR="005A7657" w:rsidRDefault="005A7657" w:rsidP="004671D7">
            <w:pPr>
              <w:pStyle w:val="ListParagraph"/>
              <w:numPr>
                <w:ilvl w:val="0"/>
                <w:numId w:val="25"/>
              </w:numPr>
              <w:rPr>
                <w:rFonts w:cs="Arial"/>
              </w:rPr>
            </w:pPr>
            <w:r>
              <w:rPr>
                <w:rFonts w:cs="Arial"/>
              </w:rPr>
              <w:t xml:space="preserve">People with most recent 12-hour </w:t>
            </w:r>
            <w:r w:rsidR="00AD5717">
              <w:rPr>
                <w:rFonts w:cs="Arial"/>
              </w:rPr>
              <w:t xml:space="preserve">post dose </w:t>
            </w:r>
            <w:r>
              <w:rPr>
                <w:rFonts w:cs="Arial"/>
              </w:rPr>
              <w:t>plasma lithium level at 0.8mmol/litre or higher.</w:t>
            </w:r>
          </w:p>
          <w:p w14:paraId="03A24C72" w14:textId="77777777" w:rsidR="005A7657" w:rsidRDefault="005A7657" w:rsidP="004671D7">
            <w:pPr>
              <w:pStyle w:val="ListParagraph"/>
              <w:numPr>
                <w:ilvl w:val="0"/>
                <w:numId w:val="25"/>
              </w:numPr>
              <w:rPr>
                <w:rFonts w:cs="Arial"/>
              </w:rPr>
            </w:pPr>
            <w:r>
              <w:rPr>
                <w:rFonts w:cs="Arial"/>
              </w:rPr>
              <w:t xml:space="preserve">People with significant change in sodium or fluid intake </w:t>
            </w:r>
          </w:p>
          <w:p w14:paraId="57BB59F3" w14:textId="77777777" w:rsidR="005A7657" w:rsidRDefault="005A7657" w:rsidP="005A7657">
            <w:pPr>
              <w:rPr>
                <w:rFonts w:cs="Arial"/>
              </w:rPr>
            </w:pPr>
          </w:p>
          <w:p w14:paraId="54519A02" w14:textId="36E991CA" w:rsidR="005A7657" w:rsidRDefault="005A7657" w:rsidP="005A7657">
            <w:pPr>
              <w:rPr>
                <w:rFonts w:cs="Arial"/>
              </w:rPr>
            </w:pPr>
            <w:r>
              <w:rPr>
                <w:rFonts w:cs="Arial"/>
              </w:rPr>
              <w:t xml:space="preserve">Consider additional monitoring whenever there is a change in the patient's circumstance </w:t>
            </w:r>
            <w:r w:rsidR="000373DE">
              <w:rPr>
                <w:rFonts w:cs="Arial"/>
              </w:rPr>
              <w:t>e.g.</w:t>
            </w:r>
            <w:r>
              <w:rPr>
                <w:rFonts w:cs="Arial"/>
              </w:rPr>
              <w:t xml:space="preserve"> intercurrent illness.</w:t>
            </w:r>
          </w:p>
          <w:p w14:paraId="1F5632C3" w14:textId="77777777" w:rsidR="005A7657" w:rsidRDefault="005A7657" w:rsidP="005A7657">
            <w:pPr>
              <w:rPr>
                <w:rFonts w:cs="Arial"/>
              </w:rPr>
            </w:pPr>
            <w:r>
              <w:rPr>
                <w:rFonts w:cs="Arial"/>
              </w:rPr>
              <w:t>*declining eGFR or urea and creatinine elevated.</w:t>
            </w:r>
          </w:p>
          <w:p w14:paraId="460119A4" w14:textId="1CD3347F" w:rsidR="00F42317" w:rsidRPr="005A7657" w:rsidRDefault="00F42317" w:rsidP="005A7657">
            <w:pPr>
              <w:rPr>
                <w:rFonts w:cs="Arial"/>
              </w:rPr>
            </w:pPr>
            <w:r>
              <w:rPr>
                <w:rFonts w:cs="Arial"/>
              </w:rPr>
              <w:t>If the patient does not attend for their regular monitoring, advise the specialist so they can advise on actions to take</w:t>
            </w:r>
          </w:p>
        </w:tc>
      </w:tr>
      <w:tr w:rsidR="00D5504F" w:rsidRPr="00F321FC" w14:paraId="60A93057" w14:textId="77777777" w:rsidTr="000B18BF">
        <w:tc>
          <w:tcPr>
            <w:tcW w:w="5245" w:type="dxa"/>
          </w:tcPr>
          <w:p w14:paraId="1E1F6663" w14:textId="77777777" w:rsidR="00D5504F" w:rsidRDefault="00D5504F" w:rsidP="00D5504F">
            <w:pPr>
              <w:spacing w:after="0"/>
              <w:rPr>
                <w:rFonts w:eastAsia="Times New Roman" w:cstheme="minorHAnsi"/>
                <w:b/>
                <w:lang w:eastAsia="en-GB"/>
              </w:rPr>
            </w:pPr>
            <w:r>
              <w:rPr>
                <w:rFonts w:eastAsia="Times New Roman" w:cstheme="minorHAnsi"/>
                <w:b/>
                <w:lang w:eastAsia="en-GB"/>
              </w:rPr>
              <w:lastRenderedPageBreak/>
              <w:t>U&amp;Es, including eGFR</w:t>
            </w:r>
          </w:p>
          <w:p w14:paraId="35A79BDD" w14:textId="77777777" w:rsidR="00D5504F" w:rsidRDefault="00D5504F" w:rsidP="00D5504F">
            <w:pPr>
              <w:spacing w:after="0"/>
              <w:rPr>
                <w:rFonts w:eastAsia="Times New Roman" w:cstheme="minorHAnsi"/>
                <w:b/>
                <w:lang w:eastAsia="en-GB"/>
              </w:rPr>
            </w:pPr>
            <w:r>
              <w:rPr>
                <w:rFonts w:eastAsia="Times New Roman" w:cstheme="minorHAnsi"/>
                <w:b/>
                <w:lang w:eastAsia="en-GB"/>
              </w:rPr>
              <w:t>Calcium</w:t>
            </w:r>
          </w:p>
          <w:p w14:paraId="7A133417" w14:textId="77777777" w:rsidR="00D5504F" w:rsidRDefault="00D5504F" w:rsidP="00D5504F">
            <w:pPr>
              <w:spacing w:after="0"/>
              <w:rPr>
                <w:rFonts w:eastAsia="Times New Roman" w:cstheme="minorHAnsi"/>
                <w:b/>
                <w:lang w:eastAsia="en-GB"/>
              </w:rPr>
            </w:pPr>
            <w:r>
              <w:rPr>
                <w:rFonts w:eastAsia="Times New Roman" w:cstheme="minorHAnsi"/>
                <w:b/>
                <w:lang w:eastAsia="en-GB"/>
              </w:rPr>
              <w:t>TFTs</w:t>
            </w:r>
          </w:p>
          <w:p w14:paraId="0C76948D" w14:textId="796534C9" w:rsidR="00D5504F" w:rsidRPr="00F321FC" w:rsidRDefault="007A0D6E" w:rsidP="00D5504F">
            <w:pPr>
              <w:rPr>
                <w:rFonts w:cs="Arial"/>
              </w:rPr>
            </w:pPr>
            <w:r>
              <w:rPr>
                <w:rFonts w:eastAsia="Times New Roman" w:cstheme="minorHAnsi"/>
                <w:b/>
                <w:lang w:eastAsia="en-GB"/>
              </w:rPr>
              <w:t>Body</w:t>
            </w:r>
            <w:r w:rsidR="00D5504F">
              <w:rPr>
                <w:rFonts w:eastAsia="Times New Roman" w:cstheme="minorHAnsi"/>
                <w:b/>
                <w:lang w:eastAsia="en-GB"/>
              </w:rPr>
              <w:t xml:space="preserve">weight </w:t>
            </w:r>
            <w:r>
              <w:rPr>
                <w:rFonts w:eastAsia="Times New Roman" w:cstheme="minorHAnsi"/>
                <w:b/>
                <w:lang w:eastAsia="en-GB"/>
              </w:rPr>
              <w:t xml:space="preserve">or </w:t>
            </w:r>
            <w:r w:rsidR="00D5504F">
              <w:rPr>
                <w:rFonts w:eastAsia="Times New Roman" w:cstheme="minorHAnsi"/>
                <w:b/>
                <w:lang w:eastAsia="en-GB"/>
              </w:rPr>
              <w:t xml:space="preserve">BMI. </w:t>
            </w:r>
          </w:p>
        </w:tc>
        <w:tc>
          <w:tcPr>
            <w:tcW w:w="5245" w:type="dxa"/>
          </w:tcPr>
          <w:p w14:paraId="317CF4C6" w14:textId="77777777" w:rsidR="00D5504F" w:rsidRDefault="00D5504F" w:rsidP="00D5504F">
            <w:pPr>
              <w:spacing w:after="0"/>
              <w:rPr>
                <w:rFonts w:eastAsia="Times New Roman" w:cstheme="minorHAnsi"/>
                <w:b/>
                <w:iCs/>
                <w:color w:val="000000"/>
                <w:lang w:eastAsia="en-GB"/>
              </w:rPr>
            </w:pPr>
            <w:r>
              <w:rPr>
                <w:rFonts w:eastAsia="Times New Roman" w:cstheme="minorHAnsi"/>
                <w:b/>
                <w:iCs/>
                <w:color w:val="000000"/>
                <w:lang w:eastAsia="en-GB"/>
              </w:rPr>
              <w:t xml:space="preserve">Every 6 months. </w:t>
            </w:r>
          </w:p>
          <w:p w14:paraId="042F7863" w14:textId="77777777" w:rsidR="00D5504F" w:rsidRDefault="005A7657" w:rsidP="00D5504F">
            <w:pPr>
              <w:rPr>
                <w:rFonts w:cs="Arial"/>
              </w:rPr>
            </w:pPr>
            <w:r>
              <w:rPr>
                <w:rFonts w:cs="Arial"/>
              </w:rPr>
              <w:t>More frequent monitoring( particularly renal function) may be advised by the specialist team in some higher risk patients – see list above.</w:t>
            </w:r>
          </w:p>
          <w:p w14:paraId="5A85F8DE" w14:textId="08C95D0C" w:rsidR="007F09E5" w:rsidRPr="00F321FC" w:rsidRDefault="007F09E5" w:rsidP="00D5504F">
            <w:pPr>
              <w:rPr>
                <w:rFonts w:cs="Arial"/>
              </w:rPr>
            </w:pPr>
            <w:r>
              <w:rPr>
                <w:rFonts w:cs="Arial"/>
              </w:rPr>
              <w:t>If the patient does not attend for their regular monitoring, advise the specialist so they can advise on actions to take</w:t>
            </w:r>
          </w:p>
        </w:tc>
      </w:tr>
      <w:tr w:rsidR="00D5504F" w:rsidRPr="00F321FC" w14:paraId="50A88F0A" w14:textId="77777777" w:rsidTr="000B18BF">
        <w:tc>
          <w:tcPr>
            <w:tcW w:w="5245" w:type="dxa"/>
          </w:tcPr>
          <w:p w14:paraId="6C199018" w14:textId="77777777" w:rsidR="00D5504F" w:rsidRDefault="00D5504F" w:rsidP="00D5504F">
            <w:pPr>
              <w:spacing w:after="0"/>
              <w:rPr>
                <w:rFonts w:eastAsia="Times New Roman" w:cstheme="minorHAnsi"/>
                <w:lang w:eastAsia="en-GB"/>
              </w:rPr>
            </w:pPr>
            <w:r>
              <w:rPr>
                <w:rFonts w:eastAsia="Times New Roman" w:cstheme="minorHAnsi"/>
                <w:b/>
                <w:lang w:eastAsia="en-GB"/>
              </w:rPr>
              <w:t>Signs of toxicity</w:t>
            </w:r>
            <w:r>
              <w:rPr>
                <w:rFonts w:eastAsia="Times New Roman" w:cstheme="minorHAnsi"/>
                <w:lang w:eastAsia="en-GB"/>
              </w:rPr>
              <w:t xml:space="preserve"> </w:t>
            </w:r>
          </w:p>
          <w:p w14:paraId="0C5A175F" w14:textId="2BB9EB65" w:rsidR="00D5504F" w:rsidRDefault="00D5504F" w:rsidP="00D5504F">
            <w:pPr>
              <w:rPr>
                <w:rFonts w:eastAsia="Times New Roman" w:cstheme="minorHAnsi"/>
                <w:color w:val="000000"/>
                <w:lang w:eastAsia="en-GB"/>
              </w:rPr>
            </w:pPr>
            <w:r>
              <w:rPr>
                <w:rFonts w:eastAsia="Times New Roman" w:cstheme="minorHAnsi"/>
                <w:lang w:eastAsia="en-GB"/>
              </w:rPr>
              <w:t>Enquire about and document signs and symptoms which might indicate toxicity, e.g. paraesthesia, ataxia, tremor, cognitive impairment.</w:t>
            </w:r>
          </w:p>
        </w:tc>
        <w:tc>
          <w:tcPr>
            <w:tcW w:w="5245" w:type="dxa"/>
          </w:tcPr>
          <w:p w14:paraId="773F40DE" w14:textId="16885324" w:rsidR="00D5504F" w:rsidRDefault="00D5504F" w:rsidP="00D5504F">
            <w:pPr>
              <w:rPr>
                <w:rFonts w:eastAsia="Times New Roman" w:cstheme="minorHAnsi"/>
                <w:iCs/>
                <w:color w:val="000000"/>
                <w:lang w:eastAsia="en-GB"/>
              </w:rPr>
            </w:pPr>
            <w:r>
              <w:rPr>
                <w:rFonts w:eastAsia="Times New Roman" w:cstheme="minorHAnsi"/>
                <w:b/>
                <w:iCs/>
                <w:color w:val="000000"/>
                <w:lang w:eastAsia="en-GB"/>
              </w:rPr>
              <w:t xml:space="preserve">At every consultation with the prescriber regarding lithium treatment </w:t>
            </w:r>
          </w:p>
        </w:tc>
      </w:tr>
      <w:tr w:rsidR="00D5504F" w:rsidRPr="00F321FC" w14:paraId="375127DD" w14:textId="77777777" w:rsidTr="000B18BF">
        <w:tc>
          <w:tcPr>
            <w:tcW w:w="5245" w:type="dxa"/>
          </w:tcPr>
          <w:p w14:paraId="0F4D065D" w14:textId="0BAA36C5" w:rsidR="00D5504F" w:rsidRPr="00D5504F" w:rsidRDefault="00D5504F" w:rsidP="00D5504F">
            <w:pPr>
              <w:autoSpaceDE w:val="0"/>
              <w:autoSpaceDN w:val="0"/>
              <w:adjustRightInd w:val="0"/>
              <w:rPr>
                <w:rFonts w:eastAsia="Times New Roman" w:cstheme="minorHAnsi"/>
                <w:b/>
                <w:color w:val="000000"/>
                <w:lang w:eastAsia="en-GB"/>
              </w:rPr>
            </w:pPr>
            <w:r>
              <w:rPr>
                <w:rFonts w:eastAsia="Times New Roman" w:cstheme="minorHAnsi"/>
                <w:b/>
                <w:color w:val="000000"/>
                <w:lang w:eastAsia="en-GB"/>
              </w:rPr>
              <w:t>Additional monitoring: bipolar disorder</w:t>
            </w:r>
          </w:p>
          <w:p w14:paraId="5F6C36A2" w14:textId="72F3D55B" w:rsidR="00D5504F" w:rsidRPr="00D5504F" w:rsidRDefault="00D5504F" w:rsidP="00093D5F">
            <w:pPr>
              <w:pStyle w:val="ListParagraph"/>
              <w:numPr>
                <w:ilvl w:val="0"/>
                <w:numId w:val="7"/>
              </w:numPr>
              <w:autoSpaceDE w:val="0"/>
              <w:autoSpaceDN w:val="0"/>
              <w:adjustRightInd w:val="0"/>
              <w:rPr>
                <w:rFonts w:eastAsia="Times New Roman" w:cstheme="minorHAnsi"/>
                <w:bCs/>
                <w:color w:val="000000"/>
                <w:lang w:eastAsia="en-GB"/>
              </w:rPr>
            </w:pPr>
            <w:r w:rsidRPr="00D5504F">
              <w:rPr>
                <w:rFonts w:eastAsia="Times New Roman" w:cstheme="minorHAnsi"/>
                <w:bCs/>
                <w:color w:val="000000"/>
                <w:lang w:eastAsia="en-GB"/>
              </w:rPr>
              <w:t>Diet, nutritional status and level of physical activity.</w:t>
            </w:r>
          </w:p>
          <w:p w14:paraId="5578BB65" w14:textId="77777777" w:rsidR="00D5504F" w:rsidRPr="00D5504F" w:rsidRDefault="00D5504F" w:rsidP="00093D5F">
            <w:pPr>
              <w:pStyle w:val="ListParagraph"/>
              <w:numPr>
                <w:ilvl w:val="0"/>
                <w:numId w:val="7"/>
              </w:numPr>
              <w:autoSpaceDE w:val="0"/>
              <w:autoSpaceDN w:val="0"/>
              <w:adjustRightInd w:val="0"/>
              <w:rPr>
                <w:rFonts w:eastAsia="Times New Roman" w:cstheme="minorHAnsi"/>
                <w:bCs/>
                <w:color w:val="000000"/>
                <w:lang w:eastAsia="en-GB"/>
              </w:rPr>
            </w:pPr>
            <w:r w:rsidRPr="00D5504F">
              <w:rPr>
                <w:rFonts w:eastAsia="Times New Roman" w:cstheme="minorHAnsi"/>
                <w:bCs/>
                <w:color w:val="000000"/>
                <w:lang w:eastAsia="en-GB"/>
              </w:rPr>
              <w:t>Cardiovascular status including pulse and BP.</w:t>
            </w:r>
          </w:p>
          <w:p w14:paraId="13B9E3AA" w14:textId="77777777" w:rsidR="00D5504F" w:rsidRPr="00D5504F" w:rsidRDefault="00D5504F" w:rsidP="00093D5F">
            <w:pPr>
              <w:pStyle w:val="ListParagraph"/>
              <w:numPr>
                <w:ilvl w:val="0"/>
                <w:numId w:val="7"/>
              </w:numPr>
              <w:autoSpaceDE w:val="0"/>
              <w:autoSpaceDN w:val="0"/>
              <w:adjustRightInd w:val="0"/>
              <w:rPr>
                <w:rFonts w:eastAsia="Times New Roman" w:cstheme="minorHAnsi"/>
                <w:bCs/>
                <w:color w:val="000000"/>
                <w:lang w:eastAsia="en-GB"/>
              </w:rPr>
            </w:pPr>
            <w:r w:rsidRPr="00D5504F">
              <w:rPr>
                <w:rFonts w:eastAsia="Times New Roman" w:cstheme="minorHAnsi"/>
                <w:bCs/>
                <w:color w:val="000000"/>
                <w:lang w:eastAsia="en-GB"/>
              </w:rPr>
              <w:t>Metabolic status including fasting blood glucose, HbA</w:t>
            </w:r>
            <w:r w:rsidRPr="00D5504F">
              <w:rPr>
                <w:rFonts w:eastAsia="Times New Roman" w:cstheme="minorHAnsi"/>
                <w:bCs/>
                <w:color w:val="000000"/>
                <w:vertAlign w:val="subscript"/>
                <w:lang w:eastAsia="en-GB"/>
              </w:rPr>
              <w:t xml:space="preserve">1c </w:t>
            </w:r>
            <w:r w:rsidRPr="00D5504F">
              <w:rPr>
                <w:rFonts w:eastAsia="Times New Roman" w:cstheme="minorHAnsi"/>
                <w:bCs/>
                <w:color w:val="000000"/>
                <w:lang w:eastAsia="en-GB"/>
              </w:rPr>
              <w:t>and blood lipid profile.</w:t>
            </w:r>
          </w:p>
          <w:p w14:paraId="5BA31847" w14:textId="5D5FBFA8" w:rsidR="00D5504F" w:rsidRPr="00D5504F" w:rsidRDefault="00D5504F" w:rsidP="00093D5F">
            <w:pPr>
              <w:pStyle w:val="ListParagraph"/>
              <w:numPr>
                <w:ilvl w:val="0"/>
                <w:numId w:val="7"/>
              </w:numPr>
              <w:spacing w:after="0"/>
              <w:rPr>
                <w:rFonts w:eastAsia="Times New Roman" w:cstheme="minorHAnsi"/>
                <w:b/>
                <w:lang w:eastAsia="en-GB"/>
              </w:rPr>
            </w:pPr>
            <w:r w:rsidRPr="00D5504F">
              <w:rPr>
                <w:rFonts w:eastAsia="Times New Roman" w:cstheme="minorHAnsi"/>
                <w:bCs/>
                <w:color w:val="000000"/>
                <w:lang w:eastAsia="en-GB"/>
              </w:rPr>
              <w:t>LFTs.</w:t>
            </w:r>
          </w:p>
        </w:tc>
        <w:tc>
          <w:tcPr>
            <w:tcW w:w="5245" w:type="dxa"/>
          </w:tcPr>
          <w:p w14:paraId="37B6F9FE" w14:textId="2B2D0BB7" w:rsidR="007D1D2D" w:rsidRDefault="00D5504F" w:rsidP="007D1D2D">
            <w:pPr>
              <w:rPr>
                <w:rFonts w:eastAsia="Times New Roman" w:cstheme="minorHAnsi"/>
                <w:iCs/>
                <w:color w:val="000000"/>
                <w:lang w:eastAsia="en-GB"/>
              </w:rPr>
            </w:pPr>
            <w:r w:rsidRPr="00B515FA">
              <w:rPr>
                <w:rFonts w:eastAsia="Times New Roman" w:cstheme="minorHAnsi"/>
                <w:b/>
                <w:iCs/>
                <w:color w:val="000000"/>
                <w:lang w:eastAsia="en-GB"/>
              </w:rPr>
              <w:t>Annually</w:t>
            </w:r>
            <w:r>
              <w:rPr>
                <w:rFonts w:eastAsia="Times New Roman" w:cstheme="minorHAnsi"/>
                <w:iCs/>
                <w:color w:val="000000"/>
                <w:lang w:eastAsia="en-GB"/>
              </w:rPr>
              <w:t xml:space="preserve"> </w:t>
            </w:r>
          </w:p>
          <w:p w14:paraId="1AE75268" w14:textId="18A2BEB6" w:rsidR="00D5504F" w:rsidRDefault="007D1D2D" w:rsidP="007D1D2D">
            <w:pPr>
              <w:rPr>
                <w:rFonts w:eastAsia="Times New Roman" w:cstheme="minorHAnsi"/>
                <w:b/>
                <w:iCs/>
                <w:color w:val="000000"/>
                <w:lang w:eastAsia="en-GB"/>
              </w:rPr>
            </w:pPr>
            <w:r>
              <w:rPr>
                <w:rFonts w:eastAsia="Times New Roman" w:cstheme="minorHAnsi"/>
                <w:iCs/>
                <w:color w:val="000000"/>
                <w:lang w:eastAsia="en-GB"/>
              </w:rPr>
              <w:t>A</w:t>
            </w:r>
            <w:r w:rsidR="00D5504F">
              <w:rPr>
                <w:rFonts w:eastAsia="Times New Roman" w:cstheme="minorHAnsi"/>
                <w:iCs/>
                <w:color w:val="000000"/>
                <w:lang w:eastAsia="en-GB"/>
              </w:rPr>
              <w:t xml:space="preserve">s part of physical health check recommended in NICE </w:t>
            </w:r>
            <w:hyperlink r:id="rId14" w:history="1">
              <w:r w:rsidR="00D5504F">
                <w:rPr>
                  <w:rStyle w:val="Hyperlink"/>
                  <w:rFonts w:eastAsia="Times New Roman" w:cstheme="minorHAnsi"/>
                  <w:iCs/>
                  <w:lang w:eastAsia="en-GB"/>
                </w:rPr>
                <w:t>CG185 Bipolar disorder:  assessment and management</w:t>
              </w:r>
            </w:hyperlink>
            <w:r w:rsidR="00D5504F">
              <w:rPr>
                <w:rFonts w:eastAsia="Times New Roman" w:cstheme="minorHAnsi"/>
                <w:iCs/>
                <w:color w:val="000000"/>
                <w:lang w:eastAsia="en-GB"/>
              </w:rPr>
              <w:t xml:space="preserve">. </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D5504F" w:rsidRPr="00F321FC" w14:paraId="793C17AD" w14:textId="77777777" w:rsidTr="000B18BF">
        <w:trPr>
          <w:cantSplit/>
        </w:trPr>
        <w:tc>
          <w:tcPr>
            <w:tcW w:w="2410" w:type="dxa"/>
          </w:tcPr>
          <w:p w14:paraId="435FCFFB" w14:textId="2404CE1C" w:rsidR="00D5504F" w:rsidRPr="00F321FC" w:rsidRDefault="00D5504F" w:rsidP="00D5504F">
            <w:pPr>
              <w:rPr>
                <w:rFonts w:cs="Arial"/>
              </w:rPr>
            </w:pPr>
            <w:r w:rsidRPr="00F321FC">
              <w:rPr>
                <w:rFonts w:cs="Arial"/>
              </w:rPr>
              <w:t>Route of administration:</w:t>
            </w:r>
          </w:p>
        </w:tc>
        <w:tc>
          <w:tcPr>
            <w:tcW w:w="8080" w:type="dxa"/>
            <w:vAlign w:val="center"/>
          </w:tcPr>
          <w:p w14:paraId="58A97D63" w14:textId="477B92F6" w:rsidR="00D5504F" w:rsidRPr="00F321FC" w:rsidRDefault="00D5504F" w:rsidP="00D5504F">
            <w:pPr>
              <w:rPr>
                <w:rFonts w:cs="Arial"/>
              </w:rPr>
            </w:pPr>
            <w:r>
              <w:rPr>
                <w:rFonts w:eastAsia="Times New Roman" w:cs="Arial"/>
                <w:szCs w:val="24"/>
                <w:lang w:eastAsia="en-GB"/>
              </w:rPr>
              <w:t>Oral</w:t>
            </w:r>
          </w:p>
        </w:tc>
      </w:tr>
      <w:tr w:rsidR="00D5504F" w:rsidRPr="00F321FC" w14:paraId="0E5DDFDD" w14:textId="77777777" w:rsidTr="00D5504F">
        <w:tc>
          <w:tcPr>
            <w:tcW w:w="2410" w:type="dxa"/>
          </w:tcPr>
          <w:p w14:paraId="3B641692" w14:textId="6763D472" w:rsidR="00D5504F" w:rsidRPr="00F321FC" w:rsidRDefault="00D5504F" w:rsidP="00D5504F">
            <w:pPr>
              <w:rPr>
                <w:rFonts w:cs="Arial"/>
              </w:rPr>
            </w:pPr>
            <w:r w:rsidRPr="00F321FC">
              <w:rPr>
                <w:rFonts w:cs="Arial"/>
              </w:rPr>
              <w:t>Formulation:</w:t>
            </w:r>
          </w:p>
        </w:tc>
        <w:tc>
          <w:tcPr>
            <w:tcW w:w="8080" w:type="dxa"/>
            <w:vAlign w:val="center"/>
          </w:tcPr>
          <w:p w14:paraId="6AC1BA9C" w14:textId="3AA6F908" w:rsidR="00D5504F" w:rsidRPr="002628FF" w:rsidRDefault="00D5504F" w:rsidP="00D5504F">
            <w:pPr>
              <w:shd w:val="clear" w:color="auto" w:fill="FFFFFF"/>
              <w:spacing w:after="0"/>
              <w:rPr>
                <w:rFonts w:eastAsia="Times New Roman" w:cs="Arial"/>
                <w:bCs/>
                <w:szCs w:val="24"/>
              </w:rPr>
            </w:pPr>
            <w:r w:rsidRPr="002628FF">
              <w:rPr>
                <w:rFonts w:eastAsia="Times New Roman" w:cs="Arial"/>
                <w:bCs/>
                <w:szCs w:val="24"/>
              </w:rPr>
              <w:t xml:space="preserve">Lithium is available as lithium carbonate (tablet formulations) and lithium citrate (liquid formulations).  </w:t>
            </w:r>
            <w:r w:rsidR="00965517" w:rsidRPr="002628FF">
              <w:rPr>
                <w:rFonts w:eastAsia="Times New Roman" w:cs="Arial"/>
                <w:bCs/>
                <w:szCs w:val="24"/>
              </w:rPr>
              <w:t xml:space="preserve">Preparations vary widely in bioavailability. </w:t>
            </w:r>
            <w:r w:rsidRPr="002628FF">
              <w:rPr>
                <w:rFonts w:eastAsia="Times New Roman" w:cs="Arial"/>
                <w:bCs/>
                <w:szCs w:val="24"/>
              </w:rPr>
              <w:t>The patient should be maintained on the same brand and formulation of lithium</w:t>
            </w:r>
            <w:r w:rsidR="00965517" w:rsidRPr="002628FF">
              <w:rPr>
                <w:rFonts w:eastAsia="Times New Roman" w:cs="Arial"/>
                <w:bCs/>
                <w:szCs w:val="24"/>
              </w:rPr>
              <w:t xml:space="preserve">; changing </w:t>
            </w:r>
            <w:r w:rsidR="00965517" w:rsidRPr="002628FF">
              <w:rPr>
                <w:rFonts w:eastAsia="Times New Roman" w:cs="Arial"/>
                <w:bCs/>
                <w:szCs w:val="24"/>
              </w:rPr>
              <w:lastRenderedPageBreak/>
              <w:t>the preparation requires the same precautions as initiation of treatment.</w:t>
            </w:r>
            <w:r w:rsidRPr="002628FF">
              <w:rPr>
                <w:rFonts w:eastAsia="Times New Roman" w:cs="Arial"/>
                <w:bCs/>
                <w:szCs w:val="24"/>
              </w:rPr>
              <w:t xml:space="preserve"> If a switch in brand or formulation is considered, refer to the specialist team. Lithium tablets and liquids are not interchangeable.</w:t>
            </w:r>
          </w:p>
          <w:p w14:paraId="2520EB4F" w14:textId="77777777" w:rsidR="00D5504F" w:rsidRPr="002628FF" w:rsidRDefault="00D5504F" w:rsidP="00D5504F">
            <w:pPr>
              <w:shd w:val="clear" w:color="auto" w:fill="FFFFFF"/>
              <w:spacing w:after="0"/>
              <w:rPr>
                <w:rFonts w:eastAsia="Times New Roman" w:cs="Arial"/>
                <w:bCs/>
                <w:szCs w:val="24"/>
              </w:rPr>
            </w:pPr>
          </w:p>
          <w:p w14:paraId="7AEFFA1B" w14:textId="77777777" w:rsidR="00D5504F" w:rsidRDefault="00D5504F" w:rsidP="00D5504F">
            <w:pPr>
              <w:shd w:val="clear" w:color="auto" w:fill="FFFFFF"/>
              <w:spacing w:after="0"/>
              <w:rPr>
                <w:rFonts w:eastAsia="Times New Roman" w:cs="Arial"/>
                <w:szCs w:val="24"/>
              </w:rPr>
            </w:pPr>
            <w:r>
              <w:rPr>
                <w:rFonts w:eastAsia="Times New Roman" w:cs="Arial"/>
                <w:b/>
                <w:szCs w:val="24"/>
              </w:rPr>
              <w:t xml:space="preserve">Lithium Carbonate: </w:t>
            </w:r>
          </w:p>
          <w:p w14:paraId="635AD7CA" w14:textId="77777777" w:rsidR="00D5504F" w:rsidRDefault="00D5504F" w:rsidP="00093D5F">
            <w:pPr>
              <w:numPr>
                <w:ilvl w:val="0"/>
                <w:numId w:val="8"/>
              </w:numPr>
              <w:shd w:val="clear" w:color="auto" w:fill="FFFFFF"/>
              <w:spacing w:before="0" w:after="0" w:line="360" w:lineRule="atLeast"/>
              <w:rPr>
                <w:rFonts w:eastAsia="Times New Roman" w:cs="Arial"/>
                <w:szCs w:val="24"/>
              </w:rPr>
            </w:pPr>
            <w:r>
              <w:rPr>
                <w:rFonts w:eastAsia="Times New Roman" w:cs="Arial"/>
                <w:szCs w:val="24"/>
              </w:rPr>
              <w:t>Priadel® 200 mg and 400 mg prolonged-release tablets</w:t>
            </w:r>
          </w:p>
          <w:p w14:paraId="2F15557F" w14:textId="77777777" w:rsidR="00D5504F" w:rsidRDefault="00D5504F" w:rsidP="00093D5F">
            <w:pPr>
              <w:numPr>
                <w:ilvl w:val="0"/>
                <w:numId w:val="8"/>
              </w:numPr>
              <w:shd w:val="clear" w:color="auto" w:fill="FFFFFF"/>
              <w:spacing w:before="0" w:after="0" w:line="360" w:lineRule="atLeast"/>
              <w:rPr>
                <w:rFonts w:eastAsia="Times New Roman" w:cs="Arial"/>
                <w:szCs w:val="24"/>
              </w:rPr>
            </w:pPr>
            <w:r>
              <w:rPr>
                <w:rFonts w:eastAsia="Times New Roman" w:cs="Arial"/>
                <w:szCs w:val="24"/>
              </w:rPr>
              <w:t>Camcolit® 400 mg controlled release tablets</w:t>
            </w:r>
          </w:p>
          <w:p w14:paraId="607DBF4D" w14:textId="77777777" w:rsidR="00D5504F" w:rsidRDefault="00D5504F" w:rsidP="00093D5F">
            <w:pPr>
              <w:numPr>
                <w:ilvl w:val="0"/>
                <w:numId w:val="8"/>
              </w:numPr>
              <w:shd w:val="clear" w:color="auto" w:fill="FFFFFF"/>
              <w:spacing w:before="0" w:after="0" w:line="360" w:lineRule="atLeast"/>
              <w:rPr>
                <w:rFonts w:eastAsia="Times New Roman" w:cs="Arial"/>
                <w:szCs w:val="24"/>
              </w:rPr>
            </w:pPr>
            <w:r>
              <w:rPr>
                <w:rFonts w:eastAsia="Times New Roman" w:cs="Arial"/>
                <w:szCs w:val="24"/>
              </w:rPr>
              <w:t>Liskonum® 450 mg controlled release tablets</w:t>
            </w:r>
          </w:p>
          <w:p w14:paraId="5320E8D4" w14:textId="77777777" w:rsidR="00D5504F" w:rsidRDefault="00D5504F" w:rsidP="00093D5F">
            <w:pPr>
              <w:numPr>
                <w:ilvl w:val="0"/>
                <w:numId w:val="8"/>
              </w:numPr>
              <w:shd w:val="clear" w:color="auto" w:fill="FFFFFF"/>
              <w:spacing w:before="0" w:after="0" w:line="360" w:lineRule="atLeast"/>
              <w:rPr>
                <w:rFonts w:eastAsia="Times New Roman" w:cs="Arial"/>
                <w:szCs w:val="24"/>
              </w:rPr>
            </w:pPr>
            <w:r>
              <w:rPr>
                <w:rFonts w:eastAsia="Times New Roman" w:cs="Arial"/>
                <w:szCs w:val="24"/>
              </w:rPr>
              <w:t>Lithium carbonate Essential Pharma: 250 mg film-coated tablets (immediate release)</w:t>
            </w:r>
          </w:p>
          <w:p w14:paraId="3090F086" w14:textId="77777777" w:rsidR="00D5504F" w:rsidRDefault="00D5504F" w:rsidP="00D5504F">
            <w:pPr>
              <w:shd w:val="clear" w:color="auto" w:fill="FFFFFF"/>
              <w:spacing w:after="0"/>
              <w:rPr>
                <w:rFonts w:eastAsia="Times New Roman" w:cs="Arial"/>
                <w:szCs w:val="24"/>
              </w:rPr>
            </w:pPr>
          </w:p>
          <w:p w14:paraId="4368008C" w14:textId="77777777" w:rsidR="00D5504F" w:rsidRDefault="00D5504F" w:rsidP="00D5504F">
            <w:pPr>
              <w:shd w:val="clear" w:color="auto" w:fill="FFFFFF"/>
              <w:spacing w:after="0"/>
              <w:rPr>
                <w:rFonts w:eastAsia="Times New Roman" w:cs="Arial"/>
                <w:b/>
                <w:szCs w:val="24"/>
              </w:rPr>
            </w:pPr>
            <w:r>
              <w:rPr>
                <w:rFonts w:eastAsia="Times New Roman" w:cs="Arial"/>
                <w:b/>
                <w:szCs w:val="24"/>
              </w:rPr>
              <w:t xml:space="preserve">Lithium Citrate: </w:t>
            </w:r>
          </w:p>
          <w:p w14:paraId="07E9D9B9" w14:textId="32AC850B" w:rsidR="00D5504F" w:rsidRDefault="00D5504F" w:rsidP="00093D5F">
            <w:pPr>
              <w:numPr>
                <w:ilvl w:val="0"/>
                <w:numId w:val="9"/>
              </w:numPr>
              <w:shd w:val="clear" w:color="auto" w:fill="FFFFFF"/>
              <w:spacing w:before="0" w:after="0" w:line="360" w:lineRule="atLeast"/>
              <w:rPr>
                <w:rFonts w:eastAsia="Times New Roman" w:cs="Arial"/>
                <w:szCs w:val="24"/>
              </w:rPr>
            </w:pPr>
            <w:r>
              <w:rPr>
                <w:rFonts w:eastAsia="Times New Roman" w:cs="Arial"/>
                <w:szCs w:val="24"/>
              </w:rPr>
              <w:t>Priadel® Liquid: 520 mg/5 mL sugar-free, pineapple flavoured syrup</w:t>
            </w:r>
          </w:p>
          <w:p w14:paraId="31524009" w14:textId="1F78C85F" w:rsidR="00D5504F" w:rsidRDefault="00D5504F" w:rsidP="00093D5F">
            <w:pPr>
              <w:numPr>
                <w:ilvl w:val="0"/>
                <w:numId w:val="9"/>
              </w:numPr>
              <w:shd w:val="clear" w:color="auto" w:fill="FFFFFF"/>
              <w:spacing w:before="0" w:after="0" w:line="360" w:lineRule="atLeast"/>
              <w:rPr>
                <w:rFonts w:eastAsia="Times New Roman" w:cs="Arial"/>
                <w:szCs w:val="24"/>
              </w:rPr>
            </w:pPr>
            <w:r>
              <w:rPr>
                <w:rFonts w:eastAsia="Times New Roman" w:cs="Arial"/>
                <w:szCs w:val="24"/>
              </w:rPr>
              <w:t>Li-Liquid®: 509 mg/5 mL and 1,018 mg/5 mL cherry flavoured syrup</w:t>
            </w:r>
          </w:p>
          <w:p w14:paraId="3B6F6B18" w14:textId="77777777" w:rsidR="00D5504F" w:rsidRDefault="00D5504F" w:rsidP="00D5504F">
            <w:pPr>
              <w:shd w:val="clear" w:color="auto" w:fill="FFFFFF"/>
              <w:spacing w:after="0"/>
              <w:rPr>
                <w:rFonts w:eastAsia="Times New Roman" w:cs="Arial"/>
                <w:szCs w:val="24"/>
              </w:rPr>
            </w:pPr>
            <w:r>
              <w:rPr>
                <w:rFonts w:eastAsia="Times New Roman" w:cs="Arial"/>
                <w:szCs w:val="24"/>
              </w:rPr>
              <w:t>Extra care must be taken when prescribing lithium in liquid form, as some offer different strengths (mg/ml) under the same brand name (Li-liquid®) and some brand names (Priadel®) are used for the liquid and tablet forms.</w:t>
            </w:r>
          </w:p>
          <w:p w14:paraId="3C6C38AF" w14:textId="77777777" w:rsidR="00D5504F" w:rsidRDefault="00D5504F" w:rsidP="00D5504F">
            <w:pPr>
              <w:shd w:val="clear" w:color="auto" w:fill="FFFFFF"/>
              <w:spacing w:after="0"/>
              <w:rPr>
                <w:rFonts w:eastAsia="Times New Roman" w:cs="Arial"/>
                <w:szCs w:val="24"/>
              </w:rPr>
            </w:pPr>
          </w:p>
          <w:p w14:paraId="1EC7578F" w14:textId="0393DC70" w:rsidR="00D5504F" w:rsidRDefault="00D5504F" w:rsidP="00D5504F">
            <w:pPr>
              <w:spacing w:after="0"/>
              <w:rPr>
                <w:rFonts w:eastAsia="Times New Roman" w:cs="Arial"/>
                <w:b/>
                <w:iCs/>
                <w:color w:val="000000"/>
                <w:szCs w:val="24"/>
              </w:rPr>
            </w:pPr>
            <w:r>
              <w:rPr>
                <w:rFonts w:eastAsia="Times New Roman" w:cs="Arial"/>
                <w:b/>
                <w:szCs w:val="24"/>
                <w:u w:val="single"/>
              </w:rPr>
              <w:t>Always prescribe lithium by brand name</w:t>
            </w:r>
            <w:r w:rsidR="007A0D6E">
              <w:rPr>
                <w:rFonts w:eastAsia="Times New Roman" w:cs="Arial"/>
                <w:b/>
                <w:szCs w:val="24"/>
                <w:u w:val="single"/>
              </w:rPr>
              <w:t xml:space="preserve"> and form</w:t>
            </w:r>
            <w:r>
              <w:rPr>
                <w:rFonts w:eastAsia="Times New Roman" w:cs="Arial"/>
                <w:b/>
                <w:szCs w:val="24"/>
                <w:u w:val="single"/>
              </w:rPr>
              <w:t>.</w:t>
            </w:r>
            <w:r>
              <w:rPr>
                <w:rFonts w:eastAsia="Times New Roman" w:cs="Arial"/>
                <w:b/>
                <w:iCs/>
                <w:color w:val="000000"/>
                <w:szCs w:val="24"/>
              </w:rPr>
              <w:t xml:space="preserve"> Switching preparation (either between brands of the same form or changing between tablets and liquid) requires additional monitoring to ensure that the 12-hour </w:t>
            </w:r>
            <w:r w:rsidR="00AD5717">
              <w:rPr>
                <w:rFonts w:eastAsia="Times New Roman" w:cs="Arial"/>
                <w:b/>
                <w:iCs/>
                <w:color w:val="000000"/>
                <w:szCs w:val="24"/>
              </w:rPr>
              <w:t xml:space="preserve">post dose </w:t>
            </w:r>
            <w:r>
              <w:rPr>
                <w:rFonts w:eastAsia="Times New Roman" w:cs="Arial"/>
                <w:b/>
                <w:iCs/>
                <w:color w:val="000000"/>
                <w:szCs w:val="24"/>
              </w:rPr>
              <w:t>plasma lithium level remains in the desired range</w:t>
            </w:r>
            <w:r w:rsidR="007A0D6E">
              <w:rPr>
                <w:rFonts w:eastAsia="Times New Roman" w:cs="Arial"/>
                <w:b/>
                <w:iCs/>
                <w:color w:val="000000"/>
                <w:szCs w:val="24"/>
              </w:rPr>
              <w:t xml:space="preserve"> (</w:t>
            </w:r>
            <w:hyperlink w:anchor="six_monitoring" w:history="1">
              <w:r w:rsidR="007A0D6E" w:rsidRPr="007A0D6E">
                <w:rPr>
                  <w:rStyle w:val="Hyperlink"/>
                  <w:rFonts w:eastAsia="Times New Roman" w:cs="Arial"/>
                  <w:b/>
                  <w:iCs/>
                  <w:szCs w:val="24"/>
                </w:rPr>
                <w:t>see section 6</w:t>
              </w:r>
            </w:hyperlink>
            <w:r w:rsidR="007A0D6E">
              <w:rPr>
                <w:rFonts w:eastAsia="Times New Roman" w:cs="Arial"/>
                <w:b/>
                <w:iCs/>
                <w:color w:val="000000"/>
                <w:szCs w:val="24"/>
              </w:rPr>
              <w:t>)</w:t>
            </w:r>
            <w:r>
              <w:rPr>
                <w:rFonts w:eastAsia="Times New Roman" w:cs="Arial"/>
                <w:b/>
                <w:iCs/>
                <w:color w:val="000000"/>
                <w:szCs w:val="24"/>
              </w:rPr>
              <w:t xml:space="preserve">.  </w:t>
            </w:r>
          </w:p>
          <w:p w14:paraId="09C2B9C8" w14:textId="77ABA206" w:rsidR="00D5504F" w:rsidRPr="00F321FC" w:rsidRDefault="00D5504F" w:rsidP="00D5504F">
            <w:pPr>
              <w:rPr>
                <w:rFonts w:cs="Arial"/>
              </w:rPr>
            </w:pPr>
            <w:r>
              <w:rPr>
                <w:rFonts w:eastAsia="Times New Roman" w:cs="Arial"/>
                <w:b/>
                <w:iCs/>
                <w:color w:val="000000"/>
                <w:szCs w:val="24"/>
              </w:rPr>
              <w:t>Particular care should be taken if prescribing liquid preparations</w:t>
            </w:r>
            <w:r w:rsidR="007A0D6E">
              <w:rPr>
                <w:rFonts w:eastAsia="Times New Roman" w:cs="Arial"/>
                <w:b/>
                <w:iCs/>
                <w:color w:val="000000"/>
                <w:szCs w:val="24"/>
              </w:rPr>
              <w:t>. L</w:t>
            </w:r>
            <w:r>
              <w:rPr>
                <w:rFonts w:eastAsia="Times New Roman" w:cs="Arial"/>
                <w:b/>
                <w:iCs/>
                <w:color w:val="000000"/>
                <w:szCs w:val="24"/>
              </w:rPr>
              <w:t>ack of clarity may lead to the patient receiving a sub-therapeutic or toxic dose.</w:t>
            </w:r>
          </w:p>
        </w:tc>
      </w:tr>
      <w:tr w:rsidR="00D5504F" w:rsidRPr="00F321FC" w14:paraId="4D08654E" w14:textId="77777777" w:rsidTr="000B18BF">
        <w:trPr>
          <w:cantSplit/>
        </w:trPr>
        <w:tc>
          <w:tcPr>
            <w:tcW w:w="2410" w:type="dxa"/>
          </w:tcPr>
          <w:p w14:paraId="5807ABCD" w14:textId="7BDA162B" w:rsidR="00D5504F" w:rsidRPr="00F321FC" w:rsidRDefault="00D5504F" w:rsidP="00D5504F">
            <w:pPr>
              <w:rPr>
                <w:rFonts w:cs="Arial"/>
              </w:rPr>
            </w:pPr>
            <w:r w:rsidRPr="00F321FC">
              <w:rPr>
                <w:rFonts w:cs="Arial"/>
              </w:rPr>
              <w:lastRenderedPageBreak/>
              <w:t>Administration details:</w:t>
            </w:r>
          </w:p>
        </w:tc>
        <w:tc>
          <w:tcPr>
            <w:tcW w:w="8080" w:type="dxa"/>
            <w:vAlign w:val="center"/>
          </w:tcPr>
          <w:p w14:paraId="49E78813" w14:textId="77777777" w:rsidR="00D5504F" w:rsidRDefault="00D5504F" w:rsidP="00D5504F">
            <w:pPr>
              <w:spacing w:after="120"/>
              <w:rPr>
                <w:rFonts w:eastAsia="Times New Roman" w:cs="Arial"/>
                <w:szCs w:val="24"/>
                <w:lang w:eastAsia="en-GB"/>
              </w:rPr>
            </w:pPr>
            <w:r>
              <w:rPr>
                <w:rFonts w:eastAsia="Times New Roman" w:cs="Arial"/>
                <w:szCs w:val="24"/>
                <w:lang w:eastAsia="en-GB"/>
              </w:rPr>
              <w:t xml:space="preserve">Consistency is paramount in lithium treatment and monitoring. Doses should be taken regularly, at the same time every day.  Lithium carbonate tablets should not be crushed or chewed. </w:t>
            </w:r>
          </w:p>
          <w:p w14:paraId="525C1EF0" w14:textId="77777777" w:rsidR="00D5504F" w:rsidRDefault="00D5504F" w:rsidP="00D5504F">
            <w:pPr>
              <w:spacing w:after="120"/>
              <w:rPr>
                <w:rFonts w:eastAsia="Times New Roman" w:cs="Arial"/>
                <w:szCs w:val="24"/>
                <w:lang w:eastAsia="en-GB"/>
              </w:rPr>
            </w:pPr>
            <w:r>
              <w:rPr>
                <w:rFonts w:eastAsia="Times New Roman" w:cs="Arial"/>
                <w:szCs w:val="24"/>
                <w:lang w:eastAsia="en-GB"/>
              </w:rPr>
              <w:t>Priadel® 200mg and 400mg tablets have score lines and can be divided accurately to provide dosage requirements as small as 100mg within product license.</w:t>
            </w:r>
          </w:p>
          <w:p w14:paraId="331BB574" w14:textId="77777777" w:rsidR="00D5504F" w:rsidRDefault="00D5504F" w:rsidP="00D5504F">
            <w:pPr>
              <w:spacing w:after="120"/>
              <w:rPr>
                <w:rFonts w:eastAsia="Times New Roman" w:cs="Arial"/>
                <w:szCs w:val="24"/>
                <w:lang w:eastAsia="en-GB"/>
              </w:rPr>
            </w:pPr>
            <w:r>
              <w:rPr>
                <w:rFonts w:eastAsia="Times New Roman" w:cs="Arial"/>
                <w:szCs w:val="24"/>
                <w:lang w:eastAsia="en-GB"/>
              </w:rPr>
              <w:t>Liskonum® 450mg tablets are licensed to be halved for the purposes of dose adjustment.</w:t>
            </w:r>
          </w:p>
          <w:p w14:paraId="3956ABC5" w14:textId="48826C33" w:rsidR="00D5504F" w:rsidRPr="00F321FC" w:rsidRDefault="00D5504F" w:rsidP="00D5504F">
            <w:pPr>
              <w:rPr>
                <w:rFonts w:cs="Arial"/>
              </w:rPr>
            </w:pPr>
            <w:r>
              <w:rPr>
                <w:rFonts w:eastAsia="Times New Roman" w:cs="Arial"/>
                <w:szCs w:val="24"/>
                <w:lang w:eastAsia="en-GB"/>
              </w:rPr>
              <w:t>Other brands may be scored to facilitate breaking for ease of swallowing, but not to divide into equal doses. Breaking these tablets is not expected to alter their release properties but the accuracy of the division is not established</w:t>
            </w:r>
            <w:r w:rsidR="007A0D6E">
              <w:rPr>
                <w:rFonts w:eastAsia="Times New Roman" w:cs="Arial"/>
                <w:szCs w:val="24"/>
                <w:lang w:eastAsia="en-GB"/>
              </w:rPr>
              <w:t>.</w:t>
            </w:r>
          </w:p>
        </w:tc>
      </w:tr>
      <w:tr w:rsidR="00D5504F" w:rsidRPr="00F321FC" w14:paraId="1BF5C41D" w14:textId="77777777" w:rsidTr="000B18BF">
        <w:trPr>
          <w:cantSplit/>
        </w:trPr>
        <w:tc>
          <w:tcPr>
            <w:tcW w:w="2410" w:type="dxa"/>
          </w:tcPr>
          <w:p w14:paraId="00D209C3" w14:textId="4AA020DB" w:rsidR="00D5504F" w:rsidRPr="00F321FC" w:rsidRDefault="00D5504F" w:rsidP="00D5504F">
            <w:pPr>
              <w:rPr>
                <w:rFonts w:cs="Arial"/>
              </w:rPr>
            </w:pPr>
            <w:r>
              <w:rPr>
                <w:rFonts w:cs="Arial"/>
              </w:rPr>
              <w:t xml:space="preserve">Other important information: </w:t>
            </w:r>
          </w:p>
        </w:tc>
        <w:tc>
          <w:tcPr>
            <w:tcW w:w="8080" w:type="dxa"/>
            <w:vAlign w:val="center"/>
          </w:tcPr>
          <w:p w14:paraId="1229BCAB" w14:textId="7C76ADAA" w:rsidR="00D5504F" w:rsidRDefault="00D5504F" w:rsidP="004D6BB2">
            <w:pPr>
              <w:pStyle w:val="Heading3"/>
              <w:spacing w:before="0"/>
              <w:rPr>
                <w:rFonts w:eastAsiaTheme="minorHAnsi"/>
                <w:b w:val="0"/>
                <w:bCs/>
              </w:rPr>
            </w:pPr>
            <w:r>
              <w:rPr>
                <w:rFonts w:eastAsiaTheme="minorHAnsi"/>
                <w:b w:val="0"/>
                <w:bCs/>
              </w:rPr>
              <w:t>If a dose is missed, then the next scheduled dose should be taken as usual</w:t>
            </w:r>
            <w:r w:rsidR="007A0D6E">
              <w:rPr>
                <w:rFonts w:eastAsiaTheme="minorHAnsi"/>
                <w:b w:val="0"/>
                <w:bCs/>
              </w:rPr>
              <w:t xml:space="preserve"> if remembered within 6 hours</w:t>
            </w:r>
            <w:r>
              <w:rPr>
                <w:rFonts w:eastAsiaTheme="minorHAnsi"/>
                <w:b w:val="0"/>
                <w:bCs/>
              </w:rPr>
              <w:t xml:space="preserve">; a double dose should not be taken to make up for a missed dose. </w:t>
            </w:r>
          </w:p>
          <w:p w14:paraId="14CD1D9D" w14:textId="2AA3523D" w:rsidR="00D5504F" w:rsidRPr="001A51F3" w:rsidRDefault="00D5504F" w:rsidP="004D6BB2">
            <w:pPr>
              <w:autoSpaceDE w:val="0"/>
              <w:autoSpaceDN w:val="0"/>
              <w:adjustRightInd w:val="0"/>
              <w:rPr>
                <w:rFonts w:eastAsia="Times New Roman" w:cstheme="minorHAnsi"/>
                <w:szCs w:val="24"/>
                <w:lang w:eastAsia="en-GB"/>
              </w:rPr>
            </w:pPr>
            <w:r>
              <w:rPr>
                <w:rFonts w:cstheme="minorHAnsi"/>
                <w:bCs/>
                <w:iCs/>
                <w:szCs w:val="24"/>
                <w:lang w:eastAsia="en-GB"/>
              </w:rPr>
              <w:t xml:space="preserve">For a given total daily dose, 12-hour </w:t>
            </w:r>
            <w:r w:rsidR="00AD5717">
              <w:rPr>
                <w:rFonts w:cstheme="minorHAnsi"/>
                <w:bCs/>
                <w:iCs/>
                <w:szCs w:val="24"/>
                <w:lang w:eastAsia="en-GB"/>
              </w:rPr>
              <w:t xml:space="preserve">post dose </w:t>
            </w:r>
            <w:r>
              <w:rPr>
                <w:rFonts w:cstheme="minorHAnsi"/>
                <w:bCs/>
                <w:iCs/>
                <w:szCs w:val="24"/>
                <w:lang w:eastAsia="en-GB"/>
              </w:rPr>
              <w:t>plasma lithium levels will differ for once versus twice daily dosing schedules. The schedule should be determined by the specialist and not altered without their advice.</w:t>
            </w:r>
          </w:p>
        </w:tc>
      </w:tr>
    </w:tbl>
    <w:p w14:paraId="55B80F32"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F132AA" w:rsidRPr="00F321FC" w14:paraId="4A999C67" w14:textId="77777777" w:rsidTr="009C5E4B">
        <w:tc>
          <w:tcPr>
            <w:tcW w:w="2407" w:type="dxa"/>
          </w:tcPr>
          <w:p w14:paraId="6BB97933" w14:textId="5394937C" w:rsidR="00F132AA" w:rsidRPr="00F321FC" w:rsidRDefault="00BA2628" w:rsidP="00BA2628">
            <w:pPr>
              <w:pStyle w:val="Heading2"/>
              <w:rPr>
                <w:rFonts w:cs="Arial"/>
              </w:rPr>
            </w:pPr>
            <w:bookmarkStart w:id="13" w:name="eight_cautions_cx"/>
            <w:bookmarkStart w:id="14" w:name="_Toc149231792"/>
            <w:r w:rsidRPr="00F321FC">
              <w:rPr>
                <w:rFonts w:cs="Arial"/>
              </w:rPr>
              <w:lastRenderedPageBreak/>
              <w:t>C</w:t>
            </w:r>
            <w:r w:rsidR="0041687B">
              <w:rPr>
                <w:rFonts w:cs="Arial"/>
              </w:rPr>
              <w:t>autions and c</w:t>
            </w:r>
            <w:r w:rsidRPr="00F321FC">
              <w:rPr>
                <w:rFonts w:cs="Arial"/>
              </w:rPr>
              <w:t>ontraindications</w:t>
            </w:r>
            <w:bookmarkEnd w:id="13"/>
            <w:bookmarkEnd w:id="14"/>
          </w:p>
        </w:tc>
        <w:tc>
          <w:tcPr>
            <w:tcW w:w="8054" w:type="dxa"/>
          </w:tcPr>
          <w:p w14:paraId="6C8F1AB5" w14:textId="67CE65B7" w:rsidR="00F132AA" w:rsidRDefault="00FB404F" w:rsidP="00FB404F">
            <w:pPr>
              <w:rPr>
                <w:rFonts w:cs="Arial"/>
              </w:rPr>
            </w:pPr>
            <w:r w:rsidRPr="00FB404F">
              <w:rPr>
                <w:rFonts w:cs="Arial"/>
              </w:rPr>
              <w:t xml:space="preserve">This information does not replace the Summary of Product Characteristics (SPC), and should be read in conjunction with it. Please see </w:t>
            </w:r>
            <w:hyperlink r:id="rId15" w:history="1">
              <w:r w:rsidRPr="00704723">
                <w:rPr>
                  <w:rStyle w:val="Hyperlink"/>
                  <w:rFonts w:cs="Arial"/>
                </w:rPr>
                <w:t>BNF</w:t>
              </w:r>
            </w:hyperlink>
            <w:r w:rsidRPr="00FB404F">
              <w:rPr>
                <w:rFonts w:cs="Arial"/>
              </w:rPr>
              <w:t xml:space="preserve"> &amp; </w:t>
            </w:r>
            <w:hyperlink r:id="rId16" w:history="1">
              <w:r w:rsidRPr="00704723">
                <w:rPr>
                  <w:rStyle w:val="Hyperlink"/>
                  <w:rFonts w:cs="Arial"/>
                </w:rPr>
                <w:t>SPC</w:t>
              </w:r>
            </w:hyperlink>
            <w:r w:rsidRPr="00FB404F">
              <w:rPr>
                <w:rFonts w:cs="Arial"/>
              </w:rPr>
              <w:t xml:space="preserve"> for comprehensive information.</w:t>
            </w:r>
          </w:p>
          <w:p w14:paraId="004A4D13" w14:textId="77777777" w:rsidR="00FB404F" w:rsidRDefault="00FB404F" w:rsidP="00FB404F">
            <w:pPr>
              <w:rPr>
                <w:rFonts w:cs="Arial"/>
              </w:rPr>
            </w:pPr>
          </w:p>
          <w:p w14:paraId="5074DDE0" w14:textId="77777777" w:rsidR="00FB404F" w:rsidRDefault="00FB404F" w:rsidP="00FB404F">
            <w:pPr>
              <w:rPr>
                <w:rFonts w:cs="Arial"/>
                <w:b/>
                <w:bCs/>
              </w:rPr>
            </w:pPr>
            <w:r>
              <w:rPr>
                <w:rFonts w:cs="Arial"/>
                <w:b/>
                <w:bCs/>
              </w:rPr>
              <w:t xml:space="preserve">Contraindications: </w:t>
            </w:r>
          </w:p>
          <w:p w14:paraId="6AE3A847" w14:textId="2CC69B82" w:rsidR="00D5504F" w:rsidRPr="00D5504F" w:rsidRDefault="00D5504F" w:rsidP="00093D5F">
            <w:pPr>
              <w:pStyle w:val="ListParagraph"/>
              <w:numPr>
                <w:ilvl w:val="0"/>
                <w:numId w:val="10"/>
              </w:numPr>
              <w:rPr>
                <w:rFonts w:cs="Arial"/>
              </w:rPr>
            </w:pPr>
            <w:r w:rsidRPr="00D5504F">
              <w:rPr>
                <w:rFonts w:cs="Arial"/>
              </w:rPr>
              <w:t>Hypersensitivity to lithium or any of the excipients</w:t>
            </w:r>
          </w:p>
          <w:p w14:paraId="3ABB9644" w14:textId="5D3059CB" w:rsidR="00D5504F" w:rsidRPr="00D5504F" w:rsidRDefault="00D5504F" w:rsidP="00093D5F">
            <w:pPr>
              <w:pStyle w:val="ListParagraph"/>
              <w:numPr>
                <w:ilvl w:val="0"/>
                <w:numId w:val="10"/>
              </w:numPr>
              <w:rPr>
                <w:rFonts w:cs="Arial"/>
              </w:rPr>
            </w:pPr>
            <w:r w:rsidRPr="00D5504F">
              <w:rPr>
                <w:rFonts w:cs="Arial"/>
              </w:rPr>
              <w:t>Addison’s disease</w:t>
            </w:r>
          </w:p>
          <w:p w14:paraId="49808CE3" w14:textId="64A93D70" w:rsidR="00D5504F" w:rsidRPr="00D5504F" w:rsidRDefault="00D5504F" w:rsidP="00093D5F">
            <w:pPr>
              <w:pStyle w:val="ListParagraph"/>
              <w:numPr>
                <w:ilvl w:val="0"/>
                <w:numId w:val="10"/>
              </w:numPr>
              <w:rPr>
                <w:rFonts w:cs="Arial"/>
              </w:rPr>
            </w:pPr>
            <w:r w:rsidRPr="00D5504F">
              <w:rPr>
                <w:rFonts w:cs="Arial"/>
              </w:rPr>
              <w:t>Cardiac disease associated with rhythm disorder</w:t>
            </w:r>
          </w:p>
          <w:p w14:paraId="63A9C6AA" w14:textId="65EA9977" w:rsidR="00D5504F" w:rsidRPr="00D5504F" w:rsidRDefault="00D5504F" w:rsidP="00093D5F">
            <w:pPr>
              <w:pStyle w:val="ListParagraph"/>
              <w:numPr>
                <w:ilvl w:val="0"/>
                <w:numId w:val="10"/>
              </w:numPr>
              <w:rPr>
                <w:rFonts w:cs="Arial"/>
              </w:rPr>
            </w:pPr>
            <w:r w:rsidRPr="00D5504F">
              <w:rPr>
                <w:rFonts w:cs="Arial"/>
              </w:rPr>
              <w:t xml:space="preserve">Cardiac insufficiency </w:t>
            </w:r>
          </w:p>
          <w:p w14:paraId="03375EAC" w14:textId="6FF93FA1" w:rsidR="00D5504F" w:rsidRPr="00D5504F" w:rsidRDefault="00D5504F" w:rsidP="00093D5F">
            <w:pPr>
              <w:pStyle w:val="ListParagraph"/>
              <w:numPr>
                <w:ilvl w:val="0"/>
                <w:numId w:val="10"/>
              </w:numPr>
              <w:rPr>
                <w:rFonts w:cs="Arial"/>
              </w:rPr>
            </w:pPr>
            <w:r w:rsidRPr="00D5504F">
              <w:rPr>
                <w:rFonts w:cs="Arial"/>
              </w:rPr>
              <w:t>Family or personal history of Brugada syndrome</w:t>
            </w:r>
          </w:p>
          <w:p w14:paraId="7E37AA12" w14:textId="2A90BCCB" w:rsidR="00D5504F" w:rsidRPr="00D5504F" w:rsidRDefault="00D5504F" w:rsidP="00093D5F">
            <w:pPr>
              <w:pStyle w:val="ListParagraph"/>
              <w:numPr>
                <w:ilvl w:val="0"/>
                <w:numId w:val="10"/>
              </w:numPr>
              <w:rPr>
                <w:rFonts w:cs="Arial"/>
              </w:rPr>
            </w:pPr>
            <w:r w:rsidRPr="00D5504F">
              <w:rPr>
                <w:rFonts w:cs="Arial"/>
              </w:rPr>
              <w:t>Patients with abnormal sodium levels, including dehydrated patients or those on low sodium diets</w:t>
            </w:r>
          </w:p>
          <w:p w14:paraId="38848095" w14:textId="14D24F92" w:rsidR="00D5504F" w:rsidRPr="00D5504F" w:rsidRDefault="00D5504F" w:rsidP="00093D5F">
            <w:pPr>
              <w:pStyle w:val="ListParagraph"/>
              <w:numPr>
                <w:ilvl w:val="0"/>
                <w:numId w:val="10"/>
              </w:numPr>
              <w:rPr>
                <w:rFonts w:cs="Arial"/>
              </w:rPr>
            </w:pPr>
            <w:r w:rsidRPr="00D5504F">
              <w:rPr>
                <w:rFonts w:cs="Arial"/>
              </w:rPr>
              <w:t>Untreated hypothyroidism</w:t>
            </w:r>
          </w:p>
          <w:p w14:paraId="4E45B144" w14:textId="72E58C1A" w:rsidR="00D5504F" w:rsidRPr="00D5504F" w:rsidRDefault="00D5504F" w:rsidP="00093D5F">
            <w:pPr>
              <w:pStyle w:val="ListParagraph"/>
              <w:numPr>
                <w:ilvl w:val="0"/>
                <w:numId w:val="10"/>
              </w:numPr>
              <w:rPr>
                <w:rFonts w:cs="Arial"/>
              </w:rPr>
            </w:pPr>
            <w:r w:rsidRPr="00D5504F">
              <w:rPr>
                <w:rFonts w:cs="Arial"/>
              </w:rPr>
              <w:t xml:space="preserve">Severe renal impairment </w:t>
            </w:r>
          </w:p>
          <w:p w14:paraId="62AE4F13" w14:textId="0C25F6CD" w:rsidR="00D5504F" w:rsidRPr="00D5504F" w:rsidRDefault="00D5504F" w:rsidP="00093D5F">
            <w:pPr>
              <w:pStyle w:val="ListParagraph"/>
              <w:numPr>
                <w:ilvl w:val="0"/>
                <w:numId w:val="10"/>
              </w:numPr>
              <w:rPr>
                <w:rFonts w:cs="Arial"/>
              </w:rPr>
            </w:pPr>
            <w:r w:rsidRPr="00D5504F">
              <w:rPr>
                <w:rFonts w:cs="Arial"/>
              </w:rPr>
              <w:t>Pregnancy (especially the first trimester</w:t>
            </w:r>
            <w:r w:rsidRPr="00450E5D">
              <w:rPr>
                <w:rFonts w:cs="Arial"/>
              </w:rPr>
              <w:t>),</w:t>
            </w:r>
            <w:r w:rsidRPr="00C31FC8">
              <w:rPr>
                <w:rFonts w:cs="Arial"/>
                <w:b/>
                <w:bCs/>
              </w:rPr>
              <w:t xml:space="preserve"> unless considered essential</w:t>
            </w:r>
            <w:r w:rsidR="00450E5D">
              <w:rPr>
                <w:rFonts w:cs="Arial"/>
                <w:b/>
                <w:bCs/>
              </w:rPr>
              <w:t xml:space="preserve"> following discussion with </w:t>
            </w:r>
            <w:r w:rsidR="007325C3">
              <w:rPr>
                <w:rFonts w:cs="Arial"/>
                <w:b/>
                <w:bCs/>
              </w:rPr>
              <w:t>specialist</w:t>
            </w:r>
            <w:r w:rsidR="00450E5D">
              <w:rPr>
                <w:rFonts w:cs="Arial"/>
                <w:b/>
                <w:bCs/>
              </w:rPr>
              <w:t xml:space="preserve"> (see section 12)</w:t>
            </w:r>
          </w:p>
          <w:p w14:paraId="2C678D4C" w14:textId="4080D759" w:rsidR="001A51F3" w:rsidRPr="00D5504F" w:rsidRDefault="00D5504F" w:rsidP="00093D5F">
            <w:pPr>
              <w:pStyle w:val="ListParagraph"/>
              <w:numPr>
                <w:ilvl w:val="0"/>
                <w:numId w:val="10"/>
              </w:numPr>
              <w:rPr>
                <w:rFonts w:cs="Arial"/>
              </w:rPr>
            </w:pPr>
            <w:r w:rsidRPr="00D5504F">
              <w:rPr>
                <w:rFonts w:cs="Arial"/>
              </w:rPr>
              <w:t>Breastfeeding</w:t>
            </w:r>
          </w:p>
          <w:p w14:paraId="1A4D3424" w14:textId="77777777" w:rsidR="007A56FB" w:rsidRPr="001A51F3" w:rsidRDefault="007A56FB" w:rsidP="001A51F3">
            <w:pPr>
              <w:rPr>
                <w:rFonts w:cs="Arial"/>
              </w:rPr>
            </w:pPr>
          </w:p>
          <w:p w14:paraId="14A2CAB8" w14:textId="77777777" w:rsidR="00FB404F" w:rsidRPr="00FB404F" w:rsidRDefault="00FB404F" w:rsidP="00FB404F">
            <w:pPr>
              <w:rPr>
                <w:rFonts w:cs="Arial"/>
                <w:b/>
                <w:bCs/>
              </w:rPr>
            </w:pPr>
            <w:r w:rsidRPr="00FB404F">
              <w:rPr>
                <w:rFonts w:cs="Arial"/>
                <w:b/>
                <w:bCs/>
              </w:rPr>
              <w:t>Cautions:</w:t>
            </w:r>
          </w:p>
          <w:p w14:paraId="7B3DF06A" w14:textId="15BF5F94" w:rsidR="00704723" w:rsidRPr="00704723" w:rsidRDefault="00704723" w:rsidP="00093D5F">
            <w:pPr>
              <w:pStyle w:val="ListParagraph"/>
              <w:numPr>
                <w:ilvl w:val="0"/>
                <w:numId w:val="11"/>
              </w:numPr>
              <w:rPr>
                <w:rFonts w:cs="Arial"/>
              </w:rPr>
            </w:pPr>
            <w:r w:rsidRPr="00704723">
              <w:rPr>
                <w:rFonts w:cs="Arial"/>
              </w:rPr>
              <w:t xml:space="preserve">Mild to moderate renal impairment </w:t>
            </w:r>
          </w:p>
          <w:p w14:paraId="123D1569" w14:textId="69F3CBBD" w:rsidR="00704723" w:rsidRPr="00704723" w:rsidRDefault="00704723" w:rsidP="00093D5F">
            <w:pPr>
              <w:pStyle w:val="ListParagraph"/>
              <w:numPr>
                <w:ilvl w:val="0"/>
                <w:numId w:val="11"/>
              </w:numPr>
              <w:rPr>
                <w:rFonts w:cs="Arial"/>
              </w:rPr>
            </w:pPr>
            <w:r w:rsidRPr="00704723">
              <w:rPr>
                <w:rFonts w:cs="Arial"/>
              </w:rPr>
              <w:t>Use in elderly patients</w:t>
            </w:r>
            <w:r w:rsidR="00532444">
              <w:rPr>
                <w:rFonts w:cs="Arial"/>
              </w:rPr>
              <w:t xml:space="preserve"> – dose reduction required</w:t>
            </w:r>
          </w:p>
          <w:p w14:paraId="4C6B1D35" w14:textId="0E73C541" w:rsidR="00704723" w:rsidRPr="00704723" w:rsidRDefault="00704723" w:rsidP="00093D5F">
            <w:pPr>
              <w:pStyle w:val="ListParagraph"/>
              <w:numPr>
                <w:ilvl w:val="0"/>
                <w:numId w:val="11"/>
              </w:numPr>
              <w:rPr>
                <w:rFonts w:cs="Arial"/>
              </w:rPr>
            </w:pPr>
            <w:r w:rsidRPr="00704723">
              <w:rPr>
                <w:rFonts w:cs="Arial"/>
              </w:rPr>
              <w:t xml:space="preserve">Adequate and stable sodium and fluid intake should be maintained. This may be of special importance in hot weather, or during infectious diseases, including influenza, </w:t>
            </w:r>
            <w:r w:rsidR="00532444">
              <w:rPr>
                <w:rFonts w:cs="Arial"/>
              </w:rPr>
              <w:t>diarrhoea and/or vomiting, profuse sweating</w:t>
            </w:r>
            <w:r w:rsidRPr="00704723">
              <w:rPr>
                <w:rFonts w:cs="Arial"/>
              </w:rPr>
              <w:t xml:space="preserve"> or urinary infections, when dose reduction may be required</w:t>
            </w:r>
          </w:p>
          <w:p w14:paraId="0DED0EA8" w14:textId="06F1B17C" w:rsidR="00E57429" w:rsidRDefault="00E57429" w:rsidP="00093D5F">
            <w:pPr>
              <w:pStyle w:val="ListParagraph"/>
              <w:numPr>
                <w:ilvl w:val="0"/>
                <w:numId w:val="11"/>
              </w:numPr>
              <w:rPr>
                <w:rFonts w:cs="Arial"/>
              </w:rPr>
            </w:pPr>
            <w:r w:rsidRPr="00E57429">
              <w:rPr>
                <w:rFonts w:cs="Arial"/>
              </w:rPr>
              <w:t>Concomitant use of drugs likely to upset electrolyte balance e.g. diuretics</w:t>
            </w:r>
          </w:p>
          <w:p w14:paraId="5E58868F" w14:textId="1F974A30" w:rsidR="00E57429" w:rsidRPr="00704723" w:rsidRDefault="00E57429" w:rsidP="00093D5F">
            <w:pPr>
              <w:pStyle w:val="ListParagraph"/>
              <w:numPr>
                <w:ilvl w:val="0"/>
                <w:numId w:val="11"/>
              </w:numPr>
              <w:rPr>
                <w:rFonts w:cs="Arial"/>
              </w:rPr>
            </w:pPr>
            <w:r>
              <w:rPr>
                <w:rFonts w:cs="Arial"/>
              </w:rPr>
              <w:t>Diabetes insipidus</w:t>
            </w:r>
          </w:p>
          <w:p w14:paraId="41007A58" w14:textId="7801901A" w:rsidR="00704723" w:rsidRPr="00704723" w:rsidRDefault="00704723" w:rsidP="00093D5F">
            <w:pPr>
              <w:pStyle w:val="ListParagraph"/>
              <w:numPr>
                <w:ilvl w:val="0"/>
                <w:numId w:val="11"/>
              </w:numPr>
              <w:rPr>
                <w:rFonts w:cs="Arial"/>
              </w:rPr>
            </w:pPr>
            <w:r w:rsidRPr="00704723">
              <w:rPr>
                <w:rFonts w:cs="Arial"/>
              </w:rPr>
              <w:t>Risk of seizures may be increased if co-administered with drugs that lower the seizure threshold, or in patients with epilepsy</w:t>
            </w:r>
            <w:r w:rsidR="00122347">
              <w:rPr>
                <w:rFonts w:cs="Arial"/>
              </w:rPr>
              <w:t>, or those receiving electroconvulsive therapy</w:t>
            </w:r>
          </w:p>
          <w:p w14:paraId="4A6268C5" w14:textId="28B543E8" w:rsidR="00704723" w:rsidRDefault="00704723" w:rsidP="00E57429">
            <w:pPr>
              <w:pStyle w:val="ListParagraph"/>
              <w:numPr>
                <w:ilvl w:val="0"/>
                <w:numId w:val="11"/>
              </w:numPr>
              <w:spacing w:line="259" w:lineRule="auto"/>
              <w:rPr>
                <w:rFonts w:cs="Arial"/>
              </w:rPr>
            </w:pPr>
            <w:r w:rsidRPr="00E57429">
              <w:rPr>
                <w:rFonts w:cs="Arial"/>
              </w:rPr>
              <w:t>Cardiac disease</w:t>
            </w:r>
            <w:r w:rsidR="00E57429" w:rsidRPr="00E57429">
              <w:rPr>
                <w:rFonts w:cs="Arial"/>
              </w:rPr>
              <w:t xml:space="preserve">, including </w:t>
            </w:r>
            <w:r w:rsidR="00E57429">
              <w:rPr>
                <w:rFonts w:cs="Arial"/>
              </w:rPr>
              <w:t>c</w:t>
            </w:r>
            <w:r w:rsidR="00E57429" w:rsidRPr="00E57429">
              <w:rPr>
                <w:rFonts w:cs="Arial"/>
              </w:rPr>
              <w:t xml:space="preserve">ongenital long QT syndrome </w:t>
            </w:r>
            <w:r w:rsidR="00E57429">
              <w:rPr>
                <w:rFonts w:cs="Arial"/>
              </w:rPr>
              <w:t>or</w:t>
            </w:r>
            <w:r w:rsidR="00E57429" w:rsidRPr="00E57429">
              <w:rPr>
                <w:rFonts w:cs="Arial"/>
              </w:rPr>
              <w:t xml:space="preserve"> risk factors for QT prolongation</w:t>
            </w:r>
          </w:p>
          <w:p w14:paraId="5291BB16" w14:textId="3169F75B" w:rsidR="00E57429" w:rsidRDefault="00E57429" w:rsidP="00E57429">
            <w:pPr>
              <w:pStyle w:val="ListParagraph"/>
              <w:numPr>
                <w:ilvl w:val="0"/>
                <w:numId w:val="11"/>
              </w:numPr>
              <w:spacing w:line="259" w:lineRule="auto"/>
              <w:rPr>
                <w:rFonts w:cs="Arial"/>
              </w:rPr>
            </w:pPr>
            <w:r>
              <w:rPr>
                <w:rFonts w:cs="Arial"/>
              </w:rPr>
              <w:t>Bariatric surgery</w:t>
            </w:r>
          </w:p>
          <w:p w14:paraId="4D2951DB" w14:textId="74A2BEF4" w:rsidR="00E57429" w:rsidRDefault="00E57429" w:rsidP="00E57429">
            <w:pPr>
              <w:pStyle w:val="ListParagraph"/>
              <w:numPr>
                <w:ilvl w:val="0"/>
                <w:numId w:val="11"/>
              </w:numPr>
              <w:spacing w:line="259" w:lineRule="auto"/>
              <w:rPr>
                <w:rFonts w:cs="Arial"/>
              </w:rPr>
            </w:pPr>
            <w:r>
              <w:rPr>
                <w:rFonts w:cs="Arial"/>
              </w:rPr>
              <w:t>People who refuse regular blood tests</w:t>
            </w:r>
          </w:p>
          <w:p w14:paraId="2B01580F" w14:textId="058A3AA3" w:rsidR="00E57429" w:rsidRPr="00E57429" w:rsidRDefault="00E57429" w:rsidP="00E57429">
            <w:pPr>
              <w:pStyle w:val="ListParagraph"/>
              <w:numPr>
                <w:ilvl w:val="0"/>
                <w:numId w:val="11"/>
              </w:numPr>
              <w:spacing w:line="259" w:lineRule="auto"/>
              <w:rPr>
                <w:rFonts w:cs="Arial"/>
              </w:rPr>
            </w:pPr>
            <w:r>
              <w:rPr>
                <w:rFonts w:cs="Arial"/>
              </w:rPr>
              <w:t>People who are at high risk of taking an overdose, either intentionally or unintentionally</w:t>
            </w:r>
          </w:p>
          <w:p w14:paraId="3C5A2F80" w14:textId="17DAE6E3" w:rsidR="00704723" w:rsidRPr="00704723" w:rsidRDefault="00704723" w:rsidP="00093D5F">
            <w:pPr>
              <w:pStyle w:val="ListParagraph"/>
              <w:numPr>
                <w:ilvl w:val="0"/>
                <w:numId w:val="11"/>
              </w:numPr>
              <w:rPr>
                <w:rFonts w:cs="Arial"/>
              </w:rPr>
            </w:pPr>
            <w:r w:rsidRPr="00704723">
              <w:rPr>
                <w:rFonts w:cs="Arial"/>
              </w:rPr>
              <w:t>May exacerbate psoriasis</w:t>
            </w:r>
          </w:p>
          <w:p w14:paraId="456B90AA" w14:textId="4901C5AC" w:rsidR="00FE3EEF" w:rsidRPr="00704723" w:rsidRDefault="00704723" w:rsidP="00093D5F">
            <w:pPr>
              <w:pStyle w:val="ListParagraph"/>
              <w:numPr>
                <w:ilvl w:val="0"/>
                <w:numId w:val="11"/>
              </w:numPr>
              <w:rPr>
                <w:rFonts w:cs="Arial"/>
              </w:rPr>
            </w:pPr>
            <w:r w:rsidRPr="00704723">
              <w:rPr>
                <w:rFonts w:cs="Arial"/>
              </w:rPr>
              <w:t>Surgery: discontinue 24 hours prior to major surgery and re-commence post-operatively once kidney function and fluid-electrolyte balance is normalised.  Discontinuation is not required prior to minor surgery, providing fluids and electrolytes are carefully monitored</w:t>
            </w:r>
          </w:p>
        </w:tc>
      </w:tr>
      <w:tr w:rsidR="00F132AA" w:rsidRPr="00F321FC" w14:paraId="11E3D793" w14:textId="77777777" w:rsidTr="009C5E4B">
        <w:tc>
          <w:tcPr>
            <w:tcW w:w="2407" w:type="dxa"/>
          </w:tcPr>
          <w:p w14:paraId="1E8C8FBF" w14:textId="3ED10190" w:rsidR="00F132AA" w:rsidRPr="00F321FC" w:rsidRDefault="0098487D" w:rsidP="0098487D">
            <w:pPr>
              <w:pStyle w:val="Heading2"/>
              <w:rPr>
                <w:rFonts w:cs="Arial"/>
              </w:rPr>
            </w:pPr>
            <w:bookmarkStart w:id="15" w:name="nine_interactions"/>
            <w:bookmarkStart w:id="16" w:name="_Toc149231793"/>
            <w:r w:rsidRPr="00F321FC">
              <w:rPr>
                <w:rFonts w:cs="Arial"/>
              </w:rPr>
              <w:lastRenderedPageBreak/>
              <w:t>Significant drug interactions</w:t>
            </w:r>
            <w:bookmarkEnd w:id="15"/>
            <w:bookmarkEnd w:id="16"/>
          </w:p>
        </w:tc>
        <w:tc>
          <w:tcPr>
            <w:tcW w:w="8054" w:type="dxa"/>
          </w:tcPr>
          <w:p w14:paraId="112C1849" w14:textId="2E184926" w:rsidR="00F132AA" w:rsidRDefault="00FB404F" w:rsidP="00704723">
            <w:pPr>
              <w:rPr>
                <w:rFonts w:cs="Arial"/>
              </w:rPr>
            </w:pPr>
            <w:r w:rsidRPr="00FB404F">
              <w:rPr>
                <w:rFonts w:cs="Arial"/>
              </w:rPr>
              <w:t xml:space="preserve">The following list is not exhaustive. Please see </w:t>
            </w:r>
            <w:hyperlink r:id="rId17" w:history="1">
              <w:r w:rsidR="00704723" w:rsidRPr="00704723">
                <w:rPr>
                  <w:rStyle w:val="Hyperlink"/>
                  <w:rFonts w:cs="Arial"/>
                </w:rPr>
                <w:t>BNF</w:t>
              </w:r>
            </w:hyperlink>
            <w:r w:rsidR="00704723" w:rsidRPr="00FB404F">
              <w:rPr>
                <w:rFonts w:cs="Arial"/>
              </w:rPr>
              <w:t xml:space="preserve"> &amp; </w:t>
            </w:r>
            <w:hyperlink r:id="rId18" w:history="1">
              <w:r w:rsidR="00704723" w:rsidRPr="00704723">
                <w:rPr>
                  <w:rStyle w:val="Hyperlink"/>
                  <w:rFonts w:cs="Arial"/>
                </w:rPr>
                <w:t>SPC</w:t>
              </w:r>
            </w:hyperlink>
            <w:r w:rsidR="00704723">
              <w:rPr>
                <w:rFonts w:cs="Arial"/>
              </w:rPr>
              <w:t xml:space="preserve"> </w:t>
            </w:r>
            <w:r w:rsidRPr="00FB404F">
              <w:rPr>
                <w:rFonts w:cs="Arial"/>
              </w:rPr>
              <w:t>for comprehensive information and recommended management.</w:t>
            </w:r>
          </w:p>
          <w:p w14:paraId="5CF2C895" w14:textId="2779CA66" w:rsidR="00704723" w:rsidRDefault="00704723" w:rsidP="00704723">
            <w:pPr>
              <w:autoSpaceDE w:val="0"/>
              <w:autoSpaceDN w:val="0"/>
              <w:adjustRightInd w:val="0"/>
              <w:rPr>
                <w:rFonts w:eastAsia="Times New Roman" w:cs="Arial"/>
                <w:bCs/>
                <w:iCs/>
                <w:color w:val="000000"/>
                <w:szCs w:val="24"/>
                <w:lang w:eastAsia="en-GB"/>
              </w:rPr>
            </w:pPr>
            <w:r>
              <w:rPr>
                <w:rFonts w:eastAsia="Times New Roman" w:cs="Arial"/>
                <w:b/>
                <w:bCs/>
                <w:iCs/>
                <w:szCs w:val="24"/>
                <w:lang w:eastAsia="en-GB"/>
              </w:rPr>
              <w:t xml:space="preserve">The following medicines </w:t>
            </w:r>
            <w:r w:rsidR="00E434A1">
              <w:rPr>
                <w:rFonts w:eastAsia="Times New Roman" w:cs="Arial"/>
                <w:b/>
                <w:bCs/>
                <w:iCs/>
                <w:szCs w:val="24"/>
                <w:lang w:eastAsia="en-GB"/>
              </w:rPr>
              <w:t xml:space="preserve">should </w:t>
            </w:r>
            <w:r>
              <w:rPr>
                <w:rFonts w:eastAsia="Times New Roman" w:cs="Arial"/>
                <w:b/>
                <w:bCs/>
                <w:iCs/>
                <w:szCs w:val="24"/>
                <w:lang w:eastAsia="en-GB"/>
              </w:rPr>
              <w:t>not be prescribed without consultation with specialists:</w:t>
            </w:r>
          </w:p>
          <w:p w14:paraId="6905E7F3" w14:textId="77777777" w:rsidR="00704723" w:rsidRDefault="00704723" w:rsidP="00093D5F">
            <w:pPr>
              <w:numPr>
                <w:ilvl w:val="0"/>
                <w:numId w:val="12"/>
              </w:numPr>
              <w:ind w:left="357" w:hanging="357"/>
              <w:rPr>
                <w:rFonts w:eastAsia="Times New Roman" w:cs="Arial"/>
                <w:bCs/>
                <w:iCs/>
                <w:color w:val="000000"/>
                <w:szCs w:val="24"/>
                <w:lang w:eastAsia="en-GB"/>
              </w:rPr>
            </w:pPr>
            <w:r>
              <w:rPr>
                <w:rFonts w:eastAsia="Times New Roman" w:cs="Arial"/>
                <w:b/>
                <w:bCs/>
                <w:iCs/>
                <w:color w:val="000000"/>
                <w:szCs w:val="24"/>
                <w:lang w:eastAsia="en-GB"/>
              </w:rPr>
              <w:t>Medicines that may increase plasma lithium concentrations</w:t>
            </w:r>
            <w:r>
              <w:rPr>
                <w:rFonts w:eastAsia="Times New Roman" w:cs="Arial"/>
                <w:bCs/>
                <w:iCs/>
                <w:color w:val="000000"/>
                <w:szCs w:val="24"/>
                <w:lang w:eastAsia="en-GB"/>
              </w:rPr>
              <w:t xml:space="preserve"> (by reducing renal elimination) and so risk toxicity:</w:t>
            </w:r>
          </w:p>
          <w:p w14:paraId="22A03DBB" w14:textId="77777777" w:rsidR="00704723" w:rsidRDefault="00704723" w:rsidP="00093D5F">
            <w:pPr>
              <w:numPr>
                <w:ilvl w:val="0"/>
                <w:numId w:val="13"/>
              </w:numPr>
              <w:rPr>
                <w:rFonts w:eastAsia="Times New Roman" w:cs="Arial"/>
                <w:bCs/>
                <w:iCs/>
                <w:color w:val="000000"/>
                <w:szCs w:val="24"/>
                <w:lang w:eastAsia="en-GB"/>
              </w:rPr>
            </w:pPr>
            <w:r>
              <w:rPr>
                <w:rFonts w:eastAsia="Times New Roman" w:cs="Arial"/>
                <w:bCs/>
                <w:iCs/>
                <w:color w:val="000000"/>
                <w:szCs w:val="24"/>
                <w:lang w:eastAsia="en-GB"/>
              </w:rPr>
              <w:t>NSAIDs (including cyclo-oxygenase 2 inhibitors). If NSAID use is unavoidable, a dose reduction of lithium may be required and levels should be monitored more frequently; discuss with specialist team. ‘As required’ use of NSAIDs should be avoided since it may cause fluctuations in lithium levels and makes monitoring levels challenging.</w:t>
            </w:r>
          </w:p>
          <w:p w14:paraId="786CEA59"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Diuretics, particularly thiazide diuretics </w:t>
            </w:r>
          </w:p>
          <w:p w14:paraId="05675A1D"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Angiotensin converting enzyme (ACE) inhibitors and angiotensin II receptor antagonists</w:t>
            </w:r>
          </w:p>
          <w:p w14:paraId="68F8AEB9"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Other drugs which alter electrolyte balance with the potential to alter lithium clearance e.g. steroids. </w:t>
            </w:r>
          </w:p>
          <w:p w14:paraId="2753E525" w14:textId="77777777" w:rsidR="00704723" w:rsidRDefault="00704723" w:rsidP="00093D5F">
            <w:pPr>
              <w:numPr>
                <w:ilvl w:val="0"/>
                <w:numId w:val="13"/>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Certain antibiotics including metronidazole and tetracyclines</w:t>
            </w:r>
          </w:p>
          <w:p w14:paraId="588A9288"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that may decrease plasma lithium concentrations</w:t>
            </w:r>
            <w:r>
              <w:rPr>
                <w:rFonts w:eastAsia="Times New Roman" w:cs="Arial"/>
                <w:bCs/>
                <w:iCs/>
                <w:color w:val="000000"/>
                <w:szCs w:val="24"/>
                <w:lang w:eastAsia="en-GB"/>
              </w:rPr>
              <w:t xml:space="preserve"> (by increasing renal elimination) and so risk loss of efficacy:</w:t>
            </w:r>
          </w:p>
          <w:p w14:paraId="5724604B" w14:textId="77777777" w:rsidR="00704723" w:rsidRDefault="0070472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Theophylline</w:t>
            </w:r>
          </w:p>
          <w:p w14:paraId="298F04E0" w14:textId="63D4EB8E" w:rsidR="00704723" w:rsidRDefault="0070472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Products which contain sodium bicarbonate e.g. antacids</w:t>
            </w:r>
            <w:r w:rsidR="00756BF5">
              <w:rPr>
                <w:rFonts w:eastAsia="Times New Roman" w:cs="Arial"/>
                <w:bCs/>
                <w:iCs/>
                <w:color w:val="000000"/>
                <w:szCs w:val="24"/>
                <w:lang w:eastAsia="en-GB"/>
              </w:rPr>
              <w:t>, effervescent analgesics</w:t>
            </w:r>
            <w:r>
              <w:rPr>
                <w:rFonts w:eastAsia="Times New Roman" w:cs="Arial"/>
                <w:bCs/>
                <w:iCs/>
                <w:color w:val="000000"/>
                <w:szCs w:val="24"/>
                <w:lang w:eastAsia="en-GB"/>
              </w:rPr>
              <w:t xml:space="preserve"> </w:t>
            </w:r>
          </w:p>
          <w:p w14:paraId="43132640" w14:textId="01D69AEE" w:rsidR="00B60303" w:rsidRDefault="00B6030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Carbonic anhydrase inhibitors (e.g. acetazolamide)</w:t>
            </w:r>
          </w:p>
          <w:p w14:paraId="0DF7F929" w14:textId="7ACA5FC2" w:rsidR="00B60303" w:rsidRDefault="00B60303" w:rsidP="00093D5F">
            <w:pPr>
              <w:numPr>
                <w:ilvl w:val="0"/>
                <w:numId w:val="14"/>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Dapagliflozin, empagliflozin</w:t>
            </w:r>
          </w:p>
          <w:p w14:paraId="6EBAC0DE"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that may increase risk of neurotoxicity</w:t>
            </w:r>
            <w:r>
              <w:rPr>
                <w:rFonts w:eastAsia="Times New Roman" w:cs="Arial"/>
                <w:bCs/>
                <w:iCs/>
                <w:color w:val="000000"/>
                <w:szCs w:val="24"/>
                <w:lang w:eastAsia="en-GB"/>
              </w:rPr>
              <w:t xml:space="preserve"> when co-administered with lithium:</w:t>
            </w:r>
          </w:p>
          <w:p w14:paraId="0D85E708" w14:textId="0BE2EAB3" w:rsidR="00704723" w:rsidRDefault="0070472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Calcium channel blockers (e.g. verapamil, diltiazem)  </w:t>
            </w:r>
          </w:p>
          <w:p w14:paraId="64FCE469" w14:textId="77777777" w:rsidR="00704723" w:rsidRDefault="0070472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Antipsychotics  (e.g. haloperidol, olanzapine, clozapine, flupentixol, chlorpromazine)</w:t>
            </w:r>
          </w:p>
          <w:p w14:paraId="54D38D6C" w14:textId="1B527BB1" w:rsidR="00704723" w:rsidRDefault="00122347"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 xml:space="preserve">Medicines </w:t>
            </w:r>
            <w:r w:rsidR="00704723">
              <w:rPr>
                <w:rFonts w:eastAsia="Times New Roman" w:cs="Arial"/>
                <w:bCs/>
                <w:iCs/>
                <w:color w:val="000000"/>
                <w:szCs w:val="24"/>
                <w:lang w:eastAsia="en-GB"/>
              </w:rPr>
              <w:t>with a serotonergic action (e.g. SSRIs, tricyclic antidepressants, venlafaxine, duloxetine)</w:t>
            </w:r>
          </w:p>
          <w:p w14:paraId="52E55D0C" w14:textId="77777777" w:rsidR="00704723" w:rsidRDefault="0070472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Carbamazepine</w:t>
            </w:r>
          </w:p>
          <w:p w14:paraId="6072AE80" w14:textId="26562B53" w:rsidR="00B60303" w:rsidRDefault="00B60303" w:rsidP="00093D5F">
            <w:pPr>
              <w:numPr>
                <w:ilvl w:val="0"/>
                <w:numId w:val="15"/>
              </w:numPr>
              <w:autoSpaceDE w:val="0"/>
              <w:autoSpaceDN w:val="0"/>
              <w:adjustRightInd w:val="0"/>
              <w:rPr>
                <w:rFonts w:eastAsia="Times New Roman" w:cs="Arial"/>
                <w:bCs/>
                <w:iCs/>
                <w:color w:val="000000"/>
                <w:szCs w:val="24"/>
                <w:lang w:eastAsia="en-GB"/>
              </w:rPr>
            </w:pPr>
            <w:r>
              <w:rPr>
                <w:rFonts w:eastAsia="Times New Roman" w:cs="Arial"/>
                <w:bCs/>
                <w:iCs/>
                <w:color w:val="000000"/>
                <w:szCs w:val="24"/>
                <w:lang w:eastAsia="en-GB"/>
              </w:rPr>
              <w:t>Methyldopa</w:t>
            </w:r>
          </w:p>
          <w:p w14:paraId="442F7604"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associated with QT prolongation</w:t>
            </w:r>
            <w:r>
              <w:rPr>
                <w:rFonts w:eastAsia="Times New Roman" w:cs="Arial"/>
                <w:bCs/>
                <w:iCs/>
                <w:color w:val="000000"/>
                <w:szCs w:val="24"/>
                <w:lang w:eastAsia="en-GB"/>
              </w:rPr>
              <w:t xml:space="preserve"> (e.g. amiodarone, macrolides, tricyclic antidepressants) – potential for additive effects when co-administered with lithium.</w:t>
            </w:r>
          </w:p>
          <w:p w14:paraId="6BCF5D6E" w14:textId="77777777" w:rsidR="00704723" w:rsidRDefault="00704723" w:rsidP="00093D5F">
            <w:pPr>
              <w:numPr>
                <w:ilvl w:val="0"/>
                <w:numId w:val="12"/>
              </w:numPr>
              <w:autoSpaceDE w:val="0"/>
              <w:autoSpaceDN w:val="0"/>
              <w:adjustRightInd w:val="0"/>
              <w:rPr>
                <w:rFonts w:eastAsia="Times New Roman" w:cs="Arial"/>
                <w:bCs/>
                <w:iCs/>
                <w:color w:val="000000"/>
                <w:szCs w:val="24"/>
                <w:lang w:eastAsia="en-GB"/>
              </w:rPr>
            </w:pPr>
            <w:r>
              <w:rPr>
                <w:rFonts w:eastAsia="Times New Roman" w:cs="Arial"/>
                <w:b/>
                <w:bCs/>
                <w:iCs/>
                <w:color w:val="000000"/>
                <w:szCs w:val="24"/>
                <w:lang w:eastAsia="en-GB"/>
              </w:rPr>
              <w:t>Medicines that lower seizure threshold</w:t>
            </w:r>
            <w:r>
              <w:rPr>
                <w:rFonts w:eastAsia="Times New Roman" w:cs="Arial"/>
                <w:bCs/>
                <w:iCs/>
                <w:color w:val="000000"/>
                <w:szCs w:val="24"/>
                <w:lang w:eastAsia="en-GB"/>
              </w:rPr>
              <w:t xml:space="preserve"> (e.g. SSRIs, tricyclic antidepressants, antipsychotics) – increased risk of seizures</w:t>
            </w:r>
          </w:p>
          <w:p w14:paraId="0D4026F8" w14:textId="77777777" w:rsidR="00704723" w:rsidRDefault="00704723" w:rsidP="00704723">
            <w:pPr>
              <w:autoSpaceDE w:val="0"/>
              <w:autoSpaceDN w:val="0"/>
              <w:adjustRightInd w:val="0"/>
              <w:rPr>
                <w:rFonts w:eastAsia="Times New Roman" w:cs="Arial"/>
                <w:bCs/>
                <w:iCs/>
                <w:color w:val="000000"/>
                <w:szCs w:val="24"/>
                <w:lang w:eastAsia="en-GB"/>
              </w:rPr>
            </w:pPr>
          </w:p>
          <w:p w14:paraId="11735DD8" w14:textId="74BAEF86" w:rsidR="001A51F3" w:rsidRPr="00FE3EEF" w:rsidRDefault="00704723" w:rsidP="00704723">
            <w:pPr>
              <w:rPr>
                <w:rFonts w:cs="Arial"/>
              </w:rPr>
            </w:pPr>
            <w:r>
              <w:rPr>
                <w:rFonts w:cs="Arial"/>
                <w:b/>
                <w:szCs w:val="24"/>
              </w:rPr>
              <w:t>Care should be taken on initiation, dose adjustment or discontinuation of any interacting medicines. The onset and degree of the interaction can vary and additional lithium monitoring is likely to be indicated, with doses adjusted accordingly. Discuss with specialist team.</w:t>
            </w:r>
          </w:p>
        </w:tc>
      </w:tr>
    </w:tbl>
    <w:p w14:paraId="56D8C659"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lastRenderedPageBreak/>
        <w:t>Adverse effects and management</w:t>
      </w:r>
      <w:bookmarkEnd w:id="17"/>
    </w:p>
    <w:p w14:paraId="41070243" w14:textId="207A961A"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19"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769B6C3F" w:rsidR="0051526F" w:rsidRDefault="0051526F" w:rsidP="0051526F">
      <w:pPr>
        <w:rPr>
          <w:rStyle w:val="Hyperlink"/>
          <w:rFonts w:eastAsia="Calibri"/>
          <w:bCs/>
          <w:noProof/>
          <w:color w:val="000000"/>
          <w:u w:val="none"/>
          <w:lang w:eastAsia="en-GB"/>
        </w:rPr>
      </w:pPr>
      <w:r w:rsidRPr="0041687B">
        <w:rPr>
          <w:rStyle w:val="Hyperlink"/>
          <w:rFonts w:eastAsia="Calibri" w:cs="Arial"/>
          <w:bCs/>
          <w:noProof/>
          <w:color w:val="000000"/>
          <w:u w:val="none"/>
          <w:lang w:eastAsia="en-GB"/>
        </w:rPr>
        <w:t xml:space="preserve">For information on incidence of ADRs see relevant </w:t>
      </w:r>
      <w:r w:rsidRPr="007A56FB">
        <w:rPr>
          <w:rStyle w:val="Hyperlink"/>
          <w:rFonts w:eastAsia="Calibri" w:cs="Arial"/>
          <w:bCs/>
          <w:noProof/>
          <w:color w:val="000000"/>
          <w:u w:val="none"/>
          <w:lang w:eastAsia="en-GB"/>
        </w:rPr>
        <w:t>S</w:t>
      </w:r>
      <w:r w:rsidRPr="007A56FB">
        <w:rPr>
          <w:rStyle w:val="Hyperlink"/>
          <w:rFonts w:eastAsia="Calibri"/>
          <w:bCs/>
          <w:noProof/>
          <w:color w:val="000000"/>
          <w:u w:val="none"/>
          <w:lang w:eastAsia="en-GB"/>
        </w:rPr>
        <w:t>PCs</w:t>
      </w:r>
      <w:r w:rsidRPr="00D13A1C">
        <w:rPr>
          <w:rStyle w:val="Hyperlink"/>
          <w:rFonts w:eastAsia="Calibri"/>
          <w:bCs/>
          <w:noProof/>
          <w:color w:val="000000"/>
          <w:u w:val="none"/>
          <w:lang w:eastAsia="en-GB"/>
        </w:rPr>
        <w:t>.</w:t>
      </w:r>
    </w:p>
    <w:p w14:paraId="0F98322D" w14:textId="4222262A" w:rsidR="00DA4603" w:rsidRDefault="00A47040" w:rsidP="0051526F">
      <w:pPr>
        <w:rPr>
          <w:rStyle w:val="Hyperlink"/>
          <w:rFonts w:eastAsia="Calibri"/>
          <w:bCs/>
          <w:noProof/>
          <w:color w:val="000000"/>
          <w:u w:val="none"/>
          <w:lang w:eastAsia="en-GB"/>
        </w:rPr>
      </w:pPr>
      <w:r w:rsidRPr="00776279">
        <w:rPr>
          <w:rStyle w:val="Hyperlink"/>
          <w:rFonts w:eastAsia="Calibri"/>
          <w:bCs/>
          <w:noProof/>
          <w:color w:val="000000"/>
          <w:u w:val="none"/>
          <w:lang w:eastAsia="en-GB"/>
        </w:rPr>
        <w:t xml:space="preserve">A LiSERS scale has been included in </w:t>
      </w:r>
      <w:hyperlink w:anchor="Appendix_3" w:history="1">
        <w:r w:rsidRPr="00F33AC9">
          <w:rPr>
            <w:rStyle w:val="Hyperlink"/>
            <w:rFonts w:eastAsia="Calibri"/>
            <w:bCs/>
            <w:noProof/>
            <w:lang w:eastAsia="en-GB"/>
          </w:rPr>
          <w:t>Appendix 3</w:t>
        </w:r>
      </w:hyperlink>
      <w:r w:rsidRPr="00776279">
        <w:rPr>
          <w:rStyle w:val="Hyperlink"/>
          <w:rFonts w:eastAsia="Calibri"/>
          <w:bCs/>
          <w:noProof/>
          <w:color w:val="000000"/>
          <w:u w:val="none"/>
          <w:lang w:eastAsia="en-GB"/>
        </w:rPr>
        <w:t xml:space="preserve"> for information. </w:t>
      </w:r>
    </w:p>
    <w:tbl>
      <w:tblPr>
        <w:tblStyle w:val="TableGridLight1"/>
        <w:tblW w:w="10490" w:type="dxa"/>
        <w:tblInd w:w="-5" w:type="dxa"/>
        <w:tblCellMar>
          <w:top w:w="57" w:type="dxa"/>
          <w:bottom w:w="57" w:type="dxa"/>
        </w:tblCellMar>
        <w:tblLook w:val="0480" w:firstRow="0" w:lastRow="0" w:firstColumn="1" w:lastColumn="0" w:noHBand="0" w:noVBand="1"/>
      </w:tblPr>
      <w:tblGrid>
        <w:gridCol w:w="4253"/>
        <w:gridCol w:w="6237"/>
      </w:tblGrid>
      <w:tr w:rsidR="0051526F" w:rsidRPr="00F321FC" w14:paraId="7F454127" w14:textId="77777777" w:rsidTr="00704723">
        <w:trPr>
          <w:cantSplit/>
          <w:tblHeader/>
        </w:trPr>
        <w:tc>
          <w:tcPr>
            <w:tcW w:w="4253" w:type="dxa"/>
            <w:shd w:val="clear" w:color="auto" w:fill="F2F2F2" w:themeFill="background1" w:themeFillShade="F2"/>
          </w:tcPr>
          <w:p w14:paraId="67AF18F0" w14:textId="01ED708F" w:rsidR="0051526F" w:rsidRPr="00BF174A" w:rsidRDefault="0051526F" w:rsidP="00704723">
            <w:pPr>
              <w:rPr>
                <w:b/>
                <w:bCs/>
                <w:u w:val="single"/>
              </w:rPr>
            </w:pPr>
            <w:r w:rsidRPr="00BF174A">
              <w:rPr>
                <w:b/>
                <w:bCs/>
                <w:u w:val="single"/>
              </w:rPr>
              <w:t>Adverse effect</w:t>
            </w:r>
          </w:p>
        </w:tc>
        <w:tc>
          <w:tcPr>
            <w:tcW w:w="6237" w:type="dxa"/>
            <w:shd w:val="clear" w:color="auto" w:fill="F2F2F2" w:themeFill="background1" w:themeFillShade="F2"/>
          </w:tcPr>
          <w:p w14:paraId="7FD73CD2" w14:textId="63413BED" w:rsidR="0051526F" w:rsidRPr="00BF174A" w:rsidRDefault="0051526F" w:rsidP="00704723">
            <w:pPr>
              <w:rPr>
                <w:b/>
                <w:bCs/>
                <w:u w:val="single"/>
              </w:rPr>
            </w:pPr>
            <w:r w:rsidRPr="00BF174A">
              <w:rPr>
                <w:b/>
                <w:bCs/>
                <w:u w:val="single"/>
              </w:rPr>
              <w:t>Management</w:t>
            </w:r>
          </w:p>
        </w:tc>
      </w:tr>
      <w:tr w:rsidR="00704723" w:rsidRPr="00F321FC" w14:paraId="01268D2D" w14:textId="77777777" w:rsidTr="00704723">
        <w:trPr>
          <w:cantSplit/>
          <w:trHeight w:val="48"/>
        </w:trPr>
        <w:tc>
          <w:tcPr>
            <w:tcW w:w="4253" w:type="dxa"/>
          </w:tcPr>
          <w:p w14:paraId="3D53BBB5" w14:textId="03BC0BF3" w:rsidR="00704723" w:rsidRDefault="00704723" w:rsidP="00704723">
            <w:pPr>
              <w:rPr>
                <w:rFonts w:eastAsia="Times New Roman" w:cs="Arial"/>
                <w:b/>
                <w:szCs w:val="24"/>
                <w:lang w:eastAsia="en-GB"/>
              </w:rPr>
            </w:pPr>
            <w:r>
              <w:rPr>
                <w:rFonts w:eastAsia="Times New Roman" w:cs="Arial"/>
                <w:b/>
                <w:szCs w:val="24"/>
                <w:lang w:eastAsia="en-GB"/>
              </w:rPr>
              <w:t xml:space="preserve">12-hour </w:t>
            </w:r>
            <w:r w:rsidR="00AD5717">
              <w:rPr>
                <w:rFonts w:eastAsia="Times New Roman" w:cs="Arial"/>
                <w:b/>
                <w:szCs w:val="24"/>
                <w:lang w:eastAsia="en-GB"/>
              </w:rPr>
              <w:t xml:space="preserve">post dose </w:t>
            </w:r>
            <w:r>
              <w:rPr>
                <w:rFonts w:eastAsia="Times New Roman" w:cs="Arial"/>
                <w:b/>
                <w:szCs w:val="24"/>
                <w:lang w:eastAsia="en-GB"/>
              </w:rPr>
              <w:t xml:space="preserve">plasma lithium level </w:t>
            </w:r>
          </w:p>
          <w:p w14:paraId="5054E7D8" w14:textId="77777777" w:rsidR="00704723" w:rsidRDefault="00704723" w:rsidP="00704723">
            <w:pPr>
              <w:rPr>
                <w:rFonts w:eastAsia="Times New Roman" w:cs="Arial"/>
                <w:szCs w:val="24"/>
                <w:lang w:eastAsia="en-GB"/>
              </w:rPr>
            </w:pPr>
            <w:r>
              <w:rPr>
                <w:rFonts w:eastAsia="Times New Roman" w:cs="Arial"/>
                <w:szCs w:val="24"/>
                <w:lang w:eastAsia="en-GB"/>
              </w:rPr>
              <w:t>Below target range</w:t>
            </w:r>
          </w:p>
          <w:p w14:paraId="644F222F" w14:textId="77777777" w:rsidR="00704723" w:rsidRDefault="00704723" w:rsidP="00704723">
            <w:pPr>
              <w:rPr>
                <w:rFonts w:eastAsia="Times New Roman" w:cs="Arial"/>
                <w:szCs w:val="24"/>
                <w:lang w:eastAsia="en-GB"/>
              </w:rPr>
            </w:pPr>
          </w:p>
          <w:p w14:paraId="6A99262A" w14:textId="22ACAF64" w:rsidR="00704723" w:rsidRPr="00F321FC" w:rsidRDefault="00704723" w:rsidP="00704723">
            <w:pPr>
              <w:rPr>
                <w:rFonts w:cs="Arial"/>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71D9648A" w14:textId="34DC3C68" w:rsidR="00704723" w:rsidRDefault="00C9169B" w:rsidP="00704723">
            <w:pPr>
              <w:rPr>
                <w:rFonts w:eastAsia="Times New Roman" w:cs="Arial"/>
                <w:szCs w:val="24"/>
                <w:lang w:eastAsia="en-GB"/>
              </w:rPr>
            </w:pPr>
            <w:r w:rsidRPr="00C9169B">
              <w:rPr>
                <w:rFonts w:eastAsia="Times New Roman" w:cs="Arial"/>
                <w:b/>
                <w:bCs/>
                <w:szCs w:val="24"/>
                <w:lang w:eastAsia="en-GB"/>
              </w:rPr>
              <w:t>Ensure level was taken 12 hours after lithium dose</w:t>
            </w:r>
            <w:r>
              <w:rPr>
                <w:rFonts w:eastAsia="Times New Roman" w:cs="Arial"/>
                <w:szCs w:val="24"/>
                <w:lang w:eastAsia="en-GB"/>
              </w:rPr>
              <w:t xml:space="preserve">. </w:t>
            </w:r>
            <w:r w:rsidR="00704723">
              <w:rPr>
                <w:rFonts w:eastAsia="Times New Roman" w:cs="Arial"/>
                <w:szCs w:val="24"/>
                <w:lang w:eastAsia="en-GB"/>
              </w:rPr>
              <w:t xml:space="preserve">Assess adherence, including discussion with patient and check of GP clinical systems. Offer advice on adherence if appropriate (e.g. daily routines, reminders). </w:t>
            </w:r>
          </w:p>
          <w:p w14:paraId="45A5B53C" w14:textId="3BF2F11A" w:rsidR="00704723" w:rsidRPr="00F321FC" w:rsidRDefault="00704723" w:rsidP="00704723">
            <w:pPr>
              <w:rPr>
                <w:rFonts w:cs="Arial"/>
              </w:rPr>
            </w:pPr>
            <w:r>
              <w:rPr>
                <w:rFonts w:eastAsia="Times New Roman" w:cs="Arial"/>
                <w:szCs w:val="24"/>
                <w:lang w:eastAsia="en-GB"/>
              </w:rPr>
              <w:t>Contact specialist team for advice if suspected that the dose is too low.</w:t>
            </w:r>
          </w:p>
        </w:tc>
      </w:tr>
      <w:tr w:rsidR="00704723" w:rsidRPr="00F321FC" w14:paraId="7CEAAB39" w14:textId="77777777" w:rsidTr="00704723">
        <w:trPr>
          <w:cantSplit/>
          <w:trHeight w:val="48"/>
        </w:trPr>
        <w:tc>
          <w:tcPr>
            <w:tcW w:w="4253" w:type="dxa"/>
          </w:tcPr>
          <w:p w14:paraId="72184CBB" w14:textId="77777777" w:rsidR="00704723" w:rsidRDefault="00704723" w:rsidP="00704723">
            <w:pPr>
              <w:rPr>
                <w:rFonts w:eastAsia="Times New Roman" w:cs="Arial"/>
                <w:szCs w:val="24"/>
                <w:lang w:eastAsia="en-GB"/>
              </w:rPr>
            </w:pPr>
            <w:r>
              <w:rPr>
                <w:rFonts w:eastAsia="Times New Roman" w:cs="Arial"/>
                <w:szCs w:val="24"/>
                <w:lang w:eastAsia="en-GB"/>
              </w:rPr>
              <w:t xml:space="preserve">Above target range </w:t>
            </w:r>
          </w:p>
          <w:p w14:paraId="29449D6B" w14:textId="77777777" w:rsidR="00704723" w:rsidRDefault="00704723" w:rsidP="00704723">
            <w:pPr>
              <w:rPr>
                <w:rFonts w:eastAsia="Times New Roman" w:cs="Arial"/>
                <w:szCs w:val="24"/>
                <w:lang w:eastAsia="en-GB"/>
              </w:rPr>
            </w:pPr>
          </w:p>
          <w:p w14:paraId="2386555E" w14:textId="70E178BA" w:rsidR="00704723" w:rsidRPr="0051526F" w:rsidRDefault="00704723" w:rsidP="00704723">
            <w:pPr>
              <w:rPr>
                <w:rFonts w:eastAsia="Times New Roman" w:cstheme="minorHAnsi"/>
                <w:lang w:eastAsia="en-GB"/>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252C4D0B" w14:textId="77777777" w:rsidR="007D1D2D" w:rsidRDefault="007D1D2D" w:rsidP="00704723">
            <w:pPr>
              <w:rPr>
                <w:rFonts w:eastAsia="Times New Roman" w:cs="Arial"/>
                <w:b/>
                <w:szCs w:val="24"/>
                <w:lang w:eastAsia="en-GB"/>
              </w:rPr>
            </w:pPr>
            <w:r>
              <w:rPr>
                <w:rFonts w:eastAsia="Times New Roman" w:cs="Arial"/>
                <w:b/>
                <w:szCs w:val="24"/>
                <w:lang w:eastAsia="en-GB"/>
              </w:rPr>
              <w:t xml:space="preserve">Withhold lithium if there are features of toxicity (e.g. diarrhoea, vomiting, loss of appetite, increasing confusion, myoclonic twitches). </w:t>
            </w:r>
          </w:p>
          <w:p w14:paraId="6C34A23D" w14:textId="6C9F3BDA" w:rsidR="00704723" w:rsidRDefault="00704723" w:rsidP="00704723">
            <w:pPr>
              <w:rPr>
                <w:rFonts w:eastAsia="Times New Roman" w:cs="Arial"/>
                <w:szCs w:val="24"/>
                <w:lang w:eastAsia="en-GB"/>
              </w:rPr>
            </w:pPr>
            <w:r>
              <w:rPr>
                <w:rFonts w:eastAsia="Times New Roman" w:cs="Arial"/>
                <w:szCs w:val="24"/>
                <w:lang w:eastAsia="en-GB"/>
              </w:rPr>
              <w:t>Ensure level was taken 12 hours after lithium dose and that the correct dose has been prescribed and taken.</w:t>
            </w:r>
            <w:r w:rsidR="007D1D2D">
              <w:rPr>
                <w:rFonts w:eastAsia="Times New Roman" w:cs="Arial"/>
                <w:szCs w:val="24"/>
                <w:lang w:eastAsia="en-GB"/>
              </w:rPr>
              <w:t xml:space="preserve"> Repeat level if necessary.</w:t>
            </w:r>
            <w:r>
              <w:rPr>
                <w:rFonts w:eastAsia="Times New Roman" w:cs="Arial"/>
                <w:szCs w:val="24"/>
                <w:lang w:eastAsia="en-GB"/>
              </w:rPr>
              <w:t xml:space="preserve"> Check for interactions, hydration, patient’s physical and mental status, and features of toxicity. </w:t>
            </w:r>
          </w:p>
          <w:p w14:paraId="3A410183" w14:textId="5928FD6A" w:rsidR="00704723" w:rsidRDefault="00704723" w:rsidP="00704723">
            <w:pPr>
              <w:rPr>
                <w:rFonts w:eastAsia="Times New Roman" w:cs="Arial"/>
                <w:b/>
                <w:szCs w:val="24"/>
                <w:lang w:eastAsia="en-GB"/>
              </w:rPr>
            </w:pPr>
            <w:r w:rsidRPr="00B515FA">
              <w:rPr>
                <w:rFonts w:eastAsia="Times New Roman" w:cs="Arial"/>
                <w:b/>
                <w:szCs w:val="24"/>
                <w:lang w:eastAsia="en-GB"/>
              </w:rPr>
              <w:t>Contact specialist team for advice in all cases.</w:t>
            </w:r>
          </w:p>
          <w:p w14:paraId="645A7295" w14:textId="409DAB2B" w:rsidR="00704723" w:rsidRPr="00F321FC" w:rsidRDefault="00704723" w:rsidP="007D1D2D">
            <w:pPr>
              <w:rPr>
                <w:rFonts w:cs="Arial"/>
              </w:rPr>
            </w:pPr>
            <w:r w:rsidRPr="00B515FA">
              <w:rPr>
                <w:rFonts w:eastAsia="Times New Roman" w:cs="Arial"/>
                <w:b/>
                <w:szCs w:val="24"/>
                <w:lang w:eastAsia="en-GB"/>
              </w:rPr>
              <w:t>If ≥2.0mmol/L –</w:t>
            </w:r>
            <w:r>
              <w:rPr>
                <w:rFonts w:eastAsia="Times New Roman" w:cs="Arial"/>
                <w:szCs w:val="24"/>
                <w:lang w:eastAsia="en-GB"/>
              </w:rPr>
              <w:t xml:space="preserve"> </w:t>
            </w:r>
            <w:r w:rsidR="003032BA">
              <w:rPr>
                <w:rFonts w:eastAsia="Times New Roman" w:cs="Arial"/>
                <w:b/>
                <w:bCs/>
                <w:szCs w:val="24"/>
                <w:lang w:eastAsia="en-GB"/>
              </w:rPr>
              <w:t>withhold lithium immediately</w:t>
            </w:r>
            <w:r w:rsidR="003032BA" w:rsidRPr="00B515FA">
              <w:rPr>
                <w:rFonts w:eastAsia="Times New Roman" w:cs="Arial"/>
                <w:szCs w:val="24"/>
                <w:lang w:eastAsia="en-GB"/>
              </w:rPr>
              <w:t xml:space="preserve">, </w:t>
            </w:r>
            <w:r w:rsidR="003032BA">
              <w:rPr>
                <w:rFonts w:eastAsia="Times New Roman" w:cs="Arial"/>
                <w:szCs w:val="24"/>
                <w:lang w:eastAsia="en-GB"/>
              </w:rPr>
              <w:t xml:space="preserve">and </w:t>
            </w:r>
            <w:r>
              <w:rPr>
                <w:rFonts w:eastAsia="Times New Roman" w:cs="Arial"/>
                <w:szCs w:val="24"/>
                <w:lang w:eastAsia="en-GB"/>
              </w:rPr>
              <w:t xml:space="preserve">consider sending patient to </w:t>
            </w:r>
            <w:r w:rsidR="007D1D2D">
              <w:rPr>
                <w:rFonts w:eastAsia="Times New Roman" w:cs="Arial"/>
                <w:szCs w:val="24"/>
                <w:lang w:eastAsia="en-GB"/>
              </w:rPr>
              <w:t>the nearest emergency department</w:t>
            </w:r>
            <w:r>
              <w:rPr>
                <w:rFonts w:eastAsia="Times New Roman" w:cs="Arial"/>
                <w:szCs w:val="24"/>
                <w:lang w:eastAsia="en-GB"/>
              </w:rPr>
              <w:t>, based on clinical presentation (e.g. features of toxicity)</w:t>
            </w:r>
            <w:r w:rsidR="003032BA">
              <w:rPr>
                <w:rFonts w:eastAsia="Times New Roman" w:cs="Arial"/>
                <w:szCs w:val="24"/>
                <w:lang w:eastAsia="en-GB"/>
              </w:rPr>
              <w:t>.</w:t>
            </w:r>
            <w:r>
              <w:rPr>
                <w:rFonts w:eastAsia="Times New Roman" w:cs="Arial"/>
                <w:szCs w:val="24"/>
                <w:lang w:eastAsia="en-GB"/>
              </w:rPr>
              <w:t xml:space="preserve"> </w:t>
            </w:r>
            <w:r w:rsidR="003032BA">
              <w:rPr>
                <w:rFonts w:eastAsia="Times New Roman" w:cs="Arial"/>
                <w:szCs w:val="24"/>
                <w:lang w:eastAsia="en-GB"/>
              </w:rPr>
              <w:t>I</w:t>
            </w:r>
            <w:r>
              <w:rPr>
                <w:rFonts w:eastAsia="Times New Roman" w:cs="Arial"/>
                <w:szCs w:val="24"/>
                <w:lang w:eastAsia="en-GB"/>
              </w:rPr>
              <w:t>nform specialist team.</w:t>
            </w:r>
          </w:p>
        </w:tc>
      </w:tr>
      <w:tr w:rsidR="00704723" w:rsidRPr="00F321FC" w14:paraId="3E83576D" w14:textId="77777777" w:rsidTr="00704723">
        <w:trPr>
          <w:cantSplit/>
          <w:trHeight w:val="48"/>
        </w:trPr>
        <w:tc>
          <w:tcPr>
            <w:tcW w:w="4253" w:type="dxa"/>
          </w:tcPr>
          <w:p w14:paraId="3E9A2C2C" w14:textId="77777777" w:rsidR="00704723" w:rsidRDefault="00704723" w:rsidP="00704723">
            <w:pPr>
              <w:rPr>
                <w:rFonts w:eastAsia="Times New Roman" w:cs="Arial"/>
                <w:szCs w:val="24"/>
                <w:lang w:eastAsia="en-GB"/>
              </w:rPr>
            </w:pPr>
            <w:r>
              <w:rPr>
                <w:rFonts w:eastAsia="Times New Roman" w:cs="Arial"/>
                <w:szCs w:val="24"/>
                <w:lang w:eastAsia="en-GB"/>
              </w:rPr>
              <w:t>Within target range but toxicity suspected</w:t>
            </w:r>
          </w:p>
          <w:p w14:paraId="4685AE4A" w14:textId="77777777" w:rsidR="00691E36" w:rsidRDefault="00691E36" w:rsidP="00704723">
            <w:pPr>
              <w:rPr>
                <w:rFonts w:eastAsia="Times New Roman" w:cs="Arial"/>
                <w:szCs w:val="24"/>
                <w:lang w:eastAsia="en-GB"/>
              </w:rPr>
            </w:pPr>
          </w:p>
          <w:p w14:paraId="1B1AC317" w14:textId="2E443A31" w:rsidR="00691E36" w:rsidRPr="00691E36" w:rsidRDefault="00691E36" w:rsidP="00704723">
            <w:pPr>
              <w:rPr>
                <w:rFonts w:eastAsia="Times New Roman" w:cs="Arial"/>
                <w:szCs w:val="24"/>
                <w:lang w:eastAsia="en-GB"/>
              </w:rPr>
            </w:pPr>
            <w:r w:rsidRPr="00B515FA">
              <w:rPr>
                <w:rFonts w:eastAsia="Times New Roman" w:cs="Arial"/>
                <w:bCs/>
                <w:szCs w:val="24"/>
                <w:lang w:eastAsia="en-GB"/>
              </w:rPr>
              <w:t>Signs of toxicity</w:t>
            </w:r>
            <w:r>
              <w:rPr>
                <w:rFonts w:eastAsia="Times New Roman" w:cs="Arial"/>
                <w:szCs w:val="24"/>
                <w:lang w:eastAsia="en-GB"/>
              </w:rPr>
              <w:t xml:space="preserve"> include </w:t>
            </w:r>
            <w:r w:rsidRPr="00691E36">
              <w:rPr>
                <w:rFonts w:eastAsia="Times New Roman" w:cs="Arial"/>
                <w:szCs w:val="24"/>
                <w:lang w:eastAsia="en-GB"/>
              </w:rPr>
              <w:t>diarrhoea, vomiting, loss of appetite, muscle weakness, lethargy, dizziness, ataxia, lack of coordination, tinnitus, blurred vision, coarse tremor of the extremities and lower jaw, muscle hyper-irritability, choreoathetoid movements, dysarthria, and drowsiness</w:t>
            </w:r>
          </w:p>
          <w:p w14:paraId="3B9D6DD3" w14:textId="77777777" w:rsidR="00704723" w:rsidRDefault="00704723" w:rsidP="00704723">
            <w:pPr>
              <w:rPr>
                <w:rFonts w:eastAsia="Times New Roman" w:cs="Arial"/>
                <w:szCs w:val="24"/>
                <w:lang w:eastAsia="en-GB"/>
              </w:rPr>
            </w:pPr>
          </w:p>
          <w:p w14:paraId="08C53FEC" w14:textId="4A363A5A" w:rsidR="00704723" w:rsidRPr="00F321FC" w:rsidRDefault="00704723" w:rsidP="00704723">
            <w:pPr>
              <w:rPr>
                <w:rFonts w:cs="Arial"/>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6DF18E8A" w14:textId="317695D4" w:rsidR="00704723" w:rsidRDefault="00BB1809" w:rsidP="00B515FA">
            <w:pPr>
              <w:rPr>
                <w:rFonts w:eastAsia="Times New Roman" w:cs="Arial"/>
                <w:szCs w:val="24"/>
                <w:lang w:eastAsia="en-GB"/>
              </w:rPr>
            </w:pPr>
            <w:r>
              <w:rPr>
                <w:rFonts w:eastAsia="Times New Roman" w:cs="Arial"/>
                <w:b/>
                <w:bCs/>
                <w:szCs w:val="24"/>
                <w:lang w:eastAsia="en-GB"/>
              </w:rPr>
              <w:t xml:space="preserve">Withhold lithium. </w:t>
            </w:r>
            <w:r w:rsidR="00704723">
              <w:rPr>
                <w:rFonts w:eastAsia="Times New Roman" w:cs="Arial"/>
                <w:szCs w:val="24"/>
                <w:lang w:eastAsia="en-GB"/>
              </w:rPr>
              <w:t>Contact specialist team for advice.</w:t>
            </w:r>
          </w:p>
          <w:p w14:paraId="6150FFD4" w14:textId="77777777" w:rsidR="00704723" w:rsidRDefault="00704723" w:rsidP="00704723">
            <w:pPr>
              <w:rPr>
                <w:rFonts w:eastAsia="Times New Roman" w:cs="Arial"/>
                <w:szCs w:val="24"/>
                <w:lang w:eastAsia="en-GB"/>
              </w:rPr>
            </w:pPr>
            <w:r>
              <w:rPr>
                <w:rFonts w:eastAsia="Times New Roman" w:cs="Arial"/>
                <w:szCs w:val="24"/>
                <w:lang w:eastAsia="en-GB"/>
              </w:rPr>
              <w:t>Referral to secondary care may be required depending on the severity of symptoms and the certainty of toxicity. Use clinical judgement to determine the urgency of referral.</w:t>
            </w:r>
          </w:p>
          <w:p w14:paraId="0AF04492" w14:textId="29158BC5" w:rsidR="00F144AE" w:rsidRPr="00F321FC" w:rsidRDefault="00F144AE" w:rsidP="00704723">
            <w:pPr>
              <w:rPr>
                <w:rFonts w:cs="Arial"/>
              </w:rPr>
            </w:pPr>
            <w:r>
              <w:rPr>
                <w:rFonts w:eastAsia="Times New Roman" w:cs="Arial"/>
                <w:szCs w:val="24"/>
                <w:lang w:eastAsia="en-GB"/>
              </w:rPr>
              <w:t xml:space="preserve">If referral to secondary care is not required, take </w:t>
            </w:r>
            <w:r w:rsidRPr="00B515FA">
              <w:rPr>
                <w:rFonts w:eastAsia="Times New Roman" w:cs="Arial"/>
                <w:b/>
                <w:bCs/>
                <w:szCs w:val="24"/>
                <w:lang w:eastAsia="en-GB"/>
              </w:rPr>
              <w:t>urgent</w:t>
            </w:r>
            <w:r>
              <w:rPr>
                <w:rFonts w:eastAsia="Times New Roman" w:cs="Arial"/>
                <w:szCs w:val="24"/>
                <w:lang w:eastAsia="en-GB"/>
              </w:rPr>
              <w:t xml:space="preserve"> serum lithium level and U&amp;Es.</w:t>
            </w:r>
          </w:p>
        </w:tc>
      </w:tr>
      <w:tr w:rsidR="00704723" w:rsidRPr="00F321FC" w14:paraId="24831E88" w14:textId="77777777" w:rsidTr="00704723">
        <w:trPr>
          <w:cantSplit/>
          <w:trHeight w:val="48"/>
        </w:trPr>
        <w:tc>
          <w:tcPr>
            <w:tcW w:w="4253" w:type="dxa"/>
          </w:tcPr>
          <w:p w14:paraId="0EEADCF6" w14:textId="77777777" w:rsidR="00704723" w:rsidRDefault="00704723" w:rsidP="00704723">
            <w:pPr>
              <w:rPr>
                <w:rFonts w:eastAsia="Times New Roman" w:cs="Arial"/>
                <w:szCs w:val="24"/>
                <w:lang w:eastAsia="en-GB"/>
              </w:rPr>
            </w:pPr>
            <w:r>
              <w:rPr>
                <w:rFonts w:eastAsia="Times New Roman" w:cs="Arial"/>
                <w:szCs w:val="24"/>
                <w:lang w:eastAsia="en-GB"/>
              </w:rPr>
              <w:lastRenderedPageBreak/>
              <w:t>Within target range but marked change since last level (and there has been no dose change)</w:t>
            </w:r>
          </w:p>
          <w:p w14:paraId="632B9558" w14:textId="77777777" w:rsidR="00704723" w:rsidRDefault="00704723" w:rsidP="00704723">
            <w:pPr>
              <w:rPr>
                <w:rFonts w:eastAsia="Times New Roman" w:cs="Arial"/>
                <w:szCs w:val="24"/>
                <w:lang w:eastAsia="en-GB"/>
              </w:rPr>
            </w:pPr>
          </w:p>
          <w:p w14:paraId="1928A53C" w14:textId="79C84D8C" w:rsidR="00704723" w:rsidRPr="00F321FC" w:rsidRDefault="00704723" w:rsidP="00704723">
            <w:pPr>
              <w:rPr>
                <w:rFonts w:cs="Arial"/>
              </w:rPr>
            </w:pPr>
            <w:r>
              <w:rPr>
                <w:rFonts w:eastAsia="Times New Roman" w:cs="Arial"/>
                <w:szCs w:val="24"/>
                <w:lang w:eastAsia="en-GB"/>
              </w:rPr>
              <w:t>NB: range for each patient to be determined by the specialist team.  Note that local reference ranges may vary</w:t>
            </w:r>
            <w:r w:rsidR="003032BA">
              <w:rPr>
                <w:rFonts w:eastAsia="Times New Roman" w:cs="Arial"/>
                <w:szCs w:val="24"/>
                <w:lang w:eastAsia="en-GB"/>
              </w:rPr>
              <w:t>.</w:t>
            </w:r>
          </w:p>
        </w:tc>
        <w:tc>
          <w:tcPr>
            <w:tcW w:w="6237" w:type="dxa"/>
          </w:tcPr>
          <w:p w14:paraId="073E4CB8" w14:textId="77777777" w:rsidR="00704723" w:rsidRDefault="00704723" w:rsidP="00704723">
            <w:pPr>
              <w:rPr>
                <w:rFonts w:eastAsia="Times New Roman" w:cs="Arial"/>
                <w:szCs w:val="24"/>
                <w:lang w:eastAsia="en-GB"/>
              </w:rPr>
            </w:pPr>
            <w:r>
              <w:rPr>
                <w:rFonts w:eastAsia="Times New Roman" w:cs="Arial"/>
                <w:szCs w:val="24"/>
                <w:lang w:eastAsia="en-GB"/>
              </w:rPr>
              <w:t>Establish whether level was taken 12 hours after lithium dose. Repeat level with an urgency determined by clinical judgement. Assess adherence, including discussion with patient and check of GP clinical systems. Offer advice on adherence if appropriate (e.g. daily routines, reminders).</w:t>
            </w:r>
          </w:p>
          <w:p w14:paraId="3EAA40C2" w14:textId="7C11DE1F" w:rsidR="00704723" w:rsidRPr="00F321FC" w:rsidRDefault="00704723" w:rsidP="00704723">
            <w:pPr>
              <w:rPr>
                <w:rFonts w:cs="Arial"/>
              </w:rPr>
            </w:pPr>
            <w:r>
              <w:rPr>
                <w:rFonts w:eastAsia="Times New Roman" w:cs="Arial"/>
                <w:szCs w:val="24"/>
                <w:lang w:eastAsia="en-GB"/>
              </w:rPr>
              <w:t xml:space="preserve">More frequent monitoring may be required. </w:t>
            </w:r>
          </w:p>
        </w:tc>
      </w:tr>
      <w:tr w:rsidR="00704723" w:rsidRPr="00F321FC" w14:paraId="7B45BBDF" w14:textId="77777777" w:rsidTr="00704723">
        <w:trPr>
          <w:cantSplit/>
          <w:trHeight w:val="48"/>
        </w:trPr>
        <w:tc>
          <w:tcPr>
            <w:tcW w:w="4253" w:type="dxa"/>
          </w:tcPr>
          <w:p w14:paraId="54833CB4" w14:textId="77777777" w:rsidR="00704723" w:rsidRDefault="00704723" w:rsidP="00704723">
            <w:pPr>
              <w:rPr>
                <w:rFonts w:eastAsia="Times New Roman" w:cs="Arial"/>
                <w:b/>
                <w:szCs w:val="24"/>
                <w:lang w:eastAsia="en-GB"/>
              </w:rPr>
            </w:pPr>
            <w:r>
              <w:rPr>
                <w:rFonts w:eastAsia="Times New Roman" w:cs="Arial"/>
                <w:b/>
                <w:szCs w:val="24"/>
                <w:lang w:eastAsia="en-GB"/>
              </w:rPr>
              <w:t>Thyroid function</w:t>
            </w:r>
          </w:p>
          <w:p w14:paraId="742A5874" w14:textId="49BC9F87" w:rsidR="00704723" w:rsidRPr="00F321FC" w:rsidRDefault="00704723" w:rsidP="00704723">
            <w:pPr>
              <w:rPr>
                <w:rFonts w:cs="Arial"/>
              </w:rPr>
            </w:pPr>
            <w:r>
              <w:rPr>
                <w:rFonts w:eastAsia="Times New Roman" w:cs="Arial"/>
                <w:szCs w:val="24"/>
                <w:lang w:eastAsia="en-GB"/>
              </w:rPr>
              <w:t>Altered TFTs without symptoms</w:t>
            </w:r>
          </w:p>
        </w:tc>
        <w:tc>
          <w:tcPr>
            <w:tcW w:w="6237" w:type="dxa"/>
            <w:vAlign w:val="center"/>
          </w:tcPr>
          <w:p w14:paraId="6440EB96" w14:textId="77777777" w:rsidR="00704723" w:rsidRDefault="00704723" w:rsidP="00704723">
            <w:pPr>
              <w:rPr>
                <w:rFonts w:eastAsia="Times New Roman" w:cs="Arial"/>
                <w:szCs w:val="24"/>
                <w:lang w:eastAsia="en-GB"/>
              </w:rPr>
            </w:pPr>
            <w:r>
              <w:rPr>
                <w:rFonts w:eastAsia="Times New Roman" w:cs="Arial"/>
                <w:szCs w:val="24"/>
                <w:lang w:eastAsia="en-GB"/>
              </w:rPr>
              <w:t>Contact specialist team for advice.</w:t>
            </w:r>
          </w:p>
          <w:p w14:paraId="299AC8C3" w14:textId="77777777" w:rsidR="00704723" w:rsidRDefault="00704723" w:rsidP="00704723">
            <w:pPr>
              <w:rPr>
                <w:rFonts w:eastAsia="Times New Roman" w:cs="Arial"/>
                <w:szCs w:val="24"/>
                <w:lang w:eastAsia="en-GB"/>
              </w:rPr>
            </w:pPr>
            <w:r>
              <w:rPr>
                <w:rFonts w:eastAsia="Times New Roman" w:cs="Arial"/>
                <w:szCs w:val="24"/>
                <w:lang w:eastAsia="en-GB"/>
              </w:rPr>
              <w:t xml:space="preserve">During lithium treatment, TFTs are commonly abnormal; the TSH can rise early in treatment but settle with time. </w:t>
            </w:r>
          </w:p>
          <w:p w14:paraId="3B5D0997" w14:textId="3214B091" w:rsidR="00704723" w:rsidRPr="00F321FC" w:rsidRDefault="00704723" w:rsidP="00704723">
            <w:pPr>
              <w:rPr>
                <w:rFonts w:cs="Arial"/>
              </w:rPr>
            </w:pPr>
            <w:r>
              <w:rPr>
                <w:rFonts w:eastAsia="Times New Roman" w:cs="Arial"/>
                <w:szCs w:val="24"/>
                <w:lang w:eastAsia="en-GB"/>
              </w:rPr>
              <w:t>Note that the symptoms of hypothyroidism can be difficult to discriminate from depression and the common side effects of lithium.</w:t>
            </w:r>
          </w:p>
        </w:tc>
      </w:tr>
      <w:tr w:rsidR="00704723" w:rsidRPr="00F321FC" w14:paraId="6BD1EF9B" w14:textId="77777777" w:rsidTr="00704723">
        <w:trPr>
          <w:cantSplit/>
          <w:trHeight w:val="48"/>
        </w:trPr>
        <w:tc>
          <w:tcPr>
            <w:tcW w:w="4253" w:type="dxa"/>
          </w:tcPr>
          <w:p w14:paraId="5EC66857" w14:textId="77777777" w:rsidR="00704723" w:rsidRDefault="00704723" w:rsidP="00704723">
            <w:pPr>
              <w:rPr>
                <w:rFonts w:cs="Arial"/>
                <w:bCs/>
                <w:szCs w:val="24"/>
              </w:rPr>
            </w:pPr>
            <w:r>
              <w:rPr>
                <w:rFonts w:cs="Arial"/>
                <w:bCs/>
                <w:szCs w:val="24"/>
              </w:rPr>
              <w:t xml:space="preserve">Subclinical </w:t>
            </w:r>
            <w:r>
              <w:rPr>
                <w:rFonts w:eastAsia="Times New Roman" w:cs="Arial"/>
                <w:szCs w:val="24"/>
                <w:u w:val="single"/>
                <w:lang w:eastAsia="en-GB"/>
              </w:rPr>
              <w:t>hypo</w:t>
            </w:r>
            <w:r>
              <w:rPr>
                <w:rFonts w:eastAsia="Times New Roman" w:cs="Arial"/>
                <w:szCs w:val="24"/>
                <w:lang w:eastAsia="en-GB"/>
              </w:rPr>
              <w:t>thyroidism</w:t>
            </w:r>
          </w:p>
          <w:p w14:paraId="7C9DBE40" w14:textId="77777777" w:rsidR="00704723" w:rsidRDefault="00704723" w:rsidP="00093D5F">
            <w:pPr>
              <w:pStyle w:val="ListParagraph"/>
              <w:numPr>
                <w:ilvl w:val="0"/>
                <w:numId w:val="16"/>
              </w:numPr>
              <w:rPr>
                <w:rFonts w:cs="Arial"/>
                <w:bCs/>
                <w:szCs w:val="24"/>
              </w:rPr>
            </w:pPr>
            <w:r>
              <w:rPr>
                <w:rFonts w:cs="Arial"/>
                <w:bCs/>
                <w:szCs w:val="24"/>
              </w:rPr>
              <w:t>Raised TSH</w:t>
            </w:r>
          </w:p>
          <w:p w14:paraId="2D12EA25" w14:textId="77777777" w:rsidR="00704723" w:rsidRPr="00704723" w:rsidRDefault="00704723" w:rsidP="00093D5F">
            <w:pPr>
              <w:pStyle w:val="ListParagraph"/>
              <w:numPr>
                <w:ilvl w:val="0"/>
                <w:numId w:val="16"/>
              </w:numPr>
              <w:rPr>
                <w:rFonts w:cs="Arial"/>
              </w:rPr>
            </w:pPr>
            <w:r>
              <w:rPr>
                <w:rFonts w:cs="Arial"/>
                <w:bCs/>
                <w:szCs w:val="24"/>
              </w:rPr>
              <w:t>Normal T4</w:t>
            </w:r>
          </w:p>
          <w:p w14:paraId="5E311FBE" w14:textId="014E1F49" w:rsidR="00704723" w:rsidRPr="00F321FC" w:rsidRDefault="00704723" w:rsidP="00093D5F">
            <w:pPr>
              <w:pStyle w:val="ListParagraph"/>
              <w:numPr>
                <w:ilvl w:val="0"/>
                <w:numId w:val="16"/>
              </w:numPr>
              <w:rPr>
                <w:rFonts w:cs="Arial"/>
              </w:rPr>
            </w:pPr>
            <w:r>
              <w:rPr>
                <w:rFonts w:cs="Arial"/>
                <w:bCs/>
                <w:szCs w:val="24"/>
              </w:rPr>
              <w:t>Clinical features not overtly manifest</w:t>
            </w:r>
          </w:p>
        </w:tc>
        <w:tc>
          <w:tcPr>
            <w:tcW w:w="6237" w:type="dxa"/>
            <w:vAlign w:val="center"/>
          </w:tcPr>
          <w:p w14:paraId="55FE2797" w14:textId="77777777" w:rsidR="00704723" w:rsidRDefault="00704723" w:rsidP="00704723">
            <w:pPr>
              <w:rPr>
                <w:rFonts w:eastAsia="Times New Roman" w:cs="Arial"/>
                <w:szCs w:val="24"/>
                <w:lang w:eastAsia="en-GB"/>
              </w:rPr>
            </w:pPr>
            <w:r>
              <w:rPr>
                <w:rFonts w:eastAsia="Times New Roman" w:cs="Arial"/>
                <w:szCs w:val="24"/>
                <w:lang w:eastAsia="en-GB"/>
              </w:rPr>
              <w:t xml:space="preserve">Contact specialist team for advice, which may include input from endocrinology services. </w:t>
            </w:r>
          </w:p>
          <w:p w14:paraId="1241B848" w14:textId="77777777" w:rsidR="00704723" w:rsidRDefault="00704723" w:rsidP="00704723">
            <w:pPr>
              <w:rPr>
                <w:rFonts w:eastAsia="Times New Roman" w:cs="Arial"/>
                <w:szCs w:val="24"/>
                <w:lang w:eastAsia="en-GB"/>
              </w:rPr>
            </w:pPr>
            <w:r>
              <w:rPr>
                <w:rFonts w:eastAsia="Times New Roman" w:cs="Arial"/>
                <w:szCs w:val="24"/>
                <w:lang w:eastAsia="en-GB"/>
              </w:rPr>
              <w:t>The optimal management of subclinical hypothyroidism during lithium treatment remains controversial, with different thresholds for treatment advocated.</w:t>
            </w:r>
          </w:p>
          <w:p w14:paraId="25E56149" w14:textId="7E474F42" w:rsidR="00704723" w:rsidRPr="00F321FC" w:rsidRDefault="00704723" w:rsidP="00704723">
            <w:pPr>
              <w:rPr>
                <w:rFonts w:cs="Arial"/>
              </w:rPr>
            </w:pPr>
            <w:r>
              <w:rPr>
                <w:rFonts w:eastAsia="Times New Roman" w:cs="Arial"/>
                <w:szCs w:val="24"/>
                <w:lang w:eastAsia="en-GB"/>
              </w:rPr>
              <w:t>Anticipate the need for additional monitoring, investigations and potentially thyroid hormone replacement based on specialist recommendations.</w:t>
            </w:r>
          </w:p>
        </w:tc>
      </w:tr>
      <w:tr w:rsidR="00704723" w:rsidRPr="00F321FC" w14:paraId="525ED011" w14:textId="77777777" w:rsidTr="00704723">
        <w:trPr>
          <w:cantSplit/>
          <w:trHeight w:val="48"/>
        </w:trPr>
        <w:tc>
          <w:tcPr>
            <w:tcW w:w="4253" w:type="dxa"/>
          </w:tcPr>
          <w:p w14:paraId="10B8A485" w14:textId="77777777" w:rsidR="00704723" w:rsidRDefault="00704723" w:rsidP="00704723">
            <w:pPr>
              <w:rPr>
                <w:rFonts w:eastAsia="Times New Roman" w:cs="Arial"/>
                <w:szCs w:val="24"/>
                <w:lang w:eastAsia="en-GB"/>
              </w:rPr>
            </w:pPr>
            <w:r>
              <w:rPr>
                <w:rFonts w:eastAsia="Times New Roman" w:cs="Arial"/>
                <w:szCs w:val="24"/>
                <w:lang w:eastAsia="en-GB"/>
              </w:rPr>
              <w:t xml:space="preserve">Overt </w:t>
            </w:r>
            <w:r>
              <w:rPr>
                <w:rFonts w:eastAsia="Times New Roman" w:cs="Arial"/>
                <w:szCs w:val="24"/>
                <w:u w:val="single"/>
                <w:lang w:eastAsia="en-GB"/>
              </w:rPr>
              <w:t>hypo</w:t>
            </w:r>
            <w:r>
              <w:rPr>
                <w:rFonts w:eastAsia="Times New Roman" w:cs="Arial"/>
                <w:szCs w:val="24"/>
                <w:lang w:eastAsia="en-GB"/>
              </w:rPr>
              <w:t>thyroidism</w:t>
            </w:r>
          </w:p>
          <w:p w14:paraId="168C3A71" w14:textId="77777777" w:rsidR="00704723" w:rsidRDefault="00704723" w:rsidP="00093D5F">
            <w:pPr>
              <w:pStyle w:val="ListParagraph"/>
              <w:numPr>
                <w:ilvl w:val="0"/>
                <w:numId w:val="17"/>
              </w:numPr>
              <w:rPr>
                <w:rFonts w:eastAsia="Times New Roman" w:cs="Arial"/>
                <w:szCs w:val="24"/>
                <w:lang w:eastAsia="en-GB"/>
              </w:rPr>
            </w:pPr>
            <w:r>
              <w:rPr>
                <w:rFonts w:eastAsia="Times New Roman" w:cs="Arial"/>
                <w:szCs w:val="24"/>
                <w:lang w:eastAsia="en-GB"/>
              </w:rPr>
              <w:t>High TSH</w:t>
            </w:r>
          </w:p>
          <w:p w14:paraId="1CAAB667" w14:textId="77777777" w:rsidR="00704723" w:rsidRDefault="00704723" w:rsidP="00093D5F">
            <w:pPr>
              <w:pStyle w:val="ListParagraph"/>
              <w:numPr>
                <w:ilvl w:val="0"/>
                <w:numId w:val="17"/>
              </w:numPr>
              <w:rPr>
                <w:rFonts w:eastAsia="Times New Roman" w:cs="Arial"/>
                <w:szCs w:val="24"/>
                <w:lang w:eastAsia="en-GB"/>
              </w:rPr>
            </w:pPr>
            <w:r>
              <w:rPr>
                <w:rFonts w:eastAsia="Times New Roman" w:cs="Arial"/>
                <w:szCs w:val="24"/>
                <w:lang w:eastAsia="en-GB"/>
              </w:rPr>
              <w:t>Low T4</w:t>
            </w:r>
          </w:p>
          <w:p w14:paraId="5C244D7B" w14:textId="77777777" w:rsidR="00704723" w:rsidRDefault="00704723" w:rsidP="00093D5F">
            <w:pPr>
              <w:pStyle w:val="ListParagraph"/>
              <w:numPr>
                <w:ilvl w:val="0"/>
                <w:numId w:val="17"/>
              </w:numPr>
              <w:rPr>
                <w:rFonts w:eastAsia="Times New Roman" w:cs="Arial"/>
                <w:szCs w:val="24"/>
                <w:lang w:eastAsia="en-GB"/>
              </w:rPr>
            </w:pPr>
            <w:r>
              <w:rPr>
                <w:rFonts w:eastAsia="Times New Roman" w:cs="Arial"/>
                <w:szCs w:val="24"/>
                <w:lang w:eastAsia="en-GB"/>
              </w:rPr>
              <w:t>Symptomatic</w:t>
            </w:r>
          </w:p>
          <w:p w14:paraId="056AACBC" w14:textId="685FB4BD" w:rsidR="00704723" w:rsidRPr="00F321FC" w:rsidRDefault="00704723" w:rsidP="00704723">
            <w:pPr>
              <w:rPr>
                <w:rFonts w:cs="Arial"/>
              </w:rPr>
            </w:pPr>
          </w:p>
        </w:tc>
        <w:tc>
          <w:tcPr>
            <w:tcW w:w="6237" w:type="dxa"/>
            <w:vAlign w:val="center"/>
          </w:tcPr>
          <w:p w14:paraId="77BD4D22" w14:textId="77777777" w:rsidR="00704723" w:rsidRDefault="00704723" w:rsidP="00704723">
            <w:pPr>
              <w:rPr>
                <w:rFonts w:eastAsia="Times New Roman" w:cs="Arial"/>
                <w:szCs w:val="24"/>
                <w:lang w:eastAsia="en-GB"/>
              </w:rPr>
            </w:pPr>
            <w:r>
              <w:rPr>
                <w:rFonts w:eastAsia="Times New Roman" w:cs="Arial"/>
                <w:szCs w:val="24"/>
                <w:lang w:eastAsia="en-GB"/>
              </w:rPr>
              <w:t>Contact specialist team for advice, which may include input from endocrinology services.</w:t>
            </w:r>
          </w:p>
          <w:p w14:paraId="499E20D8" w14:textId="34450F4F" w:rsidR="00704723" w:rsidRPr="00F321FC" w:rsidRDefault="00704723" w:rsidP="00704723">
            <w:pPr>
              <w:rPr>
                <w:rFonts w:cs="Arial"/>
              </w:rPr>
            </w:pPr>
            <w:r>
              <w:rPr>
                <w:rFonts w:eastAsia="Times New Roman" w:cs="Arial"/>
                <w:szCs w:val="24"/>
                <w:lang w:eastAsia="en-GB"/>
              </w:rPr>
              <w:t>Thyroid hormone replacement is usually indicated and often continued throughout the course of lithium treatment.</w:t>
            </w:r>
          </w:p>
        </w:tc>
      </w:tr>
      <w:tr w:rsidR="00704723" w:rsidRPr="00F321FC" w14:paraId="1D57B6D7" w14:textId="77777777" w:rsidTr="00704723">
        <w:trPr>
          <w:cantSplit/>
          <w:trHeight w:val="48"/>
        </w:trPr>
        <w:tc>
          <w:tcPr>
            <w:tcW w:w="4253" w:type="dxa"/>
          </w:tcPr>
          <w:p w14:paraId="0749D0BF" w14:textId="58690A36" w:rsidR="00704723" w:rsidRPr="00F321FC" w:rsidRDefault="00704723" w:rsidP="00704723">
            <w:pPr>
              <w:rPr>
                <w:rFonts w:cs="Arial"/>
              </w:rPr>
            </w:pPr>
            <w:r>
              <w:rPr>
                <w:rFonts w:eastAsia="Times New Roman" w:cs="Arial"/>
                <w:szCs w:val="24"/>
                <w:u w:val="single"/>
                <w:lang w:eastAsia="en-GB"/>
              </w:rPr>
              <w:t>Hyper</w:t>
            </w:r>
            <w:r>
              <w:rPr>
                <w:rFonts w:eastAsia="Times New Roman" w:cs="Arial"/>
                <w:szCs w:val="24"/>
                <w:lang w:eastAsia="en-GB"/>
              </w:rPr>
              <w:t xml:space="preserve">thyroidism </w:t>
            </w:r>
          </w:p>
        </w:tc>
        <w:tc>
          <w:tcPr>
            <w:tcW w:w="6237" w:type="dxa"/>
            <w:vAlign w:val="center"/>
          </w:tcPr>
          <w:p w14:paraId="13AE35EE" w14:textId="50B9A284" w:rsidR="00704723" w:rsidRPr="00F321FC" w:rsidRDefault="00704723" w:rsidP="00704723">
            <w:pPr>
              <w:rPr>
                <w:rFonts w:cs="Arial"/>
              </w:rPr>
            </w:pPr>
            <w:r>
              <w:rPr>
                <w:rFonts w:eastAsia="Times New Roman" w:cs="Arial"/>
                <w:szCs w:val="24"/>
                <w:lang w:eastAsia="en-GB"/>
              </w:rPr>
              <w:t>Contact specialist team for advice, which may include input from endocrinology services.</w:t>
            </w:r>
          </w:p>
        </w:tc>
      </w:tr>
      <w:tr w:rsidR="00704723" w:rsidRPr="00F321FC" w14:paraId="38F6C6F9" w14:textId="77777777" w:rsidTr="00704723">
        <w:trPr>
          <w:cantSplit/>
          <w:trHeight w:val="48"/>
        </w:trPr>
        <w:tc>
          <w:tcPr>
            <w:tcW w:w="4253" w:type="dxa"/>
          </w:tcPr>
          <w:p w14:paraId="7C9C872E" w14:textId="77777777" w:rsidR="00704723" w:rsidRDefault="00704723" w:rsidP="00704723">
            <w:pPr>
              <w:rPr>
                <w:rFonts w:cs="Arial"/>
                <w:b/>
                <w:bCs/>
                <w:szCs w:val="24"/>
              </w:rPr>
            </w:pPr>
            <w:r>
              <w:rPr>
                <w:rFonts w:cs="Arial"/>
                <w:b/>
                <w:bCs/>
                <w:szCs w:val="24"/>
              </w:rPr>
              <w:t>Renal function</w:t>
            </w:r>
          </w:p>
          <w:p w14:paraId="1BFAD8C3" w14:textId="77777777" w:rsidR="00704723" w:rsidRDefault="00704723" w:rsidP="00704723">
            <w:pPr>
              <w:rPr>
                <w:rFonts w:eastAsia="Times New Roman" w:cs="Arial"/>
                <w:szCs w:val="24"/>
                <w:lang w:eastAsia="en-GB"/>
              </w:rPr>
            </w:pPr>
            <w:r>
              <w:rPr>
                <w:rFonts w:cs="Arial"/>
                <w:bCs/>
                <w:szCs w:val="24"/>
              </w:rPr>
              <w:t>Polyuria and polydipsia</w:t>
            </w:r>
          </w:p>
          <w:p w14:paraId="254FB770" w14:textId="2AB4E827" w:rsidR="00704723" w:rsidRPr="00F321FC" w:rsidRDefault="00704723" w:rsidP="00704723">
            <w:pPr>
              <w:rPr>
                <w:rFonts w:cs="Arial"/>
              </w:rPr>
            </w:pPr>
          </w:p>
        </w:tc>
        <w:tc>
          <w:tcPr>
            <w:tcW w:w="6237" w:type="dxa"/>
            <w:vAlign w:val="center"/>
          </w:tcPr>
          <w:p w14:paraId="015A7DCC" w14:textId="77777777" w:rsidR="00704723" w:rsidRDefault="00704723" w:rsidP="00704723">
            <w:pPr>
              <w:rPr>
                <w:rFonts w:eastAsia="Times New Roman" w:cs="Arial"/>
                <w:szCs w:val="24"/>
                <w:lang w:eastAsia="en-GB"/>
              </w:rPr>
            </w:pPr>
            <w:r>
              <w:rPr>
                <w:rFonts w:eastAsia="Times New Roman" w:cs="Arial"/>
                <w:szCs w:val="24"/>
                <w:lang w:eastAsia="en-GB"/>
              </w:rPr>
              <w:t xml:space="preserve">Polyuria is common with lithium and often well tolerated. Advise the patient to maintain adequate fluid intake and advocate excellent oral hygiene. </w:t>
            </w:r>
          </w:p>
          <w:p w14:paraId="3EC57A6F" w14:textId="07989D21" w:rsidR="00704723" w:rsidRPr="00F321FC" w:rsidRDefault="00704723" w:rsidP="00704723">
            <w:pPr>
              <w:rPr>
                <w:rFonts w:cs="Arial"/>
              </w:rPr>
            </w:pPr>
            <w:r>
              <w:rPr>
                <w:rFonts w:eastAsia="Times New Roman" w:cs="Arial"/>
                <w:szCs w:val="24"/>
                <w:lang w:eastAsia="en-GB"/>
              </w:rPr>
              <w:t>Contact specialist team for advice, which may include input from nephrology services. In some instances, dose adjustment or specific treatments may be advocated.</w:t>
            </w:r>
          </w:p>
        </w:tc>
      </w:tr>
      <w:tr w:rsidR="00704723" w:rsidRPr="00F321FC" w14:paraId="6C0FFF07" w14:textId="77777777" w:rsidTr="00704723">
        <w:trPr>
          <w:cantSplit/>
          <w:trHeight w:val="48"/>
        </w:trPr>
        <w:tc>
          <w:tcPr>
            <w:tcW w:w="4253" w:type="dxa"/>
          </w:tcPr>
          <w:p w14:paraId="3A14071F" w14:textId="04D0C04D" w:rsidR="00704723" w:rsidRPr="00F321FC" w:rsidRDefault="00704723" w:rsidP="00704723">
            <w:pPr>
              <w:rPr>
                <w:rFonts w:cs="Arial"/>
              </w:rPr>
            </w:pPr>
            <w:r>
              <w:rPr>
                <w:rFonts w:cs="Arial"/>
                <w:bCs/>
                <w:szCs w:val="24"/>
              </w:rPr>
              <w:lastRenderedPageBreak/>
              <w:t>U&amp;Es or calcium out of range</w:t>
            </w:r>
          </w:p>
        </w:tc>
        <w:tc>
          <w:tcPr>
            <w:tcW w:w="6237" w:type="dxa"/>
            <w:vAlign w:val="center"/>
          </w:tcPr>
          <w:p w14:paraId="576E09A0" w14:textId="196F4C52" w:rsidR="00704723" w:rsidRDefault="00704723" w:rsidP="00704723">
            <w:pPr>
              <w:rPr>
                <w:rFonts w:eastAsia="Times New Roman" w:cs="Arial"/>
                <w:szCs w:val="24"/>
                <w:lang w:eastAsia="en-GB"/>
              </w:rPr>
            </w:pPr>
            <w:r>
              <w:rPr>
                <w:rFonts w:eastAsia="Times New Roman" w:cs="Arial"/>
                <w:szCs w:val="24"/>
                <w:lang w:eastAsia="en-GB"/>
              </w:rPr>
              <w:t xml:space="preserve">Check that the most recent 12-hour </w:t>
            </w:r>
            <w:r w:rsidR="00AC1B0C">
              <w:rPr>
                <w:rFonts w:eastAsia="Times New Roman" w:cs="Arial"/>
                <w:szCs w:val="24"/>
                <w:lang w:eastAsia="en-GB"/>
              </w:rPr>
              <w:t xml:space="preserve">post dose </w:t>
            </w:r>
            <w:r>
              <w:rPr>
                <w:rFonts w:eastAsia="Times New Roman" w:cs="Arial"/>
                <w:szCs w:val="24"/>
                <w:lang w:eastAsia="en-GB"/>
              </w:rPr>
              <w:t xml:space="preserve">plasma lithium level is in the desired range and act accordingly if not. </w:t>
            </w:r>
          </w:p>
          <w:p w14:paraId="3374116F" w14:textId="77777777" w:rsidR="00704723" w:rsidRDefault="00704723" w:rsidP="00704723">
            <w:pPr>
              <w:rPr>
                <w:rFonts w:eastAsia="Times New Roman" w:cs="Arial"/>
                <w:szCs w:val="24"/>
                <w:lang w:eastAsia="en-GB"/>
              </w:rPr>
            </w:pPr>
            <w:r>
              <w:rPr>
                <w:rFonts w:eastAsia="Times New Roman" w:cs="Arial"/>
                <w:szCs w:val="24"/>
                <w:lang w:eastAsia="en-GB"/>
              </w:rPr>
              <w:t>Determine whether there are symptoms and signs related to the electrolyte disturbance or lithium toxicity.</w:t>
            </w:r>
          </w:p>
          <w:p w14:paraId="06CDAA71" w14:textId="77777777" w:rsidR="00704723" w:rsidRDefault="00704723" w:rsidP="00704723">
            <w:pPr>
              <w:rPr>
                <w:rFonts w:eastAsia="Times New Roman" w:cs="Arial"/>
                <w:szCs w:val="24"/>
                <w:lang w:eastAsia="en-GB"/>
              </w:rPr>
            </w:pPr>
            <w:r>
              <w:rPr>
                <w:rFonts w:eastAsia="Times New Roman" w:cs="Arial"/>
                <w:szCs w:val="24"/>
                <w:lang w:eastAsia="en-GB"/>
              </w:rPr>
              <w:t>Consider arranging an ECG in those at risk for QT prolongation.</w:t>
            </w:r>
          </w:p>
          <w:p w14:paraId="0EBFB85A" w14:textId="1B105FBC" w:rsidR="00704723" w:rsidRPr="00F321FC" w:rsidRDefault="00704723" w:rsidP="00704723">
            <w:pPr>
              <w:rPr>
                <w:rFonts w:cs="Arial"/>
              </w:rPr>
            </w:pPr>
            <w:r>
              <w:rPr>
                <w:rFonts w:eastAsia="Times New Roman" w:cs="Arial"/>
                <w:szCs w:val="24"/>
                <w:lang w:eastAsia="en-GB"/>
              </w:rPr>
              <w:t>Contact specialist team for advice. Changes in calcium levels may reflect parathyroid dysfunction and input from endocrinology services may be indicated.</w:t>
            </w:r>
          </w:p>
        </w:tc>
      </w:tr>
      <w:tr w:rsidR="00704723" w:rsidRPr="00F321FC" w14:paraId="32C58BB9" w14:textId="77777777" w:rsidTr="00704723">
        <w:trPr>
          <w:cantSplit/>
          <w:trHeight w:val="48"/>
        </w:trPr>
        <w:tc>
          <w:tcPr>
            <w:tcW w:w="4253" w:type="dxa"/>
            <w:vAlign w:val="center"/>
          </w:tcPr>
          <w:p w14:paraId="5E3568FD" w14:textId="3E27DCAB" w:rsidR="00704723" w:rsidRDefault="00704723" w:rsidP="00704723">
            <w:pPr>
              <w:rPr>
                <w:rFonts w:cs="Arial"/>
                <w:bCs/>
                <w:szCs w:val="24"/>
              </w:rPr>
            </w:pPr>
            <w:r>
              <w:rPr>
                <w:rFonts w:cs="Arial"/>
                <w:bCs/>
                <w:szCs w:val="24"/>
              </w:rPr>
              <w:t>eGFR less than 45ml/min, or</w:t>
            </w:r>
          </w:p>
          <w:p w14:paraId="4209ACDE" w14:textId="642CC418" w:rsidR="00704723" w:rsidRDefault="00704723" w:rsidP="00704723">
            <w:pPr>
              <w:rPr>
                <w:rFonts w:cs="Arial"/>
                <w:bCs/>
                <w:szCs w:val="24"/>
              </w:rPr>
            </w:pPr>
            <w:r>
              <w:rPr>
                <w:rFonts w:cs="Arial"/>
                <w:bCs/>
                <w:szCs w:val="24"/>
              </w:rPr>
              <w:t>rapidly falling eGFR, or</w:t>
            </w:r>
          </w:p>
          <w:p w14:paraId="4B6DB15E" w14:textId="08399D43" w:rsidR="00704723" w:rsidRPr="00F321FC" w:rsidRDefault="00704723" w:rsidP="00704723">
            <w:pPr>
              <w:rPr>
                <w:rFonts w:cs="Arial"/>
              </w:rPr>
            </w:pPr>
            <w:r>
              <w:rPr>
                <w:rFonts w:cs="Arial"/>
                <w:bCs/>
                <w:szCs w:val="24"/>
              </w:rPr>
              <w:t xml:space="preserve">gradual decline in eGFR </w:t>
            </w:r>
          </w:p>
        </w:tc>
        <w:tc>
          <w:tcPr>
            <w:tcW w:w="6237" w:type="dxa"/>
            <w:vAlign w:val="center"/>
          </w:tcPr>
          <w:p w14:paraId="2552DA4D" w14:textId="77777777" w:rsidR="00704723" w:rsidRDefault="00704723" w:rsidP="00704723">
            <w:pPr>
              <w:rPr>
                <w:rFonts w:eastAsia="Times New Roman" w:cs="Arial"/>
                <w:szCs w:val="24"/>
                <w:lang w:eastAsia="en-GB"/>
              </w:rPr>
            </w:pPr>
            <w:r>
              <w:rPr>
                <w:rFonts w:eastAsia="Times New Roman" w:cs="Arial"/>
                <w:szCs w:val="24"/>
                <w:lang w:eastAsia="en-GB"/>
              </w:rPr>
              <w:t xml:space="preserve">The response to impaired or deteriorating renal function should be individualised. </w:t>
            </w:r>
          </w:p>
          <w:p w14:paraId="768D6FF8" w14:textId="77777777" w:rsidR="00704723" w:rsidRDefault="00704723" w:rsidP="00704723">
            <w:pPr>
              <w:rPr>
                <w:rFonts w:eastAsia="Times New Roman" w:cs="Arial"/>
                <w:szCs w:val="24"/>
                <w:lang w:eastAsia="en-GB"/>
              </w:rPr>
            </w:pPr>
            <w:r>
              <w:rPr>
                <w:rFonts w:eastAsia="Times New Roman" w:cs="Arial"/>
                <w:szCs w:val="24"/>
                <w:lang w:eastAsia="en-GB"/>
              </w:rPr>
              <w:t>Contact specialist team for advice, which may include input from nephrology services. A cardiovascular risk profile may guide specialist advice and should be provided if available. Use clinical judgement to determine the urgency of consultation.</w:t>
            </w:r>
          </w:p>
          <w:p w14:paraId="2B0D7F8C" w14:textId="77777777" w:rsidR="00704723" w:rsidRDefault="00704723" w:rsidP="00704723">
            <w:pPr>
              <w:rPr>
                <w:rFonts w:eastAsia="Times New Roman" w:cs="Arial"/>
                <w:szCs w:val="24"/>
                <w:lang w:eastAsia="en-GB"/>
              </w:rPr>
            </w:pPr>
            <w:r>
              <w:rPr>
                <w:rFonts w:eastAsia="Times New Roman" w:cs="Arial"/>
                <w:szCs w:val="24"/>
                <w:lang w:eastAsia="en-GB"/>
              </w:rPr>
              <w:t xml:space="preserve">Anticipate the need for increased monitoring as trends in renal function are more useful than absolute values. In the elderly or those at the extremes of muscle mass, creatinine clearance provides a better estimate of renal function than eGFR. </w:t>
            </w:r>
          </w:p>
          <w:p w14:paraId="6BB8FCC2" w14:textId="3FE2DA7A" w:rsidR="00704723" w:rsidRPr="00F321FC" w:rsidRDefault="00704723" w:rsidP="00704723">
            <w:pPr>
              <w:rPr>
                <w:rFonts w:cs="Arial"/>
              </w:rPr>
            </w:pPr>
            <w:r>
              <w:rPr>
                <w:rFonts w:eastAsia="Times New Roman" w:cs="Arial"/>
                <w:szCs w:val="24"/>
                <w:lang w:eastAsia="en-GB"/>
              </w:rPr>
              <w:t>Adjustments to dose may be advised. If renal function is significantly compromised, lithium may no longer be an appropriate treatment and specialists will advise accordingly.</w:t>
            </w:r>
          </w:p>
        </w:tc>
      </w:tr>
      <w:tr w:rsidR="00704723" w:rsidRPr="00F321FC" w14:paraId="438CD57B" w14:textId="77777777" w:rsidTr="00704723">
        <w:trPr>
          <w:cantSplit/>
          <w:trHeight w:val="48"/>
        </w:trPr>
        <w:tc>
          <w:tcPr>
            <w:tcW w:w="4253" w:type="dxa"/>
          </w:tcPr>
          <w:p w14:paraId="7CE45222" w14:textId="7BBC570D" w:rsidR="00704723" w:rsidRDefault="00704723" w:rsidP="00704723">
            <w:pPr>
              <w:rPr>
                <w:rFonts w:eastAsia="Times New Roman" w:cs="Arial"/>
                <w:b/>
                <w:szCs w:val="24"/>
                <w:lang w:eastAsia="en-GB"/>
              </w:rPr>
            </w:pPr>
            <w:r>
              <w:rPr>
                <w:rFonts w:cs="Arial"/>
                <w:b/>
                <w:bCs/>
                <w:szCs w:val="24"/>
              </w:rPr>
              <w:t xml:space="preserve">Weight </w:t>
            </w:r>
            <w:r w:rsidR="007D1D2D">
              <w:rPr>
                <w:rFonts w:cs="Arial"/>
                <w:b/>
                <w:bCs/>
                <w:szCs w:val="24"/>
              </w:rPr>
              <w:t xml:space="preserve">or </w:t>
            </w:r>
            <w:r>
              <w:rPr>
                <w:rFonts w:cs="Arial"/>
                <w:b/>
                <w:bCs/>
                <w:szCs w:val="24"/>
              </w:rPr>
              <w:t>BMI</w:t>
            </w:r>
          </w:p>
          <w:p w14:paraId="17B4C112" w14:textId="5E2FDE0F" w:rsidR="00704723" w:rsidRPr="00F321FC" w:rsidRDefault="00704723" w:rsidP="00704723">
            <w:pPr>
              <w:rPr>
                <w:rFonts w:cs="Arial"/>
              </w:rPr>
            </w:pPr>
            <w:r>
              <w:rPr>
                <w:rFonts w:cs="Arial"/>
                <w:bCs/>
                <w:szCs w:val="24"/>
              </w:rPr>
              <w:t>Outside healthy range</w:t>
            </w:r>
          </w:p>
        </w:tc>
        <w:tc>
          <w:tcPr>
            <w:tcW w:w="6237" w:type="dxa"/>
          </w:tcPr>
          <w:p w14:paraId="6D66BB17" w14:textId="77777777" w:rsidR="00704723" w:rsidRDefault="00704723" w:rsidP="00704723">
            <w:pPr>
              <w:rPr>
                <w:rFonts w:eastAsia="Times New Roman" w:cs="Arial"/>
                <w:szCs w:val="24"/>
                <w:lang w:eastAsia="en-GB"/>
              </w:rPr>
            </w:pPr>
            <w:r>
              <w:rPr>
                <w:rFonts w:eastAsia="Times New Roman" w:cs="Arial"/>
                <w:szCs w:val="24"/>
                <w:lang w:eastAsia="en-GB"/>
              </w:rPr>
              <w:t xml:space="preserve">Provide appropriate support on multicomponent interventions to increase physical activity levels, improve eating behaviour and quality of diet. Remind patient of the importance of maintaining adequate fluid intake and avoiding dehydration while exercising. </w:t>
            </w:r>
          </w:p>
          <w:p w14:paraId="192452CD" w14:textId="77777777" w:rsidR="00704723" w:rsidRDefault="00704723" w:rsidP="00704723">
            <w:pPr>
              <w:rPr>
                <w:rFonts w:eastAsia="Times New Roman" w:cs="Arial"/>
                <w:szCs w:val="24"/>
                <w:lang w:eastAsia="en-GB"/>
              </w:rPr>
            </w:pPr>
            <w:r>
              <w:rPr>
                <w:rFonts w:eastAsia="Times New Roman" w:cs="Arial"/>
                <w:szCs w:val="24"/>
                <w:lang w:eastAsia="en-GB"/>
              </w:rPr>
              <w:t>Consider measuring waist circumference for individualised monitoring.</w:t>
            </w:r>
          </w:p>
          <w:p w14:paraId="6765B2E4" w14:textId="21893640" w:rsidR="00704723" w:rsidRPr="00F321FC" w:rsidRDefault="00704723" w:rsidP="00704723">
            <w:pPr>
              <w:rPr>
                <w:rFonts w:cs="Arial"/>
              </w:rPr>
            </w:pPr>
            <w:r>
              <w:rPr>
                <w:rFonts w:eastAsia="Times New Roman" w:cs="Arial"/>
                <w:szCs w:val="24"/>
                <w:lang w:eastAsia="en-GB"/>
              </w:rPr>
              <w:t>Patients should be instructed to avoid sudden changes in diet, especially avoiding low sodium diets. Lithium levels are influenced by body weight and so for patients being supported to lose weight, lithium levels may need to be checked more frequently (akin to other situations of caution). Use clinical judgement, lithium levels and the rate of weight loss when determining the frequency of blood tests.</w:t>
            </w:r>
          </w:p>
        </w:tc>
      </w:tr>
      <w:tr w:rsidR="00704723" w:rsidRPr="00F321FC" w14:paraId="37BD85F9" w14:textId="77777777" w:rsidTr="00704723">
        <w:trPr>
          <w:cantSplit/>
          <w:trHeight w:val="48"/>
        </w:trPr>
        <w:tc>
          <w:tcPr>
            <w:tcW w:w="4253" w:type="dxa"/>
          </w:tcPr>
          <w:p w14:paraId="27F2FC6F" w14:textId="047FBEC6" w:rsidR="00704723" w:rsidRDefault="00704723" w:rsidP="00704723">
            <w:pPr>
              <w:rPr>
                <w:rFonts w:eastAsia="Times New Roman" w:cs="Arial"/>
                <w:b/>
                <w:szCs w:val="24"/>
                <w:lang w:eastAsia="en-GB"/>
              </w:rPr>
            </w:pPr>
            <w:r>
              <w:rPr>
                <w:rFonts w:cs="Arial"/>
                <w:b/>
                <w:bCs/>
                <w:szCs w:val="24"/>
              </w:rPr>
              <w:lastRenderedPageBreak/>
              <w:t>Signs of toxicity</w:t>
            </w:r>
          </w:p>
          <w:p w14:paraId="65F1D0DE" w14:textId="33C65B71" w:rsidR="00704723" w:rsidRPr="00F321FC" w:rsidRDefault="00704723" w:rsidP="00704723">
            <w:pPr>
              <w:rPr>
                <w:rFonts w:cs="Arial"/>
              </w:rPr>
            </w:pPr>
            <w:r>
              <w:rPr>
                <w:rFonts w:cs="Arial"/>
                <w:bCs/>
                <w:szCs w:val="24"/>
              </w:rPr>
              <w:t>Typical signs and symptoms include diarrhoea, vomiting, loss of appetite, muscle weakness, lethargy, dizziness, ataxia, lack of coordination, tinnitus, blurred vision, coarse tremor of the extremities and lower jaw, muscle hyper-irritability, choreoathetoid movements, dysarthria, and drowsiness</w:t>
            </w:r>
          </w:p>
        </w:tc>
        <w:tc>
          <w:tcPr>
            <w:tcW w:w="6237" w:type="dxa"/>
          </w:tcPr>
          <w:p w14:paraId="187B6229" w14:textId="14940614" w:rsidR="00704723" w:rsidRDefault="00704723" w:rsidP="00704723">
            <w:pPr>
              <w:rPr>
                <w:rFonts w:eastAsia="Times New Roman" w:cs="Arial"/>
                <w:szCs w:val="24"/>
                <w:lang w:eastAsia="en-GB"/>
              </w:rPr>
            </w:pPr>
            <w:r>
              <w:rPr>
                <w:rFonts w:eastAsia="Times New Roman" w:cs="Arial"/>
                <w:szCs w:val="24"/>
                <w:lang w:eastAsia="en-GB"/>
              </w:rPr>
              <w:t xml:space="preserve">If lithium toxicity is suspected, do an urgent lithium level immediately and seek specialist advice. </w:t>
            </w:r>
          </w:p>
          <w:p w14:paraId="074D3381" w14:textId="0DB9D967" w:rsidR="00704723" w:rsidRPr="00F321FC" w:rsidRDefault="00704723" w:rsidP="00704723">
            <w:pPr>
              <w:rPr>
                <w:rFonts w:cs="Arial"/>
              </w:rPr>
            </w:pPr>
            <w:r>
              <w:rPr>
                <w:rFonts w:eastAsia="Times New Roman" w:cs="Arial"/>
                <w:szCs w:val="24"/>
                <w:lang w:eastAsia="en-GB"/>
              </w:rPr>
              <w:t>Referral to secondary care may be required depending on the severity of symptoms and the certainty of toxicity. Use clinical judgement to determine the urgency of referral.</w:t>
            </w:r>
          </w:p>
        </w:tc>
      </w:tr>
      <w:tr w:rsidR="00704723" w:rsidRPr="00F321FC" w14:paraId="214ED6F5" w14:textId="77777777" w:rsidTr="00704723">
        <w:trPr>
          <w:cantSplit/>
          <w:trHeight w:val="48"/>
        </w:trPr>
        <w:tc>
          <w:tcPr>
            <w:tcW w:w="4253" w:type="dxa"/>
          </w:tcPr>
          <w:p w14:paraId="7E88643E" w14:textId="2BDEC1CD" w:rsidR="00704723" w:rsidRPr="00F321FC" w:rsidRDefault="00704723" w:rsidP="00704723">
            <w:pPr>
              <w:rPr>
                <w:rFonts w:cs="Arial"/>
              </w:rPr>
            </w:pPr>
            <w:r>
              <w:rPr>
                <w:rFonts w:cs="Arial"/>
                <w:b/>
                <w:bCs/>
                <w:szCs w:val="24"/>
              </w:rPr>
              <w:t>Physical health check (</w:t>
            </w:r>
            <w:r w:rsidR="007D1D2D">
              <w:rPr>
                <w:rFonts w:cs="Arial"/>
                <w:b/>
                <w:bCs/>
                <w:szCs w:val="24"/>
              </w:rPr>
              <w:t xml:space="preserve">applicable to those taking lithium for </w:t>
            </w:r>
            <w:r w:rsidR="00B515FA">
              <w:rPr>
                <w:rFonts w:cs="Arial"/>
                <w:b/>
                <w:bCs/>
                <w:szCs w:val="24"/>
              </w:rPr>
              <w:t>bi</w:t>
            </w:r>
            <w:r>
              <w:rPr>
                <w:rFonts w:cs="Arial"/>
                <w:b/>
                <w:bCs/>
                <w:szCs w:val="24"/>
              </w:rPr>
              <w:t>polar disorder)</w:t>
            </w:r>
          </w:p>
        </w:tc>
        <w:tc>
          <w:tcPr>
            <w:tcW w:w="6237" w:type="dxa"/>
          </w:tcPr>
          <w:p w14:paraId="59049ED9" w14:textId="05A0BD99" w:rsidR="00704723" w:rsidRPr="00F321FC" w:rsidRDefault="00704723" w:rsidP="00704723">
            <w:pPr>
              <w:rPr>
                <w:rFonts w:cs="Arial"/>
              </w:rPr>
            </w:pPr>
            <w:r>
              <w:rPr>
                <w:rFonts w:eastAsia="Times New Roman" w:cs="Arial"/>
                <w:szCs w:val="24"/>
                <w:lang w:eastAsia="en-GB"/>
              </w:rPr>
              <w:t>Any physical health problems should be treated by the appropriate primary care health professional and communicated to the specialist team within 14 days.</w:t>
            </w:r>
          </w:p>
        </w:tc>
      </w:tr>
    </w:tbl>
    <w:p w14:paraId="3D78272D"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1872"/>
        <w:gridCol w:w="8589"/>
      </w:tblGrid>
      <w:tr w:rsidR="00F132AA" w:rsidRPr="00F321FC" w14:paraId="399D38CB" w14:textId="77777777" w:rsidTr="00147BFC">
        <w:tc>
          <w:tcPr>
            <w:tcW w:w="2002" w:type="dxa"/>
          </w:tcPr>
          <w:p w14:paraId="139BFC3E" w14:textId="77777777" w:rsidR="00F132AA" w:rsidRDefault="001860C1" w:rsidP="001860C1">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5D79FA" w:rsidRDefault="005D79FA" w:rsidP="005D79FA"/>
          <w:p w14:paraId="7E51F76A" w14:textId="42531282" w:rsidR="005D79FA" w:rsidRPr="005D79FA" w:rsidRDefault="005D79FA" w:rsidP="005D79FA">
            <w:r w:rsidRPr="00F321FC">
              <w:rPr>
                <w:rFonts w:cs="Arial"/>
              </w:rPr>
              <w:t>The specialist will counsel the patient with regard to the benefits and risks of treatment and will provide the patient with any relevant information and advice, including patient information leaflets on individual drugs.</w:t>
            </w:r>
          </w:p>
        </w:tc>
        <w:tc>
          <w:tcPr>
            <w:tcW w:w="8459" w:type="dxa"/>
          </w:tcPr>
          <w:p w14:paraId="2A122FAB" w14:textId="77777777" w:rsidR="00704723" w:rsidRPr="00704723" w:rsidRDefault="00704723" w:rsidP="00704723">
            <w:pPr>
              <w:pStyle w:val="Heading4"/>
              <w:spacing w:before="60" w:after="60"/>
              <w:rPr>
                <w:rFonts w:cs="Arial"/>
              </w:rPr>
            </w:pPr>
            <w:r w:rsidRPr="00704723">
              <w:rPr>
                <w:rFonts w:cs="Arial"/>
              </w:rPr>
              <w:t xml:space="preserve">The patient should be advised to report any of the following signs or symptoms to their GP without delay:           </w:t>
            </w:r>
          </w:p>
          <w:p w14:paraId="16BB8193" w14:textId="0364840A" w:rsidR="00704723" w:rsidRPr="00704723" w:rsidRDefault="00704723" w:rsidP="00093D5F">
            <w:pPr>
              <w:pStyle w:val="Heading4"/>
              <w:numPr>
                <w:ilvl w:val="0"/>
                <w:numId w:val="18"/>
              </w:numPr>
              <w:spacing w:before="60" w:after="60"/>
              <w:rPr>
                <w:rFonts w:cs="Arial"/>
                <w:b w:val="0"/>
                <w:bCs/>
              </w:rPr>
            </w:pPr>
            <w:r w:rsidRPr="00704723">
              <w:rPr>
                <w:rFonts w:cs="Arial"/>
                <w:b w:val="0"/>
                <w:bCs/>
              </w:rPr>
              <w:t>Lithium toxicity (diarrhoea, vomiting, loss of appetite, muscle weakness or twitching, clumsiness or poor coordination, dizziness, confusion, tinnitus, blurred vision, coarse tremor, writhing movements, change in speech, lethargy and/or drowsiness, incontinence, restlessness, confusion, seizures/fits).</w:t>
            </w:r>
          </w:p>
          <w:p w14:paraId="3BBEF76C" w14:textId="68182784" w:rsidR="00E02EB3" w:rsidRPr="00704723" w:rsidRDefault="00704723" w:rsidP="00093D5F">
            <w:pPr>
              <w:pStyle w:val="ListParagraph"/>
              <w:numPr>
                <w:ilvl w:val="0"/>
                <w:numId w:val="18"/>
              </w:numPr>
              <w:rPr>
                <w:rFonts w:cs="Arial"/>
              </w:rPr>
            </w:pPr>
            <w:r w:rsidRPr="00704723">
              <w:rPr>
                <w:rFonts w:cs="Arial"/>
                <w:bCs/>
              </w:rPr>
              <w:t>Signs of hypothyroidism</w:t>
            </w:r>
            <w:r w:rsidRPr="00704723">
              <w:rPr>
                <w:rFonts w:cs="Arial"/>
              </w:rPr>
              <w:t xml:space="preserve"> (e.g. fatigue, cold intolerance, weight gain, constipation and depression), renal dysfunction (including polyuria and polydipsia), and benign intracranial hypertension (persistent headache and visual disturbance).</w:t>
            </w:r>
          </w:p>
          <w:p w14:paraId="36544749" w14:textId="77777777" w:rsidR="00F34C5E" w:rsidRPr="00704723" w:rsidRDefault="00F34C5E" w:rsidP="00704723">
            <w:pPr>
              <w:rPr>
                <w:rFonts w:cs="Arial"/>
              </w:rPr>
            </w:pPr>
          </w:p>
          <w:p w14:paraId="4BD31D77" w14:textId="46090FF1" w:rsidR="00704723" w:rsidRPr="00704723" w:rsidRDefault="00704723" w:rsidP="00704723">
            <w:pPr>
              <w:autoSpaceDE w:val="0"/>
              <w:autoSpaceDN w:val="0"/>
              <w:adjustRightInd w:val="0"/>
              <w:rPr>
                <w:rFonts w:eastAsia="Calibri" w:cs="Arial"/>
                <w:b/>
                <w:bCs/>
              </w:rPr>
            </w:pPr>
            <w:r w:rsidRPr="00704723">
              <w:rPr>
                <w:rFonts w:eastAsia="Calibri" w:cs="Arial"/>
                <w:b/>
                <w:bCs/>
              </w:rPr>
              <w:t xml:space="preserve">At the start of treatment patients should be given suitable information on lithium and means to keep a record of their plasma lithium levels, such as a </w:t>
            </w:r>
            <w:r w:rsidRPr="00704723">
              <w:rPr>
                <w:rFonts w:eastAsia="Calibri" w:cs="Arial"/>
                <w:color w:val="000000"/>
              </w:rPr>
              <w:t>purple lithium pack</w:t>
            </w:r>
            <w:r w:rsidR="004D6BB2">
              <w:rPr>
                <w:rFonts w:eastAsia="Calibri" w:cs="Arial"/>
                <w:color w:val="000000"/>
              </w:rPr>
              <w:t xml:space="preserve"> containing a patient information booklet, record booklet, and lithium alert card. S</w:t>
            </w:r>
            <w:r w:rsidRPr="00704723">
              <w:rPr>
                <w:rFonts w:eastAsia="Calibri" w:cs="Arial"/>
                <w:color w:val="000000"/>
              </w:rPr>
              <w:t xml:space="preserve">upplies can be ordered from </w:t>
            </w:r>
            <w:hyperlink r:id="rId20" w:history="1">
              <w:r w:rsidRPr="00704723">
                <w:rPr>
                  <w:rFonts w:eastAsia="Calibri" w:cs="Arial"/>
                  <w:color w:val="0000FF"/>
                  <w:u w:val="single"/>
                </w:rPr>
                <w:t>nhsforms@mmm.com</w:t>
              </w:r>
            </w:hyperlink>
            <w:r w:rsidRPr="00704723">
              <w:rPr>
                <w:rFonts w:eastAsia="Calibri" w:cs="Arial"/>
                <w:color w:val="000000"/>
              </w:rPr>
              <w:t xml:space="preserve"> or accessible at </w:t>
            </w:r>
            <w:hyperlink r:id="rId21" w:history="1">
              <w:r w:rsidRPr="00704723">
                <w:rPr>
                  <w:rFonts w:eastAsia="Calibri" w:cs="Arial"/>
                  <w:color w:val="0000FF"/>
                  <w:u w:val="single"/>
                </w:rPr>
                <w:t>Safer lithium therapy</w:t>
              </w:r>
            </w:hyperlink>
            <w:r w:rsidRPr="00704723">
              <w:rPr>
                <w:rFonts w:eastAsia="Calibri" w:cs="Arial"/>
                <w:b/>
                <w:bCs/>
              </w:rPr>
              <w:t xml:space="preserve">. </w:t>
            </w:r>
            <w:r w:rsidR="00BD5BF4" w:rsidRPr="00BD5BF4">
              <w:rPr>
                <w:rFonts w:eastAsia="Calibri" w:cs="Arial"/>
                <w:b/>
                <w:bCs/>
              </w:rPr>
              <w:t>The NHS lithium health monitoring App can be used as an alternative to the purple lithium monitoring book, however this is only available on Android devices and is not available via the Apple APP store</w:t>
            </w:r>
          </w:p>
          <w:p w14:paraId="2DF6DF74" w14:textId="77777777" w:rsidR="00704723" w:rsidRPr="00704723" w:rsidRDefault="00704723" w:rsidP="00704723">
            <w:pPr>
              <w:rPr>
                <w:rFonts w:cs="Arial"/>
              </w:rPr>
            </w:pPr>
          </w:p>
          <w:p w14:paraId="7B8A5B8C" w14:textId="77777777" w:rsidR="00704723" w:rsidRPr="00704723" w:rsidRDefault="00704723" w:rsidP="00704723">
            <w:pPr>
              <w:pStyle w:val="Default"/>
              <w:spacing w:before="60" w:after="60"/>
              <w:rPr>
                <w:rFonts w:ascii="Arial" w:hAnsi="Arial" w:cs="Arial"/>
                <w:b/>
                <w:bCs/>
                <w:color w:val="auto"/>
                <w:sz w:val="22"/>
                <w:szCs w:val="22"/>
              </w:rPr>
            </w:pPr>
            <w:r w:rsidRPr="00704723">
              <w:rPr>
                <w:rFonts w:ascii="Arial" w:hAnsi="Arial" w:cs="Arial"/>
                <w:b/>
                <w:bCs/>
                <w:color w:val="auto"/>
                <w:sz w:val="22"/>
                <w:szCs w:val="22"/>
              </w:rPr>
              <w:t>Additional advice for patients/carers:</w:t>
            </w:r>
          </w:p>
          <w:p w14:paraId="05E70F76" w14:textId="77777777" w:rsid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 xml:space="preserve">Patients must attend regularly for monitoring and review appointments to ensure their lithium dose remains safe and effective, and bring their purple lithium pack to keep a record of their lithium levels. </w:t>
            </w:r>
          </w:p>
          <w:p w14:paraId="6B1030C1" w14:textId="373545B6" w:rsidR="004D6BB2" w:rsidRPr="00704723" w:rsidRDefault="004D6BB2" w:rsidP="00093D5F">
            <w:pPr>
              <w:pStyle w:val="Default"/>
              <w:numPr>
                <w:ilvl w:val="0"/>
                <w:numId w:val="12"/>
              </w:numPr>
              <w:spacing w:before="60" w:after="60"/>
              <w:rPr>
                <w:rFonts w:ascii="Arial" w:hAnsi="Arial" w:cs="Arial"/>
                <w:bCs/>
                <w:color w:val="auto"/>
                <w:sz w:val="22"/>
                <w:szCs w:val="22"/>
              </w:rPr>
            </w:pPr>
            <w:r>
              <w:rPr>
                <w:rFonts w:ascii="Arial" w:hAnsi="Arial" w:cs="Arial"/>
                <w:bCs/>
                <w:color w:val="auto"/>
                <w:sz w:val="22"/>
                <w:szCs w:val="22"/>
              </w:rPr>
              <w:t xml:space="preserve">Patients should always carry their lithium alert card. </w:t>
            </w:r>
          </w:p>
          <w:p w14:paraId="0C48D040" w14:textId="2FA9BD23"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 xml:space="preserve">Patients should notify their primary care prescriber </w:t>
            </w:r>
            <w:r w:rsidRPr="00B515FA">
              <w:rPr>
                <w:rFonts w:ascii="Arial" w:hAnsi="Arial" w:cs="Arial"/>
                <w:bCs/>
                <w:color w:val="auto"/>
                <w:sz w:val="22"/>
                <w:szCs w:val="22"/>
                <w:u w:val="single"/>
              </w:rPr>
              <w:t>straight away</w:t>
            </w:r>
            <w:r w:rsidRPr="00704723">
              <w:rPr>
                <w:rFonts w:ascii="Arial" w:hAnsi="Arial" w:cs="Arial"/>
                <w:bCs/>
                <w:color w:val="auto"/>
                <w:sz w:val="22"/>
                <w:szCs w:val="22"/>
              </w:rPr>
              <w:t xml:space="preserve"> if there is any change in their health, e.g. an infection, </w:t>
            </w:r>
            <w:r w:rsidR="004D6BB2">
              <w:rPr>
                <w:rFonts w:ascii="Arial" w:hAnsi="Arial" w:cs="Arial"/>
                <w:bCs/>
                <w:color w:val="auto"/>
                <w:sz w:val="22"/>
                <w:szCs w:val="22"/>
              </w:rPr>
              <w:t xml:space="preserve">diarrhoea or vomiting, </w:t>
            </w:r>
            <w:r w:rsidRPr="00704723">
              <w:rPr>
                <w:rFonts w:ascii="Arial" w:hAnsi="Arial" w:cs="Arial"/>
                <w:bCs/>
                <w:color w:val="auto"/>
                <w:sz w:val="22"/>
                <w:szCs w:val="22"/>
              </w:rPr>
              <w:t>significant weight loss</w:t>
            </w:r>
            <w:r w:rsidR="004D6BB2">
              <w:rPr>
                <w:rFonts w:ascii="Arial" w:hAnsi="Arial" w:cs="Arial"/>
                <w:bCs/>
                <w:color w:val="auto"/>
                <w:sz w:val="22"/>
                <w:szCs w:val="22"/>
              </w:rPr>
              <w:t>, or if they become acutely unwell for any other reason</w:t>
            </w:r>
            <w:r w:rsidRPr="00704723">
              <w:rPr>
                <w:rFonts w:ascii="Arial" w:hAnsi="Arial" w:cs="Arial"/>
                <w:bCs/>
                <w:color w:val="auto"/>
                <w:sz w:val="22"/>
                <w:szCs w:val="22"/>
              </w:rPr>
              <w:t xml:space="preserve">. Additional lithium monitoring may be required. </w:t>
            </w:r>
          </w:p>
          <w:p w14:paraId="6069EB6F" w14:textId="1DC9A2E9"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Lithium should be taken regularly, as prescribed.</w:t>
            </w:r>
            <w:r w:rsidR="004D6BB2">
              <w:rPr>
                <w:rFonts w:ascii="Arial" w:hAnsi="Arial" w:cs="Arial"/>
                <w:bCs/>
                <w:color w:val="auto"/>
                <w:sz w:val="22"/>
                <w:szCs w:val="22"/>
              </w:rPr>
              <w:t xml:space="preserve"> </w:t>
            </w:r>
            <w:r w:rsidR="004D6BB2" w:rsidRPr="004D6BB2">
              <w:rPr>
                <w:rFonts w:ascii="Arial" w:hAnsi="Arial" w:cs="Arial"/>
                <w:bCs/>
                <w:color w:val="auto"/>
                <w:sz w:val="22"/>
                <w:szCs w:val="22"/>
              </w:rPr>
              <w:t>If a dose is missed, then the next scheduled dose should be taken as usual if remembered within 6 hours;</w:t>
            </w:r>
            <w:r w:rsidRPr="00704723">
              <w:rPr>
                <w:rFonts w:ascii="Arial" w:hAnsi="Arial" w:cs="Arial"/>
                <w:bCs/>
                <w:color w:val="auto"/>
                <w:sz w:val="22"/>
                <w:szCs w:val="22"/>
              </w:rPr>
              <w:t>, patients should not attempt to catch up or double dose.</w:t>
            </w:r>
          </w:p>
          <w:p w14:paraId="5A79E667" w14:textId="77777777"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lastRenderedPageBreak/>
              <w:t>Patients should not stop taking lithium suddenly – doing so increases the chance of relapse. If lithium is to be stopped, it should be reduced over at least four weeks and preferably three months.</w:t>
            </w:r>
          </w:p>
          <w:p w14:paraId="1188D889" w14:textId="77777777"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 xml:space="preserve">The same brand of lithium should always be taken unless otherwise instructed. Patients should become familiar with their brand and check they have received the correct one before taking.  </w:t>
            </w:r>
          </w:p>
          <w:p w14:paraId="49E7AE73" w14:textId="77777777" w:rsidR="00704723" w:rsidRPr="00704723" w:rsidRDefault="00704723" w:rsidP="00093D5F">
            <w:pPr>
              <w:pStyle w:val="Default"/>
              <w:numPr>
                <w:ilvl w:val="0"/>
                <w:numId w:val="12"/>
              </w:numPr>
              <w:spacing w:before="60" w:after="60"/>
              <w:rPr>
                <w:rFonts w:ascii="Arial" w:hAnsi="Arial" w:cs="Arial"/>
                <w:bCs/>
                <w:color w:val="auto"/>
                <w:sz w:val="22"/>
                <w:szCs w:val="22"/>
              </w:rPr>
            </w:pPr>
            <w:r w:rsidRPr="00704723">
              <w:rPr>
                <w:rFonts w:ascii="Arial" w:hAnsi="Arial" w:cs="Arial"/>
                <w:bCs/>
                <w:color w:val="auto"/>
                <w:sz w:val="22"/>
                <w:szCs w:val="22"/>
              </w:rPr>
              <w:t>Changes in hydration and sodium balance can affect plasma lithium levels. Patients should maintain adequate fluid intake, particularly in hot weather or when activity levels change (such as increases in exercise or immobility). Large changes in dietary sodium should be avoided – changing dietary regime may inadvertently alter sodium intake.</w:t>
            </w:r>
          </w:p>
          <w:p w14:paraId="517C5356" w14:textId="77777777" w:rsidR="00704723" w:rsidRPr="00704723" w:rsidRDefault="00704723" w:rsidP="00093D5F">
            <w:pPr>
              <w:pStyle w:val="ListParagraph"/>
              <w:numPr>
                <w:ilvl w:val="0"/>
                <w:numId w:val="12"/>
              </w:numPr>
              <w:rPr>
                <w:rFonts w:cs="Arial"/>
                <w:bCs/>
              </w:rPr>
            </w:pPr>
            <w:r w:rsidRPr="00704723">
              <w:rPr>
                <w:rFonts w:cs="Arial"/>
                <w:bCs/>
              </w:rPr>
              <w:t>Excessive alcohol consumption should be avoided as it can lead to dehydration, increasing plasma lithium levels and so risk of toxicity.</w:t>
            </w:r>
          </w:p>
          <w:p w14:paraId="2995E6DB" w14:textId="77777777" w:rsidR="00704723" w:rsidRPr="00704723" w:rsidRDefault="00704723" w:rsidP="00093D5F">
            <w:pPr>
              <w:pStyle w:val="ListParagraph"/>
              <w:numPr>
                <w:ilvl w:val="0"/>
                <w:numId w:val="12"/>
              </w:numPr>
              <w:rPr>
                <w:rFonts w:cs="Arial"/>
                <w:bCs/>
              </w:rPr>
            </w:pPr>
            <w:r w:rsidRPr="00704723">
              <w:rPr>
                <w:rFonts w:cs="Arial"/>
                <w:bCs/>
              </w:rPr>
              <w:t xml:space="preserve">Patients should be warned about common drug interactions and advised to present their ‘Lithium alert card’ whenever they redeem a new prescription. They should specifically be advised not to take OTC NSAIDs as these can increase plasma lithium levels and so risk toxicity. </w:t>
            </w:r>
          </w:p>
          <w:p w14:paraId="76C62683" w14:textId="6C072743" w:rsidR="00704723" w:rsidRPr="00704723" w:rsidRDefault="00704723" w:rsidP="00093D5F">
            <w:pPr>
              <w:pStyle w:val="ListParagraph"/>
              <w:numPr>
                <w:ilvl w:val="0"/>
                <w:numId w:val="12"/>
              </w:numPr>
              <w:rPr>
                <w:rFonts w:cs="Arial"/>
                <w:bCs/>
              </w:rPr>
            </w:pPr>
            <w:r w:rsidRPr="00704723">
              <w:rPr>
                <w:rFonts w:cs="Arial"/>
                <w:bCs/>
              </w:rPr>
              <w:t xml:space="preserve">Lithium may impair performance of skilled tasks (e.g. driving, operating machinery). Patients with a diagnosis of bipolar disorder must notify the Driver and Vehicle Licensing Agency (DVLA); see </w:t>
            </w:r>
            <w:hyperlink r:id="rId22" w:history="1">
              <w:r w:rsidR="00756BF5" w:rsidRPr="005948AD">
                <w:rPr>
                  <w:rStyle w:val="Hyperlink"/>
                  <w:rFonts w:cs="Arial"/>
                  <w:bCs/>
                </w:rPr>
                <w:t>https://www.gov.uk/bipolar-disorder-and-driving</w:t>
              </w:r>
            </w:hyperlink>
            <w:r w:rsidRPr="00704723">
              <w:rPr>
                <w:rFonts w:cs="Arial"/>
                <w:bCs/>
              </w:rPr>
              <w:t>.</w:t>
            </w:r>
          </w:p>
          <w:p w14:paraId="2AC07051" w14:textId="087D7D50" w:rsidR="00704723" w:rsidRPr="00704723" w:rsidRDefault="00704723" w:rsidP="00093D5F">
            <w:pPr>
              <w:pStyle w:val="ListParagraph"/>
              <w:numPr>
                <w:ilvl w:val="0"/>
                <w:numId w:val="12"/>
              </w:numPr>
              <w:rPr>
                <w:rFonts w:cs="Arial"/>
                <w:bCs/>
              </w:rPr>
            </w:pPr>
            <w:r w:rsidRPr="00704723">
              <w:rPr>
                <w:rFonts w:cs="Arial"/>
                <w:bCs/>
              </w:rPr>
              <w:t xml:space="preserve">Patients of childbearing potential should be advised that lithium carries additional risks in pregnancy and is a potential teratogen. They should be aware of the need to use reliable contraception. If they become pregnant </w:t>
            </w:r>
            <w:r w:rsidR="004D6BB2">
              <w:rPr>
                <w:rFonts w:cs="Arial"/>
                <w:bCs/>
              </w:rPr>
              <w:t xml:space="preserve">or are planning a pregnancy </w:t>
            </w:r>
            <w:r w:rsidRPr="00704723">
              <w:rPr>
                <w:rFonts w:cs="Arial"/>
                <w:bCs/>
              </w:rPr>
              <w:t xml:space="preserve">while taking lithium they should not stop taking </w:t>
            </w:r>
            <w:r w:rsidR="00147BFC" w:rsidRPr="00704723">
              <w:rPr>
                <w:rFonts w:cs="Arial"/>
                <w:bCs/>
              </w:rPr>
              <w:t>it but</w:t>
            </w:r>
            <w:r w:rsidRPr="00704723">
              <w:rPr>
                <w:rFonts w:cs="Arial"/>
                <w:bCs/>
              </w:rPr>
              <w:t xml:space="preserve"> should tell their doctor straight away. Breastfeeding should be avoided during treatment with lithium. </w:t>
            </w:r>
          </w:p>
          <w:p w14:paraId="33A1AFAA" w14:textId="77777777" w:rsidR="00704723" w:rsidRPr="00704723" w:rsidRDefault="00704723" w:rsidP="00093D5F">
            <w:pPr>
              <w:pStyle w:val="ListParagraph"/>
              <w:numPr>
                <w:ilvl w:val="0"/>
                <w:numId w:val="12"/>
              </w:numPr>
              <w:ind w:left="357" w:hanging="357"/>
              <w:rPr>
                <w:rFonts w:cs="Arial"/>
                <w:bCs/>
              </w:rPr>
            </w:pPr>
            <w:r w:rsidRPr="00704723">
              <w:rPr>
                <w:rFonts w:cs="Arial"/>
                <w:bCs/>
              </w:rPr>
              <w:t>For acute indications such as mania or augmentation, patients may respond within days to weeks of starting lithium. Depending on episode frequency, it may take months or even years to determine whether lithium has proven effective for relapse prevention.</w:t>
            </w:r>
          </w:p>
          <w:p w14:paraId="299BDD97" w14:textId="77777777" w:rsidR="00704723" w:rsidRPr="00704723" w:rsidRDefault="00704723" w:rsidP="00704723">
            <w:pPr>
              <w:rPr>
                <w:rFonts w:cs="Arial"/>
                <w:bCs/>
              </w:rPr>
            </w:pPr>
          </w:p>
          <w:p w14:paraId="5CDCD73C" w14:textId="77777777" w:rsidR="00704723" w:rsidRPr="00704723" w:rsidRDefault="00704723" w:rsidP="00704723">
            <w:pPr>
              <w:autoSpaceDE w:val="0"/>
              <w:autoSpaceDN w:val="0"/>
              <w:adjustRightInd w:val="0"/>
              <w:rPr>
                <w:rFonts w:eastAsia="Times New Roman" w:cs="Arial"/>
                <w:b/>
                <w:color w:val="000000"/>
                <w:u w:val="single"/>
                <w:lang w:eastAsia="en-GB"/>
              </w:rPr>
            </w:pPr>
            <w:r w:rsidRPr="00704723">
              <w:rPr>
                <w:rFonts w:eastAsia="Times New Roman" w:cs="Arial"/>
                <w:b/>
                <w:color w:val="000000"/>
                <w:u w:val="single"/>
                <w:lang w:eastAsia="en-GB"/>
              </w:rPr>
              <w:t xml:space="preserve">Patient information on </w:t>
            </w:r>
            <w:r w:rsidRPr="00704723">
              <w:rPr>
                <w:rFonts w:eastAsia="Times New Roman" w:cs="Arial"/>
                <w:b/>
                <w:u w:val="single"/>
              </w:rPr>
              <w:t xml:space="preserve">this medicine </w:t>
            </w:r>
            <w:r w:rsidRPr="00704723">
              <w:rPr>
                <w:rFonts w:eastAsia="Times New Roman" w:cs="Arial"/>
                <w:b/>
                <w:color w:val="000000"/>
                <w:u w:val="single"/>
                <w:lang w:eastAsia="en-GB"/>
              </w:rPr>
              <w:t>can be found at the following links:</w:t>
            </w:r>
          </w:p>
          <w:p w14:paraId="1F3A07C5" w14:textId="53FECB9C" w:rsidR="00704723" w:rsidRPr="00704723" w:rsidRDefault="00704723" w:rsidP="00093D5F">
            <w:pPr>
              <w:pStyle w:val="ListParagraph"/>
              <w:numPr>
                <w:ilvl w:val="0"/>
                <w:numId w:val="19"/>
              </w:numPr>
              <w:rPr>
                <w:rFonts w:eastAsia="Times New Roman" w:cs="Arial"/>
                <w:lang w:eastAsia="en-GB"/>
              </w:rPr>
            </w:pPr>
            <w:r w:rsidRPr="00704723">
              <w:rPr>
                <w:rFonts w:eastAsia="Times New Roman" w:cs="Arial"/>
                <w:lang w:eastAsia="en-GB"/>
              </w:rPr>
              <w:t xml:space="preserve">NHS: </w:t>
            </w:r>
            <w:hyperlink r:id="rId23" w:history="1">
              <w:r w:rsidRPr="00704723">
                <w:rPr>
                  <w:rStyle w:val="Hyperlink"/>
                  <w:rFonts w:eastAsia="Times New Roman" w:cs="Arial"/>
                  <w:lang w:eastAsia="en-GB"/>
                </w:rPr>
                <w:t>NHS website</w:t>
              </w:r>
            </w:hyperlink>
            <w:r w:rsidRPr="00704723">
              <w:rPr>
                <w:rFonts w:eastAsia="Times New Roman" w:cs="Arial"/>
                <w:lang w:eastAsia="en-GB"/>
              </w:rPr>
              <w:t xml:space="preserve"> </w:t>
            </w:r>
          </w:p>
          <w:p w14:paraId="1048C46C" w14:textId="7B5E0AAB" w:rsidR="00704723" w:rsidRPr="00704723" w:rsidRDefault="00704723" w:rsidP="00093D5F">
            <w:pPr>
              <w:pStyle w:val="ListParagraph"/>
              <w:numPr>
                <w:ilvl w:val="0"/>
                <w:numId w:val="19"/>
              </w:numPr>
              <w:rPr>
                <w:rFonts w:eastAsia="Times New Roman" w:cs="Arial"/>
                <w:b/>
                <w:color w:val="000000"/>
                <w:u w:val="single"/>
                <w:lang w:eastAsia="en-GB"/>
              </w:rPr>
            </w:pPr>
            <w:r w:rsidRPr="00704723">
              <w:rPr>
                <w:rFonts w:cs="Arial"/>
              </w:rPr>
              <w:t xml:space="preserve">MIND: </w:t>
            </w:r>
            <w:hyperlink r:id="rId24" w:history="1">
              <w:r w:rsidRPr="00704723">
                <w:rPr>
                  <w:rStyle w:val="Hyperlink"/>
                  <w:rFonts w:eastAsia="Times New Roman" w:cs="Arial"/>
                  <w:lang w:eastAsia="en-GB"/>
                </w:rPr>
                <w:t>MIND</w:t>
              </w:r>
            </w:hyperlink>
            <w:r w:rsidRPr="00704723">
              <w:rPr>
                <w:rFonts w:eastAsia="Times New Roman" w:cs="Arial"/>
                <w:lang w:eastAsia="en-GB"/>
              </w:rPr>
              <w:t xml:space="preserve"> </w:t>
            </w:r>
          </w:p>
          <w:p w14:paraId="298DA26F" w14:textId="03B96E4A" w:rsidR="00F132AA" w:rsidRPr="00704723" w:rsidRDefault="00704723" w:rsidP="00704723">
            <w:pPr>
              <w:rPr>
                <w:rFonts w:cs="Arial"/>
              </w:rPr>
            </w:pPr>
            <w:r w:rsidRPr="00704723">
              <w:rPr>
                <w:rFonts w:cs="Arial"/>
              </w:rPr>
              <w:t>National Patient Safety Agency purple lithium pack: Supplies of the</w:t>
            </w:r>
            <w:r w:rsidR="00B418AD">
              <w:rPr>
                <w:rFonts w:cs="Arial"/>
              </w:rPr>
              <w:t xml:space="preserve"> patient information</w:t>
            </w:r>
            <w:r w:rsidRPr="00704723">
              <w:rPr>
                <w:rFonts w:cs="Arial"/>
              </w:rPr>
              <w:t xml:space="preserve"> booklets can be ordered from </w:t>
            </w:r>
            <w:hyperlink r:id="rId25" w:history="1">
              <w:r w:rsidRPr="00704723">
                <w:rPr>
                  <w:rStyle w:val="Hyperlink"/>
                  <w:rFonts w:cs="Arial"/>
                </w:rPr>
                <w:t>nhsforms@mmm.com</w:t>
              </w:r>
            </w:hyperlink>
            <w:r w:rsidR="004D6BB2">
              <w:rPr>
                <w:rStyle w:val="Hyperlink"/>
                <w:rFonts w:cs="Arial"/>
              </w:rPr>
              <w:t xml:space="preserve"> </w:t>
            </w:r>
            <w:r w:rsidR="004D6BB2">
              <w:rPr>
                <w:rStyle w:val="Hyperlink"/>
              </w:rPr>
              <w:t xml:space="preserve">or </w:t>
            </w:r>
            <w:hyperlink r:id="rId26" w:history="1">
              <w:r w:rsidR="00B418AD" w:rsidRPr="00B418AD">
                <w:rPr>
                  <w:rStyle w:val="Hyperlink"/>
                </w:rPr>
                <w:t>available online</w:t>
              </w:r>
            </w:hyperlink>
            <w:r w:rsidRPr="00704723">
              <w:rPr>
                <w:rFonts w:cs="Arial"/>
              </w:rPr>
              <w:t xml:space="preserve">. </w:t>
            </w:r>
          </w:p>
        </w:tc>
      </w:tr>
      <w:tr w:rsidR="001860C1" w:rsidRPr="00F321FC" w14:paraId="317161E6" w14:textId="77777777" w:rsidTr="00147BFC">
        <w:tc>
          <w:tcPr>
            <w:tcW w:w="2002" w:type="dxa"/>
          </w:tcPr>
          <w:p w14:paraId="7BADD8F8" w14:textId="77777777" w:rsidR="001860C1" w:rsidRDefault="009F106E" w:rsidP="009F106E">
            <w:pPr>
              <w:pStyle w:val="Heading2"/>
              <w:rPr>
                <w:rFonts w:cs="Arial"/>
              </w:rPr>
            </w:pPr>
            <w:bookmarkStart w:id="20" w:name="twelve_pregnancy"/>
            <w:bookmarkStart w:id="21" w:name="_Toc149231796"/>
            <w:r w:rsidRPr="00F321FC">
              <w:rPr>
                <w:rFonts w:cs="Arial"/>
              </w:rPr>
              <w:lastRenderedPageBreak/>
              <w:t>Pregnancy</w:t>
            </w:r>
            <w:r w:rsidR="00FB404F">
              <w:rPr>
                <w:rFonts w:cs="Arial"/>
              </w:rPr>
              <w:t>, paternal exposure</w:t>
            </w:r>
            <w:r w:rsidRPr="00F321FC">
              <w:rPr>
                <w:rFonts w:cs="Arial"/>
              </w:rPr>
              <w:t xml:space="preserve"> and breastfeeding</w:t>
            </w:r>
            <w:bookmarkEnd w:id="20"/>
            <w:bookmarkEnd w:id="21"/>
          </w:p>
          <w:p w14:paraId="0AE00B39" w14:textId="77777777" w:rsidR="005D79FA" w:rsidRDefault="005D79FA" w:rsidP="005D79FA"/>
          <w:p w14:paraId="4C3ACC97" w14:textId="3495C602" w:rsidR="005D79FA" w:rsidRPr="005D79FA" w:rsidRDefault="005D79FA" w:rsidP="0051526F"/>
        </w:tc>
        <w:tc>
          <w:tcPr>
            <w:tcW w:w="8459" w:type="dxa"/>
          </w:tcPr>
          <w:p w14:paraId="588B71AB" w14:textId="77777777" w:rsidR="0051526F" w:rsidRPr="00704723" w:rsidRDefault="0051526F" w:rsidP="00704723">
            <w:pPr>
              <w:rPr>
                <w:rFonts w:cs="Arial"/>
              </w:rPr>
            </w:pPr>
            <w:r w:rsidRPr="00704723">
              <w:rPr>
                <w:rFonts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7F5D565C" w14:textId="77777777" w:rsidR="0051526F" w:rsidRPr="00704723" w:rsidRDefault="0051526F" w:rsidP="00704723">
            <w:pPr>
              <w:rPr>
                <w:rFonts w:cs="Arial"/>
              </w:rPr>
            </w:pPr>
          </w:p>
          <w:p w14:paraId="0D2D79EB" w14:textId="77777777" w:rsidR="00704723" w:rsidRDefault="00704723" w:rsidP="00704723">
            <w:pPr>
              <w:autoSpaceDE w:val="0"/>
              <w:autoSpaceDN w:val="0"/>
              <w:adjustRightInd w:val="0"/>
              <w:rPr>
                <w:rFonts w:cs="Arial"/>
                <w:b/>
                <w:color w:val="000000"/>
                <w:lang w:eastAsia="en-GB"/>
              </w:rPr>
            </w:pPr>
            <w:r w:rsidRPr="00704723">
              <w:rPr>
                <w:rFonts w:cs="Arial"/>
                <w:b/>
                <w:color w:val="000000"/>
                <w:lang w:eastAsia="en-GB"/>
              </w:rPr>
              <w:t xml:space="preserve">All patients should be informed of the risks and benefits of taking this medicine during pregnancy and breastfeeding. </w:t>
            </w:r>
          </w:p>
          <w:p w14:paraId="1A2199A1" w14:textId="77777777" w:rsidR="00704723" w:rsidRPr="00704723" w:rsidRDefault="00704723" w:rsidP="00704723">
            <w:pPr>
              <w:autoSpaceDE w:val="0"/>
              <w:autoSpaceDN w:val="0"/>
              <w:adjustRightInd w:val="0"/>
              <w:rPr>
                <w:rFonts w:eastAsia="Times New Roman" w:cs="Arial"/>
                <w:b/>
                <w:color w:val="000000"/>
                <w:u w:val="single"/>
                <w:lang w:eastAsia="en-GB"/>
              </w:rPr>
            </w:pPr>
          </w:p>
          <w:p w14:paraId="24AAF102" w14:textId="77777777" w:rsidR="00704723" w:rsidRPr="00704723" w:rsidRDefault="00704723" w:rsidP="00704723">
            <w:pPr>
              <w:autoSpaceDE w:val="0"/>
              <w:autoSpaceDN w:val="0"/>
              <w:adjustRightInd w:val="0"/>
              <w:rPr>
                <w:rFonts w:eastAsia="Times New Roman" w:cs="Arial"/>
                <w:b/>
                <w:color w:val="000000"/>
                <w:lang w:eastAsia="en-GB"/>
              </w:rPr>
            </w:pPr>
            <w:r w:rsidRPr="00704723">
              <w:rPr>
                <w:rFonts w:eastAsia="Times New Roman" w:cs="Arial"/>
                <w:b/>
                <w:color w:val="000000"/>
                <w:u w:val="single"/>
                <w:lang w:eastAsia="en-GB"/>
              </w:rPr>
              <w:lastRenderedPageBreak/>
              <w:t>Pregnancy</w:t>
            </w:r>
            <w:r w:rsidRPr="00704723">
              <w:rPr>
                <w:rFonts w:eastAsia="Times New Roman" w:cs="Arial"/>
                <w:b/>
                <w:color w:val="000000"/>
                <w:lang w:eastAsia="en-GB"/>
              </w:rPr>
              <w:t xml:space="preserve">: </w:t>
            </w:r>
          </w:p>
          <w:p w14:paraId="4CEC9BE3" w14:textId="77777777"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If a patient becomes pregnant whilst on lithium, the specialist team should be informed immediately (but do not stop the lithium). </w:t>
            </w:r>
          </w:p>
          <w:p w14:paraId="2C253C37" w14:textId="7530CA74"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Lithium should not be used during pregnancy where possible, especially in the first trimester </w:t>
            </w:r>
            <w:r w:rsidR="00694194">
              <w:rPr>
                <w:rFonts w:eastAsia="Times New Roman" w:cs="Arial"/>
                <w:color w:val="000000"/>
                <w:lang w:eastAsia="en-GB"/>
              </w:rPr>
              <w:t xml:space="preserve">due to </w:t>
            </w:r>
            <w:r w:rsidRPr="00704723">
              <w:rPr>
                <w:rFonts w:eastAsia="Times New Roman" w:cs="Arial"/>
                <w:color w:val="000000"/>
                <w:lang w:eastAsia="en-GB"/>
              </w:rPr>
              <w:t xml:space="preserve">risk of </w:t>
            </w:r>
            <w:r w:rsidR="00694194">
              <w:rPr>
                <w:rFonts w:eastAsia="Times New Roman" w:cs="Arial"/>
                <w:color w:val="000000"/>
                <w:lang w:eastAsia="en-GB"/>
              </w:rPr>
              <w:t xml:space="preserve">congenital </w:t>
            </w:r>
            <w:r w:rsidRPr="00704723">
              <w:rPr>
                <w:rFonts w:eastAsia="Times New Roman" w:cs="Arial"/>
                <w:color w:val="000000"/>
                <w:lang w:eastAsia="en-GB"/>
              </w:rPr>
              <w:t>cardiac abnormalities. In certain cases where a severe risk to the patient could exist if treatment were stopped, lithium has been continued during pregnancy; under these circumstances prescribing is the responsibility of the specialist team.</w:t>
            </w:r>
          </w:p>
          <w:p w14:paraId="2B83E146" w14:textId="6BD3AC4A"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 xml:space="preserve">There is a risk of relapse if lithium is withdrawn, particularly in </w:t>
            </w:r>
            <w:r w:rsidR="00694194">
              <w:rPr>
                <w:rFonts w:eastAsia="Times New Roman" w:cs="Arial"/>
                <w:color w:val="000000"/>
                <w:lang w:eastAsia="en-GB"/>
              </w:rPr>
              <w:t xml:space="preserve">pregnancy and </w:t>
            </w:r>
            <w:r w:rsidRPr="00704723">
              <w:rPr>
                <w:rFonts w:eastAsia="Times New Roman" w:cs="Arial"/>
                <w:color w:val="000000"/>
                <w:lang w:eastAsia="en-GB"/>
              </w:rPr>
              <w:t xml:space="preserve">the postnatal period. </w:t>
            </w:r>
          </w:p>
          <w:p w14:paraId="7D66055B" w14:textId="77777777" w:rsidR="00704723" w:rsidRDefault="00704723" w:rsidP="00704723">
            <w:pPr>
              <w:autoSpaceDE w:val="0"/>
              <w:autoSpaceDN w:val="0"/>
              <w:adjustRightInd w:val="0"/>
              <w:jc w:val="both"/>
              <w:rPr>
                <w:rFonts w:eastAsia="Times New Roman" w:cs="Arial"/>
                <w:color w:val="000000"/>
                <w:lang w:eastAsia="en-GB"/>
              </w:rPr>
            </w:pPr>
            <w:r w:rsidRPr="00704723">
              <w:rPr>
                <w:rFonts w:eastAsia="Times New Roman" w:cs="Arial"/>
                <w:b/>
                <w:color w:val="000000"/>
                <w:lang w:eastAsia="en-GB"/>
              </w:rPr>
              <w:t>Patients of child</w:t>
            </w:r>
            <w:r w:rsidRPr="00704723">
              <w:rPr>
                <w:rFonts w:ascii="Cambria Math" w:eastAsia="Times New Roman" w:hAnsi="Cambria Math" w:cs="Cambria Math"/>
                <w:b/>
                <w:color w:val="000000"/>
                <w:lang w:eastAsia="en-GB"/>
              </w:rPr>
              <w:t>‐</w:t>
            </w:r>
            <w:r w:rsidRPr="00704723">
              <w:rPr>
                <w:rFonts w:eastAsia="Times New Roman" w:cs="Arial"/>
                <w:b/>
                <w:color w:val="000000"/>
                <w:lang w:eastAsia="en-GB"/>
              </w:rPr>
              <w:t>bearing potential should be advised to use a reliable form of contraception.</w:t>
            </w:r>
            <w:r w:rsidRPr="00704723">
              <w:rPr>
                <w:rFonts w:eastAsia="Times New Roman" w:cs="Arial"/>
                <w:color w:val="000000"/>
                <w:lang w:eastAsia="en-GB"/>
              </w:rPr>
              <w:t xml:space="preserve"> It is the responsibility of the specialist to provide advice on the need for contraception to patients on initiation of lithium, and at each review. Under shared care agreements, the ongoing responsibility for providing this advice rests with both the GP and the specialist.</w:t>
            </w:r>
          </w:p>
          <w:p w14:paraId="2691F900" w14:textId="0A8837DA" w:rsidR="00F576AE" w:rsidRPr="00704723" w:rsidRDefault="00F576AE" w:rsidP="00704723">
            <w:pPr>
              <w:autoSpaceDE w:val="0"/>
              <w:autoSpaceDN w:val="0"/>
              <w:adjustRightInd w:val="0"/>
              <w:jc w:val="both"/>
              <w:rPr>
                <w:rFonts w:eastAsia="Times New Roman" w:cs="Arial"/>
                <w:color w:val="000000"/>
                <w:lang w:eastAsia="en-GB"/>
              </w:rPr>
            </w:pPr>
            <w:r>
              <w:rPr>
                <w:rFonts w:eastAsia="Times New Roman" w:cs="Arial"/>
                <w:color w:val="000000"/>
                <w:lang w:eastAsia="en-GB"/>
              </w:rPr>
              <w:t>Patients stabilised on lithium who are planning pregnancy should be referred to the local perinatal psychiatry team for pre-conception advice.</w:t>
            </w:r>
          </w:p>
          <w:p w14:paraId="4DE86679" w14:textId="31FD1A86" w:rsidR="00704723" w:rsidRPr="00704723" w:rsidRDefault="00704723" w:rsidP="00704723">
            <w:pPr>
              <w:autoSpaceDE w:val="0"/>
              <w:autoSpaceDN w:val="0"/>
              <w:adjustRightInd w:val="0"/>
              <w:rPr>
                <w:rFonts w:eastAsia="Times New Roman" w:cs="Arial"/>
                <w:color w:val="FF0000"/>
                <w:lang w:eastAsia="en-GB"/>
              </w:rPr>
            </w:pPr>
            <w:r w:rsidRPr="00704723">
              <w:rPr>
                <w:rFonts w:eastAsia="Times New Roman" w:cs="Arial"/>
                <w:color w:val="000000"/>
                <w:lang w:eastAsia="en-GB"/>
              </w:rPr>
              <w:t xml:space="preserve">Information for healthcare professionals: </w:t>
            </w:r>
            <w:hyperlink r:id="rId27" w:history="1">
              <w:r>
                <w:rPr>
                  <w:rStyle w:val="Hyperlink"/>
                  <w:rFonts w:eastAsia="Times New Roman" w:cs="Arial"/>
                  <w:lang w:eastAsia="en-GB"/>
                </w:rPr>
                <w:t>UK Teratology Information Service (UKTIS)</w:t>
              </w:r>
            </w:hyperlink>
            <w:r w:rsidRPr="00704723">
              <w:rPr>
                <w:rFonts w:eastAsia="Times New Roman" w:cs="Arial"/>
                <w:color w:val="000000"/>
                <w:lang w:eastAsia="en-GB"/>
              </w:rPr>
              <w:t xml:space="preserve"> </w:t>
            </w:r>
          </w:p>
          <w:p w14:paraId="67B017E1" w14:textId="7C645F55" w:rsidR="00704723" w:rsidRPr="00704723" w:rsidRDefault="00704723" w:rsidP="00704723">
            <w:pPr>
              <w:autoSpaceDE w:val="0"/>
              <w:autoSpaceDN w:val="0"/>
              <w:adjustRightInd w:val="0"/>
              <w:rPr>
                <w:rFonts w:eastAsia="Times New Roman" w:cs="Arial"/>
                <w:color w:val="FF0000"/>
                <w:lang w:eastAsia="en-GB"/>
              </w:rPr>
            </w:pPr>
            <w:r w:rsidRPr="00704723">
              <w:rPr>
                <w:rFonts w:eastAsia="Times New Roman" w:cs="Arial"/>
                <w:color w:val="000000"/>
                <w:lang w:eastAsia="en-GB"/>
              </w:rPr>
              <w:t xml:space="preserve">Information for patients and carers: </w:t>
            </w:r>
            <w:hyperlink r:id="rId28" w:history="1">
              <w:r>
                <w:rPr>
                  <w:rStyle w:val="Hyperlink"/>
                  <w:rFonts w:eastAsia="Times New Roman" w:cs="Arial"/>
                  <w:lang w:eastAsia="en-GB"/>
                </w:rPr>
                <w:t>Best Use of Medicines in Pregnancy (BUMPs)</w:t>
              </w:r>
            </w:hyperlink>
            <w:r w:rsidRPr="00704723">
              <w:rPr>
                <w:rFonts w:eastAsia="Times New Roman" w:cs="Arial"/>
                <w:color w:val="000000"/>
                <w:lang w:eastAsia="en-GB"/>
              </w:rPr>
              <w:t xml:space="preserve"> </w:t>
            </w:r>
          </w:p>
          <w:p w14:paraId="69911077" w14:textId="77777777" w:rsidR="00704723" w:rsidRPr="00704723" w:rsidRDefault="00704723" w:rsidP="00704723">
            <w:pPr>
              <w:autoSpaceDE w:val="0"/>
              <w:autoSpaceDN w:val="0"/>
              <w:adjustRightInd w:val="0"/>
              <w:rPr>
                <w:rFonts w:eastAsia="Times New Roman" w:cs="Arial"/>
                <w:color w:val="000000"/>
                <w:u w:val="single"/>
                <w:lang w:eastAsia="en-GB"/>
              </w:rPr>
            </w:pPr>
          </w:p>
          <w:p w14:paraId="7D319D7D" w14:textId="77777777" w:rsidR="00704723" w:rsidRPr="00704723" w:rsidRDefault="00704723" w:rsidP="00704723">
            <w:pPr>
              <w:autoSpaceDE w:val="0"/>
              <w:autoSpaceDN w:val="0"/>
              <w:adjustRightInd w:val="0"/>
              <w:rPr>
                <w:rFonts w:eastAsia="Times New Roman" w:cs="Arial"/>
                <w:b/>
                <w:color w:val="000000"/>
                <w:lang w:eastAsia="en-GB"/>
              </w:rPr>
            </w:pPr>
            <w:r w:rsidRPr="00704723">
              <w:rPr>
                <w:rFonts w:eastAsia="Times New Roman" w:cs="Arial"/>
                <w:b/>
                <w:color w:val="000000"/>
                <w:u w:val="single"/>
                <w:lang w:eastAsia="en-GB"/>
              </w:rPr>
              <w:t>Breastfeeding</w:t>
            </w:r>
            <w:r w:rsidRPr="00704723">
              <w:rPr>
                <w:rFonts w:eastAsia="Times New Roman" w:cs="Arial"/>
                <w:b/>
                <w:color w:val="000000"/>
                <w:lang w:eastAsia="en-GB"/>
              </w:rPr>
              <w:t>:</w:t>
            </w:r>
          </w:p>
          <w:p w14:paraId="7373B2B4" w14:textId="4CAD1D17"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color w:val="000000"/>
                <w:lang w:eastAsia="en-GB"/>
              </w:rPr>
              <w:t>Lithium is secreted in breast milk and there have been case reports of neonates showing signs of lithium toxicity. Breastfeeding should be avoided during treatment with lithium.</w:t>
            </w:r>
            <w:r w:rsidR="00694194">
              <w:rPr>
                <w:rFonts w:eastAsia="Times New Roman" w:cs="Arial"/>
                <w:color w:val="000000"/>
                <w:lang w:eastAsia="en-GB"/>
              </w:rPr>
              <w:t xml:space="preserve"> If the decision is made to breasted lithium must be used with extreme caution, under specialist supervision and with strict infant monitoring conditions. </w:t>
            </w:r>
          </w:p>
          <w:p w14:paraId="389B8B9E" w14:textId="2AE6925E" w:rsidR="00704723" w:rsidRPr="00704723" w:rsidRDefault="00704723" w:rsidP="00704723">
            <w:pPr>
              <w:autoSpaceDE w:val="0"/>
              <w:autoSpaceDN w:val="0"/>
              <w:adjustRightInd w:val="0"/>
              <w:rPr>
                <w:rFonts w:eastAsia="Times New Roman" w:cs="Arial"/>
                <w:color w:val="FF0000"/>
                <w:lang w:eastAsia="en-GB"/>
              </w:rPr>
            </w:pPr>
            <w:r w:rsidRPr="00704723">
              <w:rPr>
                <w:rFonts w:eastAsia="Times New Roman" w:cs="Arial"/>
                <w:color w:val="000000"/>
                <w:lang w:eastAsia="en-GB"/>
              </w:rPr>
              <w:t xml:space="preserve">Information for healthcare professionals: </w:t>
            </w:r>
            <w:hyperlink r:id="rId29" w:history="1">
              <w:r>
                <w:rPr>
                  <w:rStyle w:val="Hyperlink"/>
                  <w:rFonts w:eastAsia="Times New Roman" w:cs="Arial"/>
                  <w:lang w:eastAsia="en-GB"/>
                </w:rPr>
                <w:t>UK Drugs in Lactation Advisory Service (UKDiLAS)</w:t>
              </w:r>
            </w:hyperlink>
            <w:r w:rsidRPr="00704723">
              <w:rPr>
                <w:rFonts w:eastAsia="Times New Roman" w:cs="Arial"/>
                <w:color w:val="000000"/>
                <w:lang w:eastAsia="en-GB"/>
              </w:rPr>
              <w:t xml:space="preserve"> </w:t>
            </w:r>
          </w:p>
          <w:p w14:paraId="4247F95A" w14:textId="77777777" w:rsidR="00704723" w:rsidRPr="00704723" w:rsidRDefault="00704723" w:rsidP="00704723">
            <w:pPr>
              <w:autoSpaceDE w:val="0"/>
              <w:autoSpaceDN w:val="0"/>
              <w:adjustRightInd w:val="0"/>
              <w:rPr>
                <w:rFonts w:eastAsia="Times New Roman" w:cs="Arial"/>
                <w:color w:val="000000"/>
                <w:lang w:eastAsia="en-GB"/>
              </w:rPr>
            </w:pPr>
          </w:p>
          <w:p w14:paraId="5E35BA13" w14:textId="77777777" w:rsidR="00704723" w:rsidRPr="00704723" w:rsidRDefault="00704723" w:rsidP="00704723">
            <w:pPr>
              <w:autoSpaceDE w:val="0"/>
              <w:autoSpaceDN w:val="0"/>
              <w:adjustRightInd w:val="0"/>
              <w:rPr>
                <w:rFonts w:eastAsia="Times New Roman" w:cs="Arial"/>
                <w:color w:val="000000"/>
                <w:lang w:eastAsia="en-GB"/>
              </w:rPr>
            </w:pPr>
            <w:r w:rsidRPr="00704723">
              <w:rPr>
                <w:rFonts w:eastAsia="Times New Roman" w:cs="Arial"/>
                <w:b/>
                <w:color w:val="000000"/>
                <w:u w:val="single"/>
                <w:lang w:eastAsia="en-GB"/>
              </w:rPr>
              <w:t>Paternal exposure</w:t>
            </w:r>
            <w:r w:rsidRPr="00704723">
              <w:rPr>
                <w:rFonts w:eastAsia="Times New Roman" w:cs="Arial"/>
                <w:color w:val="000000"/>
                <w:lang w:eastAsia="en-GB"/>
              </w:rPr>
              <w:t>:</w:t>
            </w:r>
          </w:p>
          <w:p w14:paraId="06C7937A" w14:textId="4E305693" w:rsidR="007A56FB" w:rsidRPr="00704723" w:rsidRDefault="00704723" w:rsidP="00704723">
            <w:pPr>
              <w:rPr>
                <w:rFonts w:cs="Arial"/>
              </w:rPr>
            </w:pPr>
            <w:r w:rsidRPr="00704723">
              <w:rPr>
                <w:rFonts w:eastAsia="Times New Roman" w:cs="Arial"/>
                <w:color w:val="000000"/>
                <w:lang w:eastAsia="en-GB"/>
              </w:rPr>
              <w:t>Animal studies have reported spermatogenesis abnormalities that may lead to impairment of fertility. It is unknown if this risk applies to humans.</w:t>
            </w:r>
          </w:p>
        </w:tc>
      </w:tr>
      <w:tr w:rsidR="00767B99" w:rsidRPr="00F321FC" w14:paraId="6398E15E" w14:textId="77777777" w:rsidTr="00147BFC">
        <w:tc>
          <w:tcPr>
            <w:tcW w:w="2002" w:type="dxa"/>
          </w:tcPr>
          <w:p w14:paraId="6BB398C7" w14:textId="6C037366" w:rsidR="00767B99" w:rsidRPr="00F321FC" w:rsidRDefault="00767B99" w:rsidP="00767B99">
            <w:pPr>
              <w:pStyle w:val="Heading2"/>
              <w:rPr>
                <w:rFonts w:cs="Arial"/>
              </w:rPr>
            </w:pPr>
            <w:bookmarkStart w:id="22" w:name="thirteen_specialist_contact"/>
            <w:bookmarkStart w:id="23" w:name="_Toc149231797"/>
            <w:r w:rsidRPr="00F321FC">
              <w:rPr>
                <w:rFonts w:cs="Arial"/>
              </w:rPr>
              <w:lastRenderedPageBreak/>
              <w:t>Specialist contact information</w:t>
            </w:r>
            <w:r>
              <w:rPr>
                <w:rFonts w:cs="Arial"/>
              </w:rPr>
              <w:t xml:space="preserve"> and arrangements for referral</w:t>
            </w:r>
            <w:bookmarkEnd w:id="22"/>
            <w:bookmarkEnd w:id="23"/>
          </w:p>
        </w:tc>
        <w:tc>
          <w:tcPr>
            <w:tcW w:w="8459" w:type="dxa"/>
          </w:tcPr>
          <w:p w14:paraId="63F90746" w14:textId="7C118FE8" w:rsidR="00767B99" w:rsidRPr="005C4899" w:rsidRDefault="005C4899" w:rsidP="00FB404F">
            <w:pPr>
              <w:rPr>
                <w:rFonts w:cs="Arial"/>
              </w:rPr>
            </w:pPr>
            <w:r w:rsidRPr="005C4899">
              <w:rPr>
                <w:rFonts w:cs="Arial"/>
              </w:rPr>
              <w:t>Details for contacting specialist must be included on the clinic letter.</w:t>
            </w:r>
          </w:p>
        </w:tc>
      </w:tr>
      <w:tr w:rsidR="00767B99" w:rsidRPr="00F321FC" w14:paraId="207E7612" w14:textId="77777777" w:rsidTr="00147BFC">
        <w:tc>
          <w:tcPr>
            <w:tcW w:w="2002" w:type="dxa"/>
          </w:tcPr>
          <w:p w14:paraId="1F87C246" w14:textId="316BF7A3" w:rsidR="00767B99" w:rsidRPr="00F321FC" w:rsidRDefault="00767B99" w:rsidP="00767B99">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459" w:type="dxa"/>
          </w:tcPr>
          <w:p w14:paraId="3634BE8A" w14:textId="5D969788" w:rsidR="00767B99" w:rsidRPr="00F321FC" w:rsidRDefault="005D79FA" w:rsidP="00FB404F">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67B99" w:rsidRPr="00F321FC" w14:paraId="6B6F9FF7" w14:textId="77777777" w:rsidTr="00147BFC">
        <w:tc>
          <w:tcPr>
            <w:tcW w:w="2002" w:type="dxa"/>
          </w:tcPr>
          <w:p w14:paraId="4580613D" w14:textId="3D2EB4DF" w:rsidR="00767B99" w:rsidRPr="00F321FC" w:rsidRDefault="00767B99" w:rsidP="00767B99">
            <w:pPr>
              <w:pStyle w:val="Heading2"/>
              <w:rPr>
                <w:rFonts w:cs="Arial"/>
              </w:rPr>
            </w:pPr>
            <w:bookmarkStart w:id="26" w:name="fifteen_references"/>
            <w:bookmarkStart w:id="27" w:name="_Toc149231799"/>
            <w:r w:rsidRPr="00F321FC">
              <w:rPr>
                <w:rFonts w:cs="Arial"/>
              </w:rPr>
              <w:t>References</w:t>
            </w:r>
            <w:bookmarkEnd w:id="26"/>
            <w:bookmarkEnd w:id="27"/>
          </w:p>
        </w:tc>
        <w:tc>
          <w:tcPr>
            <w:tcW w:w="8459" w:type="dxa"/>
          </w:tcPr>
          <w:p w14:paraId="3930FBED" w14:textId="1F0C97B9" w:rsidR="00093D5F" w:rsidRPr="00093D5F" w:rsidRDefault="00E6244A" w:rsidP="001E2D3F">
            <w:pPr>
              <w:pStyle w:val="ListParagraph"/>
              <w:numPr>
                <w:ilvl w:val="0"/>
                <w:numId w:val="21"/>
              </w:numPr>
              <w:rPr>
                <w:rFonts w:eastAsia="Times New Roman" w:cs="Arial"/>
                <w:szCs w:val="24"/>
                <w:lang w:eastAsia="en-GB"/>
              </w:rPr>
            </w:pPr>
            <w:r>
              <w:rPr>
                <w:rFonts w:eastAsia="Times New Roman" w:cs="Arial"/>
                <w:szCs w:val="24"/>
                <w:lang w:eastAsia="en-GB"/>
              </w:rPr>
              <w:t>British National Formula</w:t>
            </w:r>
            <w:r w:rsidR="001E2D3F">
              <w:rPr>
                <w:rFonts w:eastAsia="Times New Roman" w:cs="Arial"/>
                <w:szCs w:val="24"/>
                <w:lang w:eastAsia="en-GB"/>
              </w:rPr>
              <w:t>r</w:t>
            </w:r>
            <w:r>
              <w:rPr>
                <w:rFonts w:eastAsia="Times New Roman" w:cs="Arial"/>
                <w:szCs w:val="24"/>
                <w:lang w:eastAsia="en-GB"/>
              </w:rPr>
              <w:t>y</w:t>
            </w:r>
            <w:r w:rsidRPr="00093D5F">
              <w:rPr>
                <w:rFonts w:eastAsia="Times New Roman" w:cs="Arial"/>
                <w:szCs w:val="24"/>
                <w:lang w:eastAsia="en-GB"/>
              </w:rPr>
              <w:t xml:space="preserve"> </w:t>
            </w:r>
            <w:r w:rsidR="00093D5F" w:rsidRPr="00093D5F">
              <w:rPr>
                <w:rFonts w:eastAsia="Times New Roman" w:cs="Arial"/>
                <w:szCs w:val="24"/>
                <w:lang w:eastAsia="en-GB"/>
              </w:rPr>
              <w:t xml:space="preserve">accessed via </w:t>
            </w:r>
            <w:hyperlink r:id="rId30" w:history="1">
              <w:r w:rsidR="00093D5F" w:rsidRPr="00093D5F">
                <w:rPr>
                  <w:rStyle w:val="Hyperlink"/>
                  <w:rFonts w:eastAsia="Times New Roman" w:cs="Arial"/>
                  <w:szCs w:val="24"/>
                  <w:lang w:eastAsia="en-GB"/>
                </w:rPr>
                <w:t>https://bnf.nice.org.uk/</w:t>
              </w:r>
            </w:hyperlink>
            <w:r w:rsidR="00093D5F" w:rsidRPr="00093D5F">
              <w:rPr>
                <w:rFonts w:eastAsia="Times New Roman" w:cs="Arial"/>
                <w:szCs w:val="24"/>
                <w:lang w:eastAsia="en-GB"/>
              </w:rPr>
              <w:t xml:space="preserve"> on </w:t>
            </w:r>
            <w:r w:rsidR="00912E9A">
              <w:rPr>
                <w:rFonts w:eastAsia="Times New Roman" w:cs="Arial"/>
                <w:szCs w:val="24"/>
                <w:lang w:eastAsia="en-GB"/>
              </w:rPr>
              <w:t>07/12/23</w:t>
            </w:r>
            <w:r w:rsidR="00093D5F" w:rsidRPr="00093D5F">
              <w:rPr>
                <w:rFonts w:eastAsia="Times New Roman" w:cs="Arial"/>
                <w:szCs w:val="24"/>
                <w:lang w:eastAsia="en-GB"/>
              </w:rPr>
              <w:t>.</w:t>
            </w:r>
          </w:p>
          <w:p w14:paraId="7CBF999B" w14:textId="64CAD81D" w:rsid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Priadel® 400mg prolonged release tablets. Essential Pharma. Date of revision of the text: </w:t>
            </w:r>
            <w:r w:rsidR="001E2D3F">
              <w:rPr>
                <w:rFonts w:eastAsia="Times New Roman" w:cs="Arial"/>
                <w:szCs w:val="24"/>
                <w:lang w:eastAsia="en-GB"/>
              </w:rPr>
              <w:t>26/09/2022</w:t>
            </w:r>
            <w:r w:rsidRPr="00093D5F">
              <w:rPr>
                <w:rFonts w:eastAsia="Times New Roman" w:cs="Arial"/>
                <w:szCs w:val="24"/>
                <w:lang w:eastAsia="en-GB"/>
              </w:rPr>
              <w:t xml:space="preserve">. Accessed via </w:t>
            </w:r>
            <w:r w:rsidR="001E2D3F">
              <w:rPr>
                <w:rFonts w:eastAsia="Times New Roman" w:cs="Arial"/>
                <w:szCs w:val="24"/>
                <w:lang w:eastAsia="en-GB"/>
              </w:rPr>
              <w:t xml:space="preserve"> </w:t>
            </w:r>
            <w:r w:rsidR="001E2D3F" w:rsidRPr="001E2D3F">
              <w:rPr>
                <w:rStyle w:val="Hyperlink"/>
                <w:rFonts w:eastAsia="Times New Roman" w:cs="Arial"/>
                <w:szCs w:val="24"/>
                <w:lang w:eastAsia="en-GB"/>
              </w:rPr>
              <w:t>https://www.medicines.org.uk/emc/product/13163/</w:t>
            </w:r>
            <w:r w:rsidRPr="00093D5F">
              <w:rPr>
                <w:rFonts w:eastAsia="Times New Roman" w:cs="Arial"/>
                <w:szCs w:val="24"/>
                <w:lang w:eastAsia="en-GB"/>
              </w:rPr>
              <w:t xml:space="preserve"> on </w:t>
            </w:r>
            <w:r w:rsidR="001E2D3F">
              <w:rPr>
                <w:rFonts w:eastAsia="Times New Roman" w:cs="Arial"/>
                <w:szCs w:val="24"/>
                <w:lang w:eastAsia="en-GB"/>
              </w:rPr>
              <w:t>07/12/23</w:t>
            </w:r>
            <w:r w:rsidRPr="00093D5F">
              <w:rPr>
                <w:rFonts w:eastAsia="Times New Roman" w:cs="Arial"/>
                <w:szCs w:val="24"/>
                <w:lang w:eastAsia="en-GB"/>
              </w:rPr>
              <w:t>.</w:t>
            </w:r>
          </w:p>
          <w:p w14:paraId="4EC776AF" w14:textId="5600ECAA" w:rsidR="001E2D3F" w:rsidRPr="00093D5F" w:rsidRDefault="00A0352C" w:rsidP="00A0352C">
            <w:pPr>
              <w:pStyle w:val="ListParagraph"/>
              <w:numPr>
                <w:ilvl w:val="0"/>
                <w:numId w:val="21"/>
              </w:numPr>
              <w:rPr>
                <w:rFonts w:eastAsia="Times New Roman" w:cs="Arial"/>
                <w:szCs w:val="24"/>
                <w:lang w:eastAsia="en-GB"/>
              </w:rPr>
            </w:pPr>
            <w:r>
              <w:rPr>
                <w:rFonts w:eastAsia="Times New Roman" w:cs="Arial"/>
                <w:szCs w:val="24"/>
                <w:lang w:eastAsia="en-GB"/>
              </w:rPr>
              <w:lastRenderedPageBreak/>
              <w:t xml:space="preserve">Patient information leaflet: Priadel 200 mg and 400 mg prolonged-release tablets. Essential Pharma. Last revised July 2022. Accessed via </w:t>
            </w:r>
            <w:hyperlink r:id="rId31" w:history="1">
              <w:r w:rsidR="00096896" w:rsidRPr="00B72B18">
                <w:rPr>
                  <w:rStyle w:val="Hyperlink"/>
                  <w:rFonts w:eastAsia="Times New Roman" w:cs="Arial"/>
                  <w:szCs w:val="24"/>
                  <w:lang w:eastAsia="en-GB"/>
                </w:rPr>
                <w:t>https://www.medicines.org.uk/emc/files/pil.13163.pdf</w:t>
              </w:r>
            </w:hyperlink>
            <w:r w:rsidR="00096896">
              <w:rPr>
                <w:rFonts w:eastAsia="Times New Roman" w:cs="Arial"/>
                <w:szCs w:val="24"/>
                <w:lang w:eastAsia="en-GB"/>
              </w:rPr>
              <w:t xml:space="preserve">. </w:t>
            </w:r>
          </w:p>
          <w:p w14:paraId="5D74BAC1" w14:textId="6B022280" w:rsidR="00093D5F" w:rsidRPr="00093D5F" w:rsidRDefault="00093D5F" w:rsidP="00B87EF0">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Priadel® 520mg/5mL liquid. Essential Pharma.  Date of revision of the text: </w:t>
            </w:r>
            <w:r w:rsidR="00B87EF0">
              <w:rPr>
                <w:rFonts w:eastAsia="Times New Roman" w:cs="Arial"/>
                <w:szCs w:val="24"/>
                <w:lang w:eastAsia="en-GB"/>
              </w:rPr>
              <w:t>26/09/2022</w:t>
            </w:r>
            <w:r w:rsidRPr="00093D5F">
              <w:rPr>
                <w:rFonts w:eastAsia="Times New Roman" w:cs="Arial"/>
                <w:szCs w:val="24"/>
                <w:lang w:eastAsia="en-GB"/>
              </w:rPr>
              <w:t xml:space="preserve">. Accessed via </w:t>
            </w:r>
            <w:r w:rsidR="00B87EF0">
              <w:rPr>
                <w:rFonts w:eastAsia="Times New Roman" w:cs="Arial"/>
                <w:szCs w:val="24"/>
                <w:lang w:eastAsia="en-GB"/>
              </w:rPr>
              <w:t xml:space="preserve"> </w:t>
            </w:r>
            <w:hyperlink r:id="rId32" w:history="1">
              <w:r w:rsidR="00B87EF0" w:rsidRPr="00B72B18">
                <w:rPr>
                  <w:rStyle w:val="Hyperlink"/>
                  <w:rFonts w:eastAsia="Times New Roman" w:cs="Arial"/>
                  <w:szCs w:val="24"/>
                  <w:lang w:eastAsia="en-GB"/>
                </w:rPr>
                <w:t>https://www.medicines.org.uk/emc/product/13164/</w:t>
              </w:r>
            </w:hyperlink>
            <w:r w:rsidR="00B87EF0">
              <w:rPr>
                <w:rFonts w:eastAsia="Times New Roman" w:cs="Arial"/>
                <w:szCs w:val="24"/>
                <w:lang w:eastAsia="en-GB"/>
              </w:rPr>
              <w:t xml:space="preserve"> </w:t>
            </w:r>
            <w:r w:rsidRPr="00093D5F">
              <w:rPr>
                <w:rFonts w:eastAsia="Times New Roman" w:cs="Arial"/>
                <w:szCs w:val="24"/>
                <w:lang w:eastAsia="en-GB"/>
              </w:rPr>
              <w:t xml:space="preserve">on </w:t>
            </w:r>
            <w:r w:rsidR="00B87EF0">
              <w:rPr>
                <w:rFonts w:eastAsia="Times New Roman" w:cs="Arial"/>
                <w:szCs w:val="24"/>
                <w:lang w:eastAsia="en-GB"/>
              </w:rPr>
              <w:t>07/12/23</w:t>
            </w:r>
            <w:r w:rsidRPr="00093D5F">
              <w:rPr>
                <w:rFonts w:eastAsia="Times New Roman" w:cs="Arial"/>
                <w:szCs w:val="24"/>
                <w:lang w:eastAsia="en-GB"/>
              </w:rPr>
              <w:t>.</w:t>
            </w:r>
          </w:p>
          <w:p w14:paraId="622D6A3C" w14:textId="553F2855" w:rsidR="00093D5F" w:rsidRPr="00093D5F" w:rsidRDefault="00093D5F" w:rsidP="00B87EF0">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Patient Information Leaflet. Priadel® 520mg/5mL liquid. Essential Pharma. </w:t>
            </w:r>
            <w:r w:rsidR="00B87EF0">
              <w:rPr>
                <w:rFonts w:eastAsia="Times New Roman" w:cs="Arial"/>
                <w:szCs w:val="24"/>
                <w:lang w:eastAsia="en-GB"/>
              </w:rPr>
              <w:t>Last revised</w:t>
            </w:r>
            <w:r w:rsidRPr="00093D5F">
              <w:rPr>
                <w:rFonts w:eastAsia="Times New Roman" w:cs="Arial"/>
                <w:szCs w:val="24"/>
                <w:lang w:eastAsia="en-GB"/>
              </w:rPr>
              <w:t xml:space="preserve">: </w:t>
            </w:r>
            <w:r w:rsidR="00B87EF0">
              <w:rPr>
                <w:rFonts w:eastAsia="Times New Roman" w:cs="Arial"/>
                <w:szCs w:val="24"/>
                <w:lang w:eastAsia="en-GB"/>
              </w:rPr>
              <w:t>July 2022</w:t>
            </w:r>
            <w:r w:rsidRPr="00093D5F">
              <w:rPr>
                <w:rFonts w:eastAsia="Times New Roman" w:cs="Arial"/>
                <w:szCs w:val="24"/>
                <w:lang w:eastAsia="en-GB"/>
              </w:rPr>
              <w:t xml:space="preserve">. Accessed via </w:t>
            </w:r>
            <w:hyperlink r:id="rId33" w:history="1">
              <w:r w:rsidR="00B87EF0" w:rsidRPr="00B72B18">
                <w:rPr>
                  <w:rStyle w:val="Hyperlink"/>
                  <w:rFonts w:eastAsia="Times New Roman" w:cs="Arial"/>
                  <w:szCs w:val="24"/>
                  <w:lang w:eastAsia="en-GB"/>
                </w:rPr>
                <w:t>https://www.medicines.org.uk/emc/files/pil.13164.pdf</w:t>
              </w:r>
            </w:hyperlink>
            <w:hyperlink r:id="rId34" w:history="1">
              <w:r>
                <w:rPr>
                  <w:rStyle w:val="Hyperlink"/>
                </w:rPr>
                <w:t>https://products.mhra.gov.uk/</w:t>
              </w:r>
            </w:hyperlink>
            <w:r w:rsidRPr="00093D5F">
              <w:rPr>
                <w:rFonts w:eastAsia="Times New Roman" w:cs="Arial"/>
                <w:szCs w:val="24"/>
                <w:lang w:eastAsia="en-GB"/>
              </w:rPr>
              <w:t>.</w:t>
            </w:r>
          </w:p>
          <w:p w14:paraId="03515DC3" w14:textId="69B4A4C6" w:rsidR="00093D5F" w:rsidRPr="00093D5F" w:rsidRDefault="00093D5F" w:rsidP="003C6793">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Camcolit 400 mg, controlled release Lithium Carbonate. Essential Pharma. Date of revision of the text: </w:t>
            </w:r>
            <w:r w:rsidR="003C6793">
              <w:rPr>
                <w:rFonts w:eastAsia="Times New Roman" w:cs="Arial"/>
                <w:szCs w:val="24"/>
                <w:lang w:eastAsia="en-GB"/>
              </w:rPr>
              <w:t>05/10/23</w:t>
            </w:r>
            <w:r w:rsidRPr="00093D5F">
              <w:rPr>
                <w:rFonts w:eastAsia="Times New Roman" w:cs="Arial"/>
                <w:szCs w:val="24"/>
                <w:lang w:eastAsia="en-GB"/>
              </w:rPr>
              <w:t xml:space="preserve">. Accessed via </w:t>
            </w:r>
            <w:hyperlink r:id="rId35" w:history="1">
              <w:r w:rsidR="003C6793" w:rsidRPr="00B72B18">
                <w:rPr>
                  <w:rStyle w:val="Hyperlink"/>
                </w:rPr>
                <w:t>https://www.medicines.org.uk/emc/product/10829</w:t>
              </w:r>
            </w:hyperlink>
            <w:r w:rsidR="003C6793">
              <w:rPr>
                <w:rFonts w:eastAsia="Times New Roman" w:cs="Arial"/>
                <w:szCs w:val="24"/>
                <w:lang w:eastAsia="en-GB"/>
              </w:rPr>
              <w:t xml:space="preserve"> </w:t>
            </w:r>
            <w:r w:rsidRPr="00093D5F">
              <w:rPr>
                <w:rFonts w:eastAsia="Times New Roman" w:cs="Arial"/>
                <w:szCs w:val="24"/>
                <w:lang w:eastAsia="en-GB"/>
              </w:rPr>
              <w:t xml:space="preserve">on </w:t>
            </w:r>
            <w:r w:rsidR="003C6793">
              <w:rPr>
                <w:rFonts w:eastAsia="Times New Roman" w:cs="Arial"/>
                <w:szCs w:val="24"/>
                <w:lang w:eastAsia="en-GB"/>
              </w:rPr>
              <w:t>07/12/23</w:t>
            </w:r>
            <w:r w:rsidRPr="00093D5F">
              <w:rPr>
                <w:rFonts w:eastAsia="Times New Roman" w:cs="Arial"/>
                <w:szCs w:val="24"/>
                <w:lang w:eastAsia="en-GB"/>
              </w:rPr>
              <w:t>.</w:t>
            </w:r>
          </w:p>
          <w:p w14:paraId="6386ACC6" w14:textId="75EE3A0A"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Lithium Carbonate 250mg film coated tablets. Essential Pharma. Date of revision of the text: </w:t>
            </w:r>
            <w:r w:rsidR="003C6793">
              <w:rPr>
                <w:rFonts w:eastAsia="Times New Roman" w:cs="Arial"/>
                <w:szCs w:val="24"/>
                <w:lang w:eastAsia="en-GB"/>
              </w:rPr>
              <w:t>26/09/2022</w:t>
            </w:r>
            <w:r w:rsidRPr="00093D5F">
              <w:rPr>
                <w:rFonts w:eastAsia="Times New Roman" w:cs="Arial"/>
                <w:szCs w:val="24"/>
                <w:lang w:eastAsia="en-GB"/>
              </w:rPr>
              <w:t xml:space="preserve">. Accessed via </w:t>
            </w:r>
            <w:hyperlink r:id="rId36" w:history="1">
              <w:r w:rsidR="003C6793">
                <w:rPr>
                  <w:rStyle w:val="Hyperlink"/>
                  <w:rFonts w:eastAsia="Times New Roman" w:cs="Arial"/>
                  <w:szCs w:val="24"/>
                  <w:lang w:eastAsia="en-GB"/>
                </w:rPr>
                <w:t>https://www.medicines.org.uk/emc/product/10828/</w:t>
              </w:r>
            </w:hyperlink>
            <w:r w:rsidRPr="00093D5F">
              <w:rPr>
                <w:rFonts w:eastAsia="Times New Roman" w:cs="Arial"/>
                <w:szCs w:val="24"/>
                <w:lang w:eastAsia="en-GB"/>
              </w:rPr>
              <w:t xml:space="preserve"> on </w:t>
            </w:r>
            <w:r w:rsidR="003C6793">
              <w:rPr>
                <w:rFonts w:eastAsia="Times New Roman" w:cs="Arial"/>
                <w:szCs w:val="24"/>
                <w:lang w:eastAsia="en-GB"/>
              </w:rPr>
              <w:t>07/12/23</w:t>
            </w:r>
            <w:r w:rsidRPr="00093D5F">
              <w:rPr>
                <w:rFonts w:eastAsia="Times New Roman" w:cs="Arial"/>
                <w:szCs w:val="24"/>
                <w:lang w:eastAsia="en-GB"/>
              </w:rPr>
              <w:t>.</w:t>
            </w:r>
          </w:p>
          <w:p w14:paraId="409F04D8" w14:textId="22545EEF"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Liskonum® 450mg tablets. Teofarma S.r.l. Date of revision of the text: </w:t>
            </w:r>
            <w:r w:rsidR="00096896">
              <w:rPr>
                <w:rFonts w:eastAsia="Times New Roman" w:cs="Arial"/>
                <w:szCs w:val="24"/>
                <w:lang w:eastAsia="en-GB"/>
              </w:rPr>
              <w:t>24/10/2022</w:t>
            </w:r>
            <w:r w:rsidRPr="00093D5F">
              <w:rPr>
                <w:rFonts w:eastAsia="Times New Roman" w:cs="Arial"/>
                <w:szCs w:val="24"/>
                <w:lang w:eastAsia="en-GB"/>
              </w:rPr>
              <w:t xml:space="preserve">. Accessed via </w:t>
            </w:r>
            <w:hyperlink r:id="rId37" w:history="1">
              <w:r w:rsidRPr="00093D5F">
                <w:rPr>
                  <w:rStyle w:val="Hyperlink"/>
                  <w:rFonts w:eastAsia="Times New Roman" w:cs="Arial"/>
                  <w:szCs w:val="24"/>
                  <w:lang w:eastAsia="en-GB"/>
                </w:rPr>
                <w:t>https://products.mhra.gov.uk/</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2F89A5F1" w14:textId="778F073F"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Summary of Product Characteristics. Li-Liquid 509 mg/5mL oral syrup. Rosemont. Date of revision of the text: </w:t>
            </w:r>
            <w:r w:rsidR="00096896">
              <w:rPr>
                <w:rFonts w:eastAsia="Times New Roman" w:cs="Arial"/>
                <w:szCs w:val="24"/>
                <w:lang w:eastAsia="en-GB"/>
              </w:rPr>
              <w:t>19/10/23</w:t>
            </w:r>
            <w:r w:rsidRPr="00093D5F">
              <w:rPr>
                <w:rFonts w:eastAsia="Times New Roman" w:cs="Arial"/>
                <w:szCs w:val="24"/>
                <w:lang w:eastAsia="en-GB"/>
              </w:rPr>
              <w:t xml:space="preserve">. Accessed via </w:t>
            </w:r>
            <w:hyperlink r:id="rId38" w:history="1">
              <w:r w:rsidRPr="00093D5F">
                <w:rPr>
                  <w:rStyle w:val="Hyperlink"/>
                  <w:rFonts w:eastAsia="Times New Roman" w:cs="Arial"/>
                  <w:szCs w:val="24"/>
                  <w:lang w:eastAsia="en-GB"/>
                </w:rPr>
                <w:t>https://www.medicines.org.uk/emc/</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4EAFCF5D" w14:textId="37EA541A"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w:t>
            </w:r>
            <w:r w:rsidR="00096896">
              <w:rPr>
                <w:rFonts w:eastAsia="Times New Roman" w:cs="Arial"/>
                <w:szCs w:val="24"/>
                <w:lang w:eastAsia="en-GB"/>
              </w:rPr>
              <w:t>NG222</w:t>
            </w:r>
            <w:r w:rsidRPr="00093D5F">
              <w:rPr>
                <w:rFonts w:eastAsia="Times New Roman" w:cs="Arial"/>
                <w:szCs w:val="24"/>
                <w:lang w:eastAsia="en-GB"/>
              </w:rPr>
              <w:t xml:space="preserve">: Depression in adults: </w:t>
            </w:r>
            <w:r w:rsidR="00096896">
              <w:rPr>
                <w:rFonts w:eastAsia="Times New Roman" w:cs="Arial"/>
                <w:szCs w:val="24"/>
                <w:lang w:eastAsia="en-GB"/>
              </w:rPr>
              <w:t>treatment</w:t>
            </w:r>
            <w:r w:rsidR="00096896" w:rsidRPr="00093D5F">
              <w:rPr>
                <w:rFonts w:eastAsia="Times New Roman" w:cs="Arial"/>
                <w:szCs w:val="24"/>
                <w:lang w:eastAsia="en-GB"/>
              </w:rPr>
              <w:t xml:space="preserve"> </w:t>
            </w:r>
            <w:r w:rsidRPr="00093D5F">
              <w:rPr>
                <w:rFonts w:eastAsia="Times New Roman" w:cs="Arial"/>
                <w:szCs w:val="24"/>
                <w:lang w:eastAsia="en-GB"/>
              </w:rPr>
              <w:t xml:space="preserve">and management. </w:t>
            </w:r>
            <w:r w:rsidR="00096896">
              <w:rPr>
                <w:rFonts w:eastAsia="Times New Roman" w:cs="Arial"/>
                <w:szCs w:val="24"/>
                <w:lang w:eastAsia="en-GB"/>
              </w:rPr>
              <w:t>June 2022</w:t>
            </w:r>
            <w:r w:rsidRPr="00093D5F">
              <w:rPr>
                <w:rFonts w:eastAsia="Times New Roman" w:cs="Arial"/>
                <w:szCs w:val="24"/>
                <w:lang w:eastAsia="en-GB"/>
              </w:rPr>
              <w:t xml:space="preserve">. Accessed via </w:t>
            </w:r>
            <w:hyperlink r:id="rId39" w:history="1">
              <w:r w:rsidR="00096896">
                <w:rPr>
                  <w:rStyle w:val="Hyperlink"/>
                  <w:rFonts w:eastAsia="Times New Roman" w:cs="Arial"/>
                  <w:szCs w:val="24"/>
                  <w:lang w:eastAsia="en-GB"/>
                </w:rPr>
                <w:t>https://www.nice.org.uk/guidance/ng222</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49B30132" w14:textId="323806AC"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CG185: Bipolar disorder: assessment and management. September 2014 (last updated February 2020). Accessed via </w:t>
            </w:r>
            <w:hyperlink r:id="rId40" w:history="1">
              <w:r w:rsidRPr="00093D5F">
                <w:rPr>
                  <w:rStyle w:val="Hyperlink"/>
                  <w:rFonts w:eastAsia="Times New Roman" w:cs="Arial"/>
                  <w:szCs w:val="24"/>
                  <w:lang w:eastAsia="en-GB"/>
                </w:rPr>
                <w:t>https://www.nice.org.uk/guidance/cg185</w:t>
              </w:r>
            </w:hyperlink>
            <w:r w:rsidRPr="00093D5F">
              <w:rPr>
                <w:rFonts w:eastAsia="Times New Roman" w:cs="Arial"/>
                <w:szCs w:val="24"/>
                <w:lang w:eastAsia="en-GB"/>
              </w:rPr>
              <w:t xml:space="preserve"> on </w:t>
            </w:r>
            <w:r w:rsidR="00096896">
              <w:rPr>
                <w:rFonts w:eastAsia="Times New Roman" w:cs="Arial"/>
                <w:szCs w:val="24"/>
                <w:lang w:eastAsia="en-GB"/>
              </w:rPr>
              <w:t>07/12/23</w:t>
            </w:r>
          </w:p>
          <w:p w14:paraId="7341AFE8" w14:textId="2DB85838"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CG192: Antenatal and postnatal mental health: clinical management and service guidance. Last updated February 2020. Accessed via </w:t>
            </w:r>
            <w:hyperlink r:id="rId41" w:history="1">
              <w:r w:rsidRPr="00093D5F">
                <w:rPr>
                  <w:rStyle w:val="Hyperlink"/>
                  <w:rFonts w:eastAsia="Times New Roman" w:cs="Arial"/>
                  <w:szCs w:val="24"/>
                  <w:lang w:eastAsia="en-GB"/>
                </w:rPr>
                <w:t>https://www.nice.org.uk/guidance/cg192/</w:t>
              </w:r>
            </w:hyperlink>
            <w:r w:rsidRPr="00093D5F">
              <w:rPr>
                <w:rFonts w:eastAsia="Times New Roman" w:cs="Arial"/>
                <w:szCs w:val="24"/>
                <w:lang w:eastAsia="en-GB"/>
              </w:rPr>
              <w:t xml:space="preserve"> on </w:t>
            </w:r>
            <w:r w:rsidR="00096896">
              <w:rPr>
                <w:rFonts w:eastAsia="Times New Roman" w:cs="Arial"/>
                <w:szCs w:val="24"/>
                <w:lang w:eastAsia="en-GB"/>
              </w:rPr>
              <w:t>07/12/23</w:t>
            </w:r>
            <w:r w:rsidRPr="00093D5F">
              <w:rPr>
                <w:rFonts w:eastAsia="Times New Roman" w:cs="Arial"/>
                <w:szCs w:val="24"/>
                <w:lang w:eastAsia="en-GB"/>
              </w:rPr>
              <w:t>.</w:t>
            </w:r>
          </w:p>
          <w:p w14:paraId="3A0641D4" w14:textId="00061FB6" w:rsidR="00093D5F" w:rsidRPr="00093D5F" w:rsidRDefault="00093D5F" w:rsidP="00912E9A">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Specialist Pharmacy Service. Medicines monitoring: Monitoring lithium. </w:t>
            </w:r>
            <w:r w:rsidR="00912E9A">
              <w:rPr>
                <w:rFonts w:eastAsia="Times New Roman" w:cs="Arial"/>
                <w:szCs w:val="24"/>
                <w:lang w:eastAsia="en-GB"/>
              </w:rPr>
              <w:t>Last updated 10/10/23</w:t>
            </w:r>
            <w:r w:rsidRPr="00093D5F">
              <w:rPr>
                <w:rFonts w:eastAsia="Times New Roman" w:cs="Arial"/>
                <w:szCs w:val="24"/>
                <w:lang w:eastAsia="en-GB"/>
              </w:rPr>
              <w:t xml:space="preserve">. Accessed via </w:t>
            </w:r>
            <w:hyperlink r:id="rId42" w:history="1">
              <w:r w:rsidR="00912E9A" w:rsidRPr="00B72B18">
                <w:rPr>
                  <w:rStyle w:val="Hyperlink"/>
                  <w:rFonts w:eastAsia="Times New Roman" w:cs="Arial"/>
                  <w:szCs w:val="24"/>
                  <w:lang w:eastAsia="en-GB"/>
                </w:rPr>
                <w:t>https://www.sps.nhs.uk/monitorings/lithium-monitoring/</w:t>
              </w:r>
            </w:hyperlink>
            <w:r w:rsidR="00912E9A">
              <w:rPr>
                <w:rFonts w:eastAsia="Times New Roman" w:cs="Arial"/>
                <w:szCs w:val="24"/>
                <w:lang w:eastAsia="en-GB"/>
              </w:rPr>
              <w:t xml:space="preserve"> </w:t>
            </w:r>
            <w:r w:rsidRPr="00093D5F">
              <w:rPr>
                <w:rFonts w:eastAsia="Times New Roman" w:cs="Arial"/>
                <w:szCs w:val="24"/>
                <w:lang w:eastAsia="en-GB"/>
              </w:rPr>
              <w:t xml:space="preserve">on </w:t>
            </w:r>
            <w:r w:rsidR="00912E9A">
              <w:rPr>
                <w:rFonts w:eastAsia="Times New Roman" w:cs="Arial"/>
                <w:szCs w:val="24"/>
                <w:lang w:eastAsia="en-GB"/>
              </w:rPr>
              <w:t>07/12/23</w:t>
            </w:r>
            <w:r w:rsidRPr="00093D5F">
              <w:rPr>
                <w:rFonts w:eastAsia="Times New Roman" w:cs="Arial"/>
                <w:szCs w:val="24"/>
                <w:lang w:eastAsia="en-GB"/>
              </w:rPr>
              <w:t xml:space="preserve">. </w:t>
            </w:r>
          </w:p>
          <w:p w14:paraId="1D18473F" w14:textId="77777777"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Taylor D, Barnes T, Young A. The Maudsley Prescribing Guidelines in Psychiatry. 13th ed. London: Wiley-Blackwell; 2018, pp. 205-213.</w:t>
            </w:r>
          </w:p>
          <w:p w14:paraId="4771FE93" w14:textId="77777777"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NICE Clinical Knowledge Summary. Bipolar disorder: Lithium. Last revised November 2020. Accessed via </w:t>
            </w:r>
            <w:hyperlink r:id="rId43" w:history="1">
              <w:r w:rsidRPr="00093D5F">
                <w:rPr>
                  <w:rStyle w:val="Hyperlink"/>
                  <w:rFonts w:eastAsia="Times New Roman" w:cs="Arial"/>
                  <w:szCs w:val="24"/>
                  <w:lang w:eastAsia="en-GB"/>
                </w:rPr>
                <w:t>https://cks.nice.org.uk/topics/bipolar-disorder/prescribing-information/lithium/</w:t>
              </w:r>
            </w:hyperlink>
            <w:r w:rsidRPr="00093D5F">
              <w:rPr>
                <w:rFonts w:eastAsia="Times New Roman" w:cs="Arial"/>
                <w:szCs w:val="24"/>
                <w:lang w:eastAsia="en-GB"/>
              </w:rPr>
              <w:t xml:space="preserve"> on 17/02/2021.</w:t>
            </w:r>
          </w:p>
          <w:p w14:paraId="7B401A33" w14:textId="36B062E0" w:rsidR="00093D5F" w:rsidRPr="00093D5F" w:rsidRDefault="00093D5F" w:rsidP="001E2D3F">
            <w:pPr>
              <w:pStyle w:val="ListParagraph"/>
              <w:numPr>
                <w:ilvl w:val="0"/>
                <w:numId w:val="21"/>
              </w:numPr>
              <w:rPr>
                <w:rFonts w:eastAsia="Times New Roman" w:cs="Arial"/>
                <w:szCs w:val="24"/>
                <w:lang w:eastAsia="en-GB"/>
              </w:rPr>
            </w:pPr>
            <w:r w:rsidRPr="00093D5F">
              <w:rPr>
                <w:rFonts w:eastAsia="Times New Roman" w:cs="Arial"/>
                <w:szCs w:val="24"/>
                <w:lang w:eastAsia="en-GB"/>
              </w:rPr>
              <w:t xml:space="preserve">NHS UK leaflet: Lithium. Accessed via </w:t>
            </w:r>
            <w:hyperlink r:id="rId44" w:history="1">
              <w:r w:rsidRPr="00093D5F">
                <w:rPr>
                  <w:rStyle w:val="Hyperlink"/>
                  <w:rFonts w:cs="Arial"/>
                  <w:szCs w:val="24"/>
                </w:rPr>
                <w:t>https://www.nhs.uk/medicines/lithium/</w:t>
              </w:r>
            </w:hyperlink>
            <w:r w:rsidRPr="00093D5F">
              <w:rPr>
                <w:rFonts w:cs="Arial"/>
                <w:szCs w:val="24"/>
              </w:rPr>
              <w:t xml:space="preserve"> on </w:t>
            </w:r>
            <w:r w:rsidR="00912E9A">
              <w:rPr>
                <w:rFonts w:eastAsia="Times New Roman" w:cs="Arial"/>
                <w:szCs w:val="24"/>
                <w:lang w:eastAsia="en-GB"/>
              </w:rPr>
              <w:t>11/03/24</w:t>
            </w:r>
            <w:r w:rsidRPr="00093D5F">
              <w:rPr>
                <w:rFonts w:eastAsia="Times New Roman" w:cs="Arial"/>
                <w:szCs w:val="24"/>
                <w:lang w:eastAsia="en-GB"/>
              </w:rPr>
              <w:t>.</w:t>
            </w:r>
          </w:p>
          <w:p w14:paraId="691F28DD" w14:textId="1784FF24" w:rsidR="0085244E" w:rsidRPr="00093D5F" w:rsidRDefault="00093D5F" w:rsidP="001E2D3F">
            <w:pPr>
              <w:pStyle w:val="ListParagraph"/>
              <w:numPr>
                <w:ilvl w:val="0"/>
                <w:numId w:val="21"/>
              </w:numPr>
              <w:rPr>
                <w:rFonts w:eastAsia="Times New Roman" w:cs="Arial"/>
                <w:lang w:eastAsia="en-GB"/>
              </w:rPr>
            </w:pPr>
            <w:r w:rsidRPr="00093D5F">
              <w:rPr>
                <w:rFonts w:eastAsia="Times New Roman" w:cs="Arial"/>
                <w:lang w:eastAsia="en-GB"/>
              </w:rPr>
              <w:t xml:space="preserve">National Patient Safety Agency. Safer Lithium Therapy. 2009. Archived resources available via: </w:t>
            </w:r>
            <w:hyperlink r:id="rId45" w:history="1">
              <w:r w:rsidRPr="00B515FA">
                <w:rPr>
                  <w:rStyle w:val="Hyperlink"/>
                  <w:rFonts w:eastAsia="Times New Roman" w:cs="Arial"/>
                  <w:szCs w:val="24"/>
                  <w:lang w:eastAsia="en-GB"/>
                </w:rPr>
                <w:t>[ARCHIVED CONTENT] Safer lithium therapy (nationalarchives.gov.uk)</w:t>
              </w:r>
            </w:hyperlink>
            <w:r w:rsidRPr="00093D5F">
              <w:rPr>
                <w:rFonts w:eastAsia="Times New Roman" w:cs="Arial"/>
                <w:lang w:eastAsia="en-GB"/>
              </w:rPr>
              <w:t xml:space="preserve"> </w:t>
            </w:r>
          </w:p>
        </w:tc>
      </w:tr>
      <w:tr w:rsidR="00767B99" w:rsidRPr="00F321FC" w14:paraId="5BFC9044" w14:textId="77777777" w:rsidTr="00147BFC">
        <w:tc>
          <w:tcPr>
            <w:tcW w:w="2002" w:type="dxa"/>
          </w:tcPr>
          <w:p w14:paraId="2578110D" w14:textId="16C76C27" w:rsidR="00767B99" w:rsidRPr="00F321FC" w:rsidRDefault="00767B99" w:rsidP="00767B99">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459" w:type="dxa"/>
          </w:tcPr>
          <w:p w14:paraId="1D359FBA" w14:textId="04C80C1F" w:rsidR="00FB404F" w:rsidRPr="00FB404F" w:rsidRDefault="007325C3" w:rsidP="00093D5F">
            <w:pPr>
              <w:pStyle w:val="ListParagraph"/>
              <w:numPr>
                <w:ilvl w:val="0"/>
                <w:numId w:val="3"/>
              </w:numPr>
              <w:ind w:left="357" w:hanging="357"/>
              <w:rPr>
                <w:rFonts w:eastAsia="Times New Roman" w:cs="Arial"/>
                <w:lang w:eastAsia="en-GB"/>
              </w:rPr>
            </w:pPr>
            <w:r w:rsidRPr="007325C3">
              <w:rPr>
                <w:rFonts w:eastAsia="Times New Roman" w:cs="Arial"/>
                <w:lang w:eastAsia="en-GB"/>
              </w:rPr>
              <w:t xml:space="preserve">Shared Care for Medicines Guidance – A Standard Approach (RMOC). Available from </w:t>
            </w:r>
            <w:hyperlink r:id="rId46" w:history="1">
              <w:r w:rsidR="007C6C49" w:rsidRPr="005E3410">
                <w:rPr>
                  <w:rStyle w:val="Hyperlink"/>
                </w:rPr>
                <w:t>https://future.nhs.uk/connect.ti/PrescribingMedicinesOptimisation/view?objectId=50763952</w:t>
              </w:r>
            </w:hyperlink>
            <w:r w:rsidR="007C6C49">
              <w:t xml:space="preserve"> </w:t>
            </w:r>
            <w:r w:rsidR="007C6C49" w:rsidRPr="007C6C49">
              <w:t>(login required)</w:t>
            </w:r>
            <w:r w:rsidR="007C6C49">
              <w:t xml:space="preserve"> </w:t>
            </w:r>
          </w:p>
          <w:p w14:paraId="2D3D56F2" w14:textId="77777777" w:rsidR="00FB404F" w:rsidRPr="00FB404F" w:rsidRDefault="00FB404F" w:rsidP="00093D5F">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7"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093D5F">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8"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9"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Default="00854C79" w:rsidP="00C72861"/>
    <w:p w14:paraId="2762BCAE" w14:textId="77777777" w:rsidR="005E007B" w:rsidRDefault="005E007B" w:rsidP="005E007B">
      <w:pPr>
        <w:spacing w:before="0" w:after="160"/>
      </w:pPr>
    </w:p>
    <w:p w14:paraId="28106D76" w14:textId="77777777" w:rsidR="005E007B" w:rsidRDefault="005E007B" w:rsidP="005E007B">
      <w:pPr>
        <w:spacing w:before="0" w:after="160"/>
      </w:pPr>
    </w:p>
    <w:p w14:paraId="65EEEB5E" w14:textId="77777777" w:rsidR="005E007B" w:rsidRDefault="005E007B" w:rsidP="005E007B">
      <w:pPr>
        <w:spacing w:before="0" w:after="160"/>
      </w:pPr>
    </w:p>
    <w:p w14:paraId="6F0BD1BE" w14:textId="6A8075D6" w:rsidR="005E007B" w:rsidRDefault="005E007B">
      <w:pPr>
        <w:spacing w:before="0" w:after="160"/>
      </w:pPr>
      <w:r>
        <w:br w:type="page"/>
      </w:r>
    </w:p>
    <w:p w14:paraId="5D2A9F02" w14:textId="77777777" w:rsidR="005E007B" w:rsidRPr="00CE78DB" w:rsidRDefault="005E007B" w:rsidP="005E007B">
      <w:pPr>
        <w:spacing w:before="0" w:after="0"/>
        <w:ind w:left="77"/>
        <w:rPr>
          <w:rFonts w:eastAsia="Calibri" w:cs="Arial"/>
          <w:b/>
          <w:bCs/>
          <w:sz w:val="24"/>
          <w:szCs w:val="24"/>
        </w:rPr>
      </w:pPr>
      <w:bookmarkStart w:id="30" w:name="Appendix_1"/>
      <w:r w:rsidRPr="00CE78DB">
        <w:rPr>
          <w:rFonts w:eastAsia="Calibri" w:cs="Arial"/>
          <w:b/>
          <w:bCs/>
          <w:sz w:val="24"/>
          <w:szCs w:val="24"/>
        </w:rPr>
        <w:lastRenderedPageBreak/>
        <w:t>Appendix 1</w:t>
      </w:r>
      <w:bookmarkEnd w:id="30"/>
      <w:r w:rsidRPr="00CE78DB">
        <w:rPr>
          <w:rFonts w:eastAsia="Calibri" w:cs="Arial"/>
          <w:b/>
          <w:bCs/>
          <w:sz w:val="24"/>
          <w:szCs w:val="24"/>
        </w:rPr>
        <w:t>: Shared Care Request Letter (Specialist to Primary Care Prescriber)</w:t>
      </w:r>
    </w:p>
    <w:p w14:paraId="472304EA" w14:textId="77777777" w:rsidR="005E007B" w:rsidRPr="005431B2" w:rsidRDefault="005E007B" w:rsidP="005E007B">
      <w:pPr>
        <w:spacing w:before="0" w:after="0" w:line="240" w:lineRule="auto"/>
        <w:ind w:left="77" w:right="9007"/>
        <w:rPr>
          <w:rFonts w:eastAsia="Arial" w:cs="Arial"/>
          <w:b/>
          <w:bCs/>
          <w:sz w:val="16"/>
          <w:szCs w:val="16"/>
        </w:rPr>
      </w:pPr>
    </w:p>
    <w:p w14:paraId="34C74D63" w14:textId="77777777" w:rsidR="003F4313" w:rsidRPr="00296EB1" w:rsidRDefault="003F4313" w:rsidP="003F4313">
      <w:pPr>
        <w:rPr>
          <w:b/>
          <w:bCs/>
          <w:color w:val="000000" w:themeColor="text1"/>
        </w:rPr>
      </w:pPr>
      <w:r w:rsidRPr="00296EB1">
        <w:rPr>
          <w:b/>
          <w:bCs/>
          <w:color w:val="000000" w:themeColor="text1"/>
        </w:rPr>
        <w:t>Specialist contact information</w:t>
      </w:r>
    </w:p>
    <w:p w14:paraId="5CF0A9ED" w14:textId="77777777" w:rsidR="003F4313" w:rsidRPr="00296EB1" w:rsidRDefault="003F4313" w:rsidP="003F4313">
      <w:pPr>
        <w:spacing w:line="240" w:lineRule="auto"/>
        <w:rPr>
          <w:rFonts w:eastAsia="Times New Roman"/>
          <w:i/>
          <w:color w:val="000000" w:themeColor="text1"/>
        </w:rPr>
      </w:pPr>
      <w:r w:rsidRPr="00296EB1">
        <w:rPr>
          <w:rFonts w:eastAsia="Times New Roman"/>
          <w:color w:val="000000" w:themeColor="text1"/>
        </w:rPr>
        <w:t xml:space="preserve">Name: </w:t>
      </w:r>
      <w:r w:rsidRPr="00296EB1">
        <w:rPr>
          <w:rFonts w:eastAsia="Times New Roman"/>
          <w:i/>
          <w:color w:val="000000" w:themeColor="text1"/>
        </w:rPr>
        <w:fldChar w:fldCharType="begin">
          <w:ffData>
            <w:name w:val=""/>
            <w:enabled/>
            <w:calcOnExit w:val="0"/>
            <w:textInput>
              <w:default w:val="[insert nam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name]</w:t>
      </w:r>
      <w:r w:rsidRPr="00296EB1">
        <w:rPr>
          <w:rFonts w:eastAsia="Times New Roman"/>
          <w:i/>
          <w:color w:val="000000" w:themeColor="text1"/>
        </w:rPr>
        <w:fldChar w:fldCharType="end"/>
      </w:r>
    </w:p>
    <w:p w14:paraId="17B3D692" w14:textId="77777777" w:rsidR="003F4313" w:rsidRPr="00296EB1" w:rsidRDefault="003F4313" w:rsidP="003F4313">
      <w:pPr>
        <w:spacing w:line="240" w:lineRule="auto"/>
        <w:rPr>
          <w:rFonts w:eastAsia="Times New Roman"/>
          <w:color w:val="000000" w:themeColor="text1"/>
        </w:rPr>
      </w:pPr>
      <w:r w:rsidRPr="00296EB1">
        <w:rPr>
          <w:rFonts w:eastAsia="Times New Roman"/>
          <w:color w:val="000000" w:themeColor="text1"/>
        </w:rPr>
        <w:t xml:space="preserve">Role and specialty: </w:t>
      </w:r>
      <w:r w:rsidRPr="00296EB1">
        <w:rPr>
          <w:rFonts w:eastAsia="Times New Roman"/>
          <w:i/>
          <w:color w:val="000000" w:themeColor="text1"/>
        </w:rPr>
        <w:fldChar w:fldCharType="begin">
          <w:ffData>
            <w:name w:val=""/>
            <w:enabled/>
            <w:calcOnExit w:val="0"/>
            <w:textInput>
              <w:default w:val="[insert role and specialty]"/>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role and specialty]</w:t>
      </w:r>
      <w:r w:rsidRPr="00296EB1">
        <w:rPr>
          <w:rFonts w:eastAsia="Times New Roman"/>
          <w:i/>
          <w:color w:val="000000" w:themeColor="text1"/>
        </w:rPr>
        <w:fldChar w:fldCharType="end"/>
      </w:r>
    </w:p>
    <w:p w14:paraId="693B60F9" w14:textId="77777777" w:rsidR="003F4313" w:rsidRPr="00296EB1" w:rsidRDefault="003F4313" w:rsidP="003F4313">
      <w:pPr>
        <w:spacing w:line="240" w:lineRule="auto"/>
        <w:rPr>
          <w:rFonts w:eastAsia="Times New Roman"/>
          <w:i/>
          <w:color w:val="000000" w:themeColor="text1"/>
        </w:rPr>
      </w:pPr>
      <w:r w:rsidRPr="00296EB1">
        <w:rPr>
          <w:rFonts w:eastAsia="Times New Roman"/>
          <w:color w:val="000000" w:themeColor="text1"/>
        </w:rPr>
        <w:t xml:space="preserve">Daytime telephone number: </w:t>
      </w:r>
      <w:r w:rsidRPr="00296EB1">
        <w:rPr>
          <w:rFonts w:eastAsia="Times New Roman"/>
          <w:i/>
          <w:color w:val="000000" w:themeColor="text1"/>
        </w:rPr>
        <w:fldChar w:fldCharType="begin">
          <w:ffData>
            <w:name w:val=""/>
            <w:enabled/>
            <w:calcOnExit w:val="0"/>
            <w:textInput>
              <w:default w:val="[insert daytime telephone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daytime telephone number]</w:t>
      </w:r>
      <w:r w:rsidRPr="00296EB1">
        <w:rPr>
          <w:rFonts w:eastAsia="Times New Roman"/>
          <w:i/>
          <w:color w:val="000000" w:themeColor="text1"/>
        </w:rPr>
        <w:fldChar w:fldCharType="end"/>
      </w:r>
    </w:p>
    <w:p w14:paraId="26042AAB" w14:textId="77777777" w:rsidR="003F4313" w:rsidRPr="00296EB1" w:rsidRDefault="003F4313" w:rsidP="003F4313">
      <w:pPr>
        <w:spacing w:line="240" w:lineRule="auto"/>
        <w:rPr>
          <w:rFonts w:eastAsia="Times New Roman"/>
          <w:i/>
          <w:color w:val="000000" w:themeColor="text1"/>
        </w:rPr>
      </w:pPr>
      <w:r w:rsidRPr="00296EB1">
        <w:rPr>
          <w:rFonts w:eastAsia="Times New Roman"/>
          <w:color w:val="000000" w:themeColor="text1"/>
        </w:rPr>
        <w:t xml:space="preserve">Email address: </w:t>
      </w:r>
      <w:r w:rsidRPr="00296EB1">
        <w:rPr>
          <w:rFonts w:eastAsia="Times New Roman"/>
          <w:i/>
          <w:color w:val="000000" w:themeColor="text1"/>
        </w:rPr>
        <w:fldChar w:fldCharType="begin">
          <w:ffData>
            <w:name w:val=""/>
            <w:enabled/>
            <w:calcOnExit w:val="0"/>
            <w:textInput>
              <w:default w:val="[insert email address]"/>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email address]</w:t>
      </w:r>
      <w:r w:rsidRPr="00296EB1">
        <w:rPr>
          <w:rFonts w:eastAsia="Times New Roman"/>
          <w:i/>
          <w:color w:val="000000" w:themeColor="text1"/>
        </w:rPr>
        <w:fldChar w:fldCharType="end"/>
      </w:r>
    </w:p>
    <w:p w14:paraId="08E59F6B" w14:textId="77777777" w:rsidR="003F4313" w:rsidRPr="00296EB1" w:rsidRDefault="003F4313" w:rsidP="003F4313">
      <w:pPr>
        <w:spacing w:line="240" w:lineRule="auto"/>
        <w:rPr>
          <w:rFonts w:eastAsia="Times New Roman"/>
          <w:color w:val="000000" w:themeColor="text1"/>
        </w:rPr>
      </w:pPr>
      <w:r w:rsidRPr="00296EB1">
        <w:rPr>
          <w:rFonts w:eastAsia="Times New Roman"/>
          <w:color w:val="000000" w:themeColor="text1"/>
        </w:rPr>
        <w:t xml:space="preserve">Alternative contact: </w:t>
      </w:r>
      <w:r w:rsidRPr="00296EB1">
        <w:rPr>
          <w:rFonts w:eastAsia="Times New Roman"/>
          <w:i/>
          <w:color w:val="000000" w:themeColor="text1"/>
        </w:rPr>
        <w:fldChar w:fldCharType="begin">
          <w:ffData>
            <w:name w:val=""/>
            <w:enabled/>
            <w:calcOnExit w:val="0"/>
            <w:textInput>
              <w:default w:val="[insert contact information, e.g. for clinic or specialist nurse]"/>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contact information, e.g. for clinic or specialist nurse]</w:t>
      </w:r>
      <w:r w:rsidRPr="00296EB1">
        <w:rPr>
          <w:rFonts w:eastAsia="Times New Roman"/>
          <w:i/>
          <w:color w:val="000000" w:themeColor="text1"/>
        </w:rPr>
        <w:fldChar w:fldCharType="end"/>
      </w:r>
    </w:p>
    <w:p w14:paraId="6C216F4F" w14:textId="77777777" w:rsidR="003F4313" w:rsidRPr="00296EB1" w:rsidRDefault="003F4313" w:rsidP="003F4313">
      <w:pPr>
        <w:rPr>
          <w:color w:val="000000" w:themeColor="text1"/>
        </w:rPr>
      </w:pPr>
      <w:r w:rsidRPr="00296EB1">
        <w:rPr>
          <w:rFonts w:eastAsia="Times New Roman"/>
          <w:color w:val="000000" w:themeColor="text1"/>
        </w:rPr>
        <w:t xml:space="preserve">Out of hours contact details: </w:t>
      </w:r>
      <w:r w:rsidRPr="00296EB1">
        <w:rPr>
          <w:rFonts w:eastAsia="Times New Roman"/>
          <w:i/>
          <w:color w:val="000000" w:themeColor="text1"/>
        </w:rPr>
        <w:fldChar w:fldCharType="begin">
          <w:ffData>
            <w:name w:val=""/>
            <w:enabled/>
            <w:calcOnExit w:val="0"/>
            <w:textInput>
              <w:default w:val="[insert contact information, e.g. for duty docto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contact information, e.g. for duty doctor]</w:t>
      </w:r>
      <w:r w:rsidRPr="00296EB1">
        <w:rPr>
          <w:rFonts w:eastAsia="Times New Roman"/>
          <w:i/>
          <w:color w:val="000000" w:themeColor="text1"/>
        </w:rPr>
        <w:fldChar w:fldCharType="end"/>
      </w:r>
    </w:p>
    <w:p w14:paraId="59B826AE" w14:textId="77777777" w:rsidR="003F4313" w:rsidRPr="005431B2" w:rsidRDefault="003F4313" w:rsidP="003F4313">
      <w:pPr>
        <w:spacing w:after="0" w:line="240" w:lineRule="auto"/>
        <w:rPr>
          <w:rFonts w:eastAsia="Times New Roman"/>
          <w:color w:val="000000" w:themeColor="text1"/>
          <w:sz w:val="16"/>
          <w:szCs w:val="16"/>
        </w:rPr>
      </w:pPr>
    </w:p>
    <w:p w14:paraId="08B0BA28"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 xml:space="preserve">Dear </w:t>
      </w:r>
      <w:r w:rsidRPr="00296EB1">
        <w:rPr>
          <w:rFonts w:eastAsia="Times New Roman"/>
          <w:color w:val="000000" w:themeColor="text1"/>
        </w:rPr>
        <w:tab/>
      </w:r>
      <w:r w:rsidRPr="00296EB1">
        <w:rPr>
          <w:rFonts w:eastAsia="Times New Roman"/>
          <w:i/>
          <w:color w:val="000000" w:themeColor="text1"/>
        </w:rPr>
        <w:fldChar w:fldCharType="begin">
          <w:ffData>
            <w:name w:val="Text57"/>
            <w:enabled/>
            <w:calcOnExit w:val="0"/>
            <w:textInput>
              <w:default w:val="[insert Primary Care Prescriber's name]"/>
            </w:textInput>
          </w:ffData>
        </w:fldChar>
      </w:r>
      <w:r w:rsidRPr="00296EB1">
        <w:rPr>
          <w:rFonts w:eastAsia="Times New Roman"/>
          <w:i/>
          <w:color w:val="000000" w:themeColor="text1"/>
        </w:rPr>
        <w:instrText xml:space="preserve"> </w:instrText>
      </w:r>
      <w:bookmarkStart w:id="31" w:name="Text57"/>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Primary Care Prescriber's name]</w:t>
      </w:r>
      <w:r w:rsidRPr="00296EB1">
        <w:rPr>
          <w:color w:val="000000" w:themeColor="text1"/>
        </w:rPr>
        <w:fldChar w:fldCharType="end"/>
      </w:r>
      <w:bookmarkEnd w:id="31"/>
    </w:p>
    <w:p w14:paraId="7EE234F1" w14:textId="77777777" w:rsidR="003F4313" w:rsidRPr="005431B2" w:rsidRDefault="003F4313" w:rsidP="003F4313">
      <w:pPr>
        <w:spacing w:after="0"/>
        <w:ind w:left="720"/>
        <w:rPr>
          <w:rFonts w:eastAsia="Times New Roman"/>
          <w:color w:val="000000" w:themeColor="text1"/>
          <w:sz w:val="16"/>
          <w:szCs w:val="16"/>
        </w:rPr>
      </w:pPr>
    </w:p>
    <w:p w14:paraId="47160C65"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Patient name:</w:t>
      </w:r>
      <w:r w:rsidRPr="00296EB1">
        <w:rPr>
          <w:rFonts w:eastAsia="Times New Roman"/>
          <w:i/>
          <w:color w:val="000000" w:themeColor="text1"/>
        </w:rPr>
        <w:fldChar w:fldCharType="begin">
          <w:ffData>
            <w:name w:val="Text58"/>
            <w:enabled/>
            <w:calcOnExit w:val="0"/>
            <w:textInput>
              <w:default w:val="[insert patient's name]"/>
            </w:textInput>
          </w:ffData>
        </w:fldChar>
      </w:r>
      <w:r w:rsidRPr="00296EB1">
        <w:rPr>
          <w:rFonts w:eastAsia="Times New Roman"/>
          <w:i/>
          <w:color w:val="000000" w:themeColor="text1"/>
        </w:rPr>
        <w:instrText xml:space="preserve"> </w:instrText>
      </w:r>
      <w:bookmarkStart w:id="32" w:name="Text58"/>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name]</w:t>
      </w:r>
      <w:r w:rsidRPr="00296EB1">
        <w:rPr>
          <w:color w:val="000000" w:themeColor="text1"/>
        </w:rPr>
        <w:fldChar w:fldCharType="end"/>
      </w:r>
      <w:bookmarkEnd w:id="32"/>
    </w:p>
    <w:p w14:paraId="33E6487F" w14:textId="77777777" w:rsidR="003F4313" w:rsidRPr="00296EB1" w:rsidRDefault="003F4313" w:rsidP="003F4313">
      <w:pPr>
        <w:spacing w:after="0"/>
        <w:rPr>
          <w:rFonts w:eastAsia="Times New Roman"/>
          <w:i/>
          <w:color w:val="000000" w:themeColor="text1"/>
        </w:rPr>
      </w:pPr>
      <w:r w:rsidRPr="00296EB1">
        <w:rPr>
          <w:rFonts w:eastAsia="Times New Roman"/>
          <w:color w:val="000000" w:themeColor="text1"/>
        </w:rPr>
        <w:t>Date of birth:</w:t>
      </w:r>
      <w:r w:rsidRPr="00296EB1">
        <w:rPr>
          <w:rFonts w:eastAsia="Times New Roman"/>
          <w:color w:val="000000" w:themeColor="text1"/>
        </w:rPr>
        <w:tab/>
      </w:r>
      <w:r w:rsidRPr="00296EB1">
        <w:rPr>
          <w:rFonts w:eastAsia="Times New Roman"/>
          <w:i/>
          <w:color w:val="000000" w:themeColor="text1"/>
        </w:rPr>
        <w:fldChar w:fldCharType="begin">
          <w:ffData>
            <w:name w:val="Text59"/>
            <w:enabled/>
            <w:calcOnExit w:val="0"/>
            <w:textInput>
              <w:default w:val="[insert date of birth]"/>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date of birth]</w:t>
      </w:r>
      <w:r w:rsidRPr="00296EB1">
        <w:rPr>
          <w:rFonts w:eastAsia="Times New Roman"/>
          <w:i/>
          <w:color w:val="000000" w:themeColor="text1"/>
        </w:rPr>
        <w:fldChar w:fldCharType="end"/>
      </w:r>
    </w:p>
    <w:p w14:paraId="247806C1"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NHS Number</w:t>
      </w:r>
      <w:r w:rsidRPr="00296EB1">
        <w:rPr>
          <w:rFonts w:eastAsia="Times New Roman"/>
          <w:i/>
          <w:color w:val="000000" w:themeColor="text1"/>
        </w:rPr>
        <w:t xml:space="preserve">: </w:t>
      </w:r>
      <w:r w:rsidRPr="00296EB1">
        <w:rPr>
          <w:rFonts w:eastAsia="Times New Roman"/>
          <w:i/>
          <w:color w:val="000000" w:themeColor="text1"/>
        </w:rPr>
        <w:fldChar w:fldCharType="begin">
          <w:ffData>
            <w:name w:val=""/>
            <w:enabled/>
            <w:calcOnExit w:val="0"/>
            <w:textInput>
              <w:default w:val="[insert NHS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NHS Number]</w:t>
      </w:r>
      <w:r w:rsidRPr="00296EB1">
        <w:rPr>
          <w:rFonts w:eastAsia="Times New Roman"/>
          <w:i/>
          <w:color w:val="000000" w:themeColor="text1"/>
        </w:rPr>
        <w:fldChar w:fldCharType="end"/>
      </w:r>
    </w:p>
    <w:p w14:paraId="2BA7F30E"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Diagnosis:</w:t>
      </w:r>
      <w:r w:rsidRPr="00296EB1">
        <w:rPr>
          <w:rFonts w:eastAsia="Times New Roman"/>
          <w:color w:val="000000" w:themeColor="text1"/>
        </w:rPr>
        <w:tab/>
      </w:r>
      <w:r w:rsidRPr="00296EB1">
        <w:rPr>
          <w:rFonts w:eastAsia="Times New Roman"/>
          <w:i/>
          <w:color w:val="000000" w:themeColor="text1"/>
        </w:rPr>
        <w:fldChar w:fldCharType="begin">
          <w:ffData>
            <w:name w:val="Text60"/>
            <w:enabled/>
            <w:calcOnExit w:val="0"/>
            <w:textInput>
              <w:default w:val="[insert diagnosis]"/>
            </w:textInput>
          </w:ffData>
        </w:fldChar>
      </w:r>
      <w:r w:rsidRPr="00296EB1">
        <w:rPr>
          <w:rFonts w:eastAsia="Times New Roman"/>
          <w:i/>
          <w:color w:val="000000" w:themeColor="text1"/>
        </w:rPr>
        <w:instrText xml:space="preserve"> </w:instrText>
      </w:r>
      <w:bookmarkStart w:id="33" w:name="Text60"/>
      <w:r w:rsidRPr="00296EB1">
        <w:rPr>
          <w:rFonts w:eastAsia="Times New Roman"/>
          <w:i/>
          <w:color w:val="000000" w:themeColor="text1"/>
        </w:rPr>
        <w:instrText xml:space="preserve">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diagnosis]</w:t>
      </w:r>
      <w:r w:rsidRPr="00296EB1">
        <w:rPr>
          <w:color w:val="000000" w:themeColor="text1"/>
        </w:rPr>
        <w:fldChar w:fldCharType="end"/>
      </w:r>
      <w:bookmarkEnd w:id="33"/>
    </w:p>
    <w:p w14:paraId="65242ADD" w14:textId="77777777" w:rsidR="003F4313" w:rsidRPr="005431B2" w:rsidRDefault="003F4313" w:rsidP="003F4313">
      <w:pPr>
        <w:spacing w:after="0"/>
        <w:rPr>
          <w:rFonts w:eastAsia="Times New Roman"/>
          <w:color w:val="000000" w:themeColor="text1"/>
          <w:sz w:val="16"/>
          <w:szCs w:val="16"/>
        </w:rPr>
      </w:pPr>
    </w:p>
    <w:p w14:paraId="378D44C4" w14:textId="660E642C" w:rsidR="003F4313" w:rsidRPr="00296EB1" w:rsidRDefault="003F4313" w:rsidP="003F4313">
      <w:pPr>
        <w:spacing w:after="0"/>
        <w:rPr>
          <w:rFonts w:eastAsia="Times New Roman"/>
          <w:i/>
          <w:iCs/>
          <w:color w:val="000000" w:themeColor="text1"/>
        </w:rPr>
      </w:pPr>
      <w:r w:rsidRPr="00296EB1">
        <w:rPr>
          <w:rFonts w:eastAsia="Times New Roman"/>
          <w:color w:val="000000" w:themeColor="text1"/>
        </w:rPr>
        <w:t xml:space="preserve">As per the agreed </w:t>
      </w:r>
      <w:r w:rsidR="00AD4469" w:rsidRPr="00AD4469">
        <w:rPr>
          <w:rFonts w:eastAsia="Times New Roman"/>
          <w:iCs/>
          <w:color w:val="000000" w:themeColor="text1"/>
        </w:rPr>
        <w:t xml:space="preserve">HNY </w:t>
      </w:r>
      <w:r w:rsidRPr="00296EB1">
        <w:rPr>
          <w:rFonts w:eastAsia="Times New Roman"/>
          <w:color w:val="000000" w:themeColor="text1"/>
        </w:rPr>
        <w:t xml:space="preserve">shared care protocol for </w:t>
      </w:r>
      <w:r w:rsidR="00CE78DB">
        <w:rPr>
          <w:rFonts w:eastAsia="Times New Roman"/>
          <w:color w:val="000000" w:themeColor="text1"/>
        </w:rPr>
        <w:t xml:space="preserve">LITHIUM </w:t>
      </w:r>
      <w:r w:rsidR="00CE78DB" w:rsidRPr="00296EB1">
        <w:rPr>
          <w:rFonts w:eastAsia="Times New Roman"/>
          <w:color w:val="000000" w:themeColor="text1"/>
        </w:rPr>
        <w:t>for</w:t>
      </w:r>
      <w:r w:rsidRPr="00296EB1">
        <w:rPr>
          <w:rFonts w:eastAsia="Times New Roman"/>
          <w:color w:val="000000" w:themeColor="text1"/>
        </w:rPr>
        <w:t xml:space="preserve"> the treatment of </w:t>
      </w:r>
      <w:r w:rsidRPr="00296EB1">
        <w:rPr>
          <w:rFonts w:eastAsia="Times New Roman"/>
          <w:i/>
          <w:color w:val="000000" w:themeColor="text1"/>
        </w:rPr>
        <w:fldChar w:fldCharType="begin">
          <w:ffData>
            <w:name w:val="Text62"/>
            <w:enabled/>
            <w:calcOnExit w:val="0"/>
            <w:textInput>
              <w:default w:val="[insert indication]"/>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indication]</w:t>
      </w:r>
      <w:r w:rsidRPr="00296EB1">
        <w:rPr>
          <w:rFonts w:eastAsia="Times New Roman"/>
          <w:i/>
          <w:color w:val="000000" w:themeColor="text1"/>
        </w:rPr>
        <w:fldChar w:fldCharType="end"/>
      </w:r>
      <w:r w:rsidRPr="00296EB1">
        <w:rPr>
          <w:rFonts w:eastAsia="Times New Roman"/>
          <w:i/>
          <w:color w:val="000000" w:themeColor="text1"/>
        </w:rPr>
        <w:t xml:space="preserve">, </w:t>
      </w:r>
      <w:r w:rsidRPr="00296EB1">
        <w:rPr>
          <w:rFonts w:eastAsia="Times New Roman"/>
          <w:color w:val="000000" w:themeColor="text1"/>
        </w:rPr>
        <w:t>this patient is now suitable for prescribing to move to primary care.</w:t>
      </w:r>
    </w:p>
    <w:p w14:paraId="4193DCEF" w14:textId="77777777" w:rsidR="003F4313" w:rsidRPr="005431B2" w:rsidRDefault="003F4313" w:rsidP="003F4313">
      <w:pPr>
        <w:spacing w:after="0"/>
        <w:rPr>
          <w:rFonts w:eastAsia="Times New Roman"/>
          <w:color w:val="000000" w:themeColor="text1"/>
          <w:sz w:val="16"/>
          <w:szCs w:val="16"/>
        </w:rPr>
      </w:pPr>
      <w:r w:rsidRPr="005431B2">
        <w:rPr>
          <w:rFonts w:eastAsia="Times New Roman"/>
          <w:color w:val="000000" w:themeColor="text1"/>
          <w:sz w:val="16"/>
          <w:szCs w:val="16"/>
        </w:rPr>
        <w:t xml:space="preserve"> </w:t>
      </w:r>
    </w:p>
    <w:p w14:paraId="608F8C79"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The patient fulfils criteria for shared care, and I am therefore requesting your agreement to participate in shared care. Where baseline investigations are set out in the shared care protocol, I have carried these out.</w:t>
      </w:r>
    </w:p>
    <w:p w14:paraId="7E0CDB04" w14:textId="77777777" w:rsidR="003F4313" w:rsidRPr="005431B2" w:rsidRDefault="003F4313" w:rsidP="003F4313">
      <w:pPr>
        <w:spacing w:after="0"/>
        <w:rPr>
          <w:rFonts w:eastAsia="Times New Roman"/>
          <w:color w:val="000000" w:themeColor="text1"/>
          <w:sz w:val="16"/>
          <w:szCs w:val="16"/>
        </w:rPr>
      </w:pPr>
    </w:p>
    <w:p w14:paraId="4E3B1938"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I can confirm that the following has happened with regard to this treatment:</w:t>
      </w:r>
    </w:p>
    <w:tbl>
      <w:tblPr>
        <w:tblStyle w:val="TableGrid"/>
        <w:tblW w:w="0" w:type="auto"/>
        <w:tblLook w:val="04A0" w:firstRow="1" w:lastRow="0" w:firstColumn="1" w:lastColumn="0" w:noHBand="0" w:noVBand="1"/>
      </w:tblPr>
      <w:tblGrid>
        <w:gridCol w:w="7090"/>
        <w:gridCol w:w="1910"/>
      </w:tblGrid>
      <w:tr w:rsidR="003F4313" w:rsidRPr="00296EB1" w14:paraId="3E6E2701" w14:textId="77777777" w:rsidTr="005431B2">
        <w:trPr>
          <w:trHeight w:val="485"/>
        </w:trPr>
        <w:tc>
          <w:tcPr>
            <w:tcW w:w="7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3616B" w14:textId="77777777" w:rsidR="003F4313" w:rsidRPr="005431B2" w:rsidRDefault="003F4313" w:rsidP="00973593">
            <w:pPr>
              <w:jc w:val="center"/>
              <w:rPr>
                <w:rFonts w:eastAsia="Times New Roman"/>
                <w:b/>
                <w:color w:val="000000" w:themeColor="text1"/>
                <w:sz w:val="18"/>
                <w:szCs w:val="18"/>
              </w:rPr>
            </w:pPr>
          </w:p>
        </w:tc>
        <w:tc>
          <w:tcPr>
            <w:tcW w:w="1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D2B2C" w14:textId="77777777" w:rsidR="003F4313" w:rsidRPr="005431B2" w:rsidRDefault="003F4313" w:rsidP="00973593">
            <w:pPr>
              <w:jc w:val="center"/>
              <w:rPr>
                <w:rFonts w:eastAsia="Times New Roman"/>
                <w:b/>
                <w:color w:val="000000" w:themeColor="text1"/>
                <w:sz w:val="18"/>
                <w:szCs w:val="18"/>
              </w:rPr>
            </w:pPr>
            <w:r w:rsidRPr="005431B2">
              <w:rPr>
                <w:rFonts w:eastAsia="Times New Roman"/>
                <w:b/>
                <w:color w:val="000000" w:themeColor="text1"/>
                <w:sz w:val="18"/>
                <w:szCs w:val="18"/>
              </w:rPr>
              <w:t>Specialist to complete</w:t>
            </w:r>
          </w:p>
        </w:tc>
      </w:tr>
      <w:tr w:rsidR="003F4313" w:rsidRPr="00296EB1" w14:paraId="1D9E23BE" w14:textId="77777777" w:rsidTr="005431B2">
        <w:trPr>
          <w:trHeight w:val="499"/>
        </w:trPr>
        <w:tc>
          <w:tcPr>
            <w:tcW w:w="7090" w:type="dxa"/>
            <w:tcBorders>
              <w:top w:val="single" w:sz="4" w:space="0" w:color="auto"/>
              <w:left w:val="single" w:sz="4" w:space="0" w:color="auto"/>
              <w:bottom w:val="single" w:sz="4" w:space="0" w:color="auto"/>
              <w:right w:val="single" w:sz="4" w:space="0" w:color="auto"/>
            </w:tcBorders>
            <w:vAlign w:val="center"/>
            <w:hideMark/>
          </w:tcPr>
          <w:p w14:paraId="22DB1A0C"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The patient has been initiated on this therapy and has been on an optimised dose for the following period of time:</w:t>
            </w:r>
          </w:p>
        </w:tc>
        <w:tc>
          <w:tcPr>
            <w:tcW w:w="1910" w:type="dxa"/>
            <w:tcBorders>
              <w:top w:val="single" w:sz="4" w:space="0" w:color="auto"/>
              <w:left w:val="single" w:sz="4" w:space="0" w:color="auto"/>
              <w:bottom w:val="single" w:sz="4" w:space="0" w:color="auto"/>
              <w:right w:val="single" w:sz="4" w:space="0" w:color="auto"/>
            </w:tcBorders>
          </w:tcPr>
          <w:p w14:paraId="4A82F92E" w14:textId="77777777" w:rsidR="003F4313" w:rsidRPr="005431B2" w:rsidRDefault="003F4313" w:rsidP="00973593">
            <w:pPr>
              <w:rPr>
                <w:rFonts w:eastAsia="Times New Roman"/>
                <w:i/>
                <w:color w:val="000000" w:themeColor="text1"/>
                <w:sz w:val="18"/>
                <w:szCs w:val="18"/>
              </w:rPr>
            </w:pPr>
          </w:p>
        </w:tc>
      </w:tr>
      <w:tr w:rsidR="003F4313" w:rsidRPr="00296EB1" w14:paraId="63DB4A92" w14:textId="77777777" w:rsidTr="005431B2">
        <w:trPr>
          <w:trHeight w:val="485"/>
        </w:trPr>
        <w:tc>
          <w:tcPr>
            <w:tcW w:w="7090" w:type="dxa"/>
            <w:tcBorders>
              <w:top w:val="single" w:sz="4" w:space="0" w:color="auto"/>
              <w:left w:val="single" w:sz="4" w:space="0" w:color="auto"/>
              <w:bottom w:val="single" w:sz="4" w:space="0" w:color="auto"/>
              <w:right w:val="single" w:sz="4" w:space="0" w:color="auto"/>
            </w:tcBorders>
            <w:vAlign w:val="center"/>
            <w:hideMark/>
          </w:tcPr>
          <w:p w14:paraId="56CDF52E"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Baseline investigation and monitoring as set out in the shared care documents have been completed and were satisfactory</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643D8A7" w14:textId="77777777" w:rsidR="003F4313" w:rsidRPr="005431B2" w:rsidRDefault="003F4313" w:rsidP="00973593">
            <w:pPr>
              <w:jc w:val="center"/>
              <w:rPr>
                <w:rFonts w:eastAsia="Times New Roman"/>
                <w:i/>
                <w:color w:val="000000" w:themeColor="text1"/>
                <w:sz w:val="18"/>
                <w:szCs w:val="18"/>
              </w:rPr>
            </w:pPr>
            <w:r w:rsidRPr="005431B2">
              <w:rPr>
                <w:rFonts w:eastAsia="Times New Roman"/>
                <w:i/>
                <w:color w:val="000000" w:themeColor="text1"/>
                <w:sz w:val="18"/>
                <w:szCs w:val="18"/>
              </w:rPr>
              <w:t>Yes / No</w:t>
            </w:r>
          </w:p>
        </w:tc>
      </w:tr>
      <w:tr w:rsidR="003F4313" w:rsidRPr="00296EB1" w14:paraId="4C4F4080" w14:textId="77777777" w:rsidTr="005431B2">
        <w:trPr>
          <w:trHeight w:val="485"/>
        </w:trPr>
        <w:tc>
          <w:tcPr>
            <w:tcW w:w="7090" w:type="dxa"/>
            <w:tcBorders>
              <w:top w:val="single" w:sz="4" w:space="0" w:color="auto"/>
              <w:left w:val="single" w:sz="4" w:space="0" w:color="auto"/>
              <w:bottom w:val="single" w:sz="4" w:space="0" w:color="auto"/>
              <w:right w:val="single" w:sz="4" w:space="0" w:color="auto"/>
            </w:tcBorders>
            <w:vAlign w:val="center"/>
            <w:hideMark/>
          </w:tcPr>
          <w:p w14:paraId="6EC89CF3"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The condition being treated has a predictable course of progression and the patient can be suitably maintained by primary care</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13A1548" w14:textId="77777777" w:rsidR="003F4313" w:rsidRPr="005431B2" w:rsidRDefault="003F4313" w:rsidP="00973593">
            <w:pPr>
              <w:jc w:val="center"/>
              <w:rPr>
                <w:rFonts w:eastAsia="Times New Roman"/>
                <w:i/>
                <w:color w:val="000000" w:themeColor="text1"/>
                <w:sz w:val="18"/>
                <w:szCs w:val="18"/>
              </w:rPr>
            </w:pPr>
            <w:r w:rsidRPr="005431B2">
              <w:rPr>
                <w:rFonts w:eastAsia="Times New Roman"/>
                <w:i/>
                <w:color w:val="000000" w:themeColor="text1"/>
                <w:sz w:val="18"/>
                <w:szCs w:val="18"/>
              </w:rPr>
              <w:t>Yes / No</w:t>
            </w:r>
          </w:p>
        </w:tc>
      </w:tr>
      <w:tr w:rsidR="003F4313" w:rsidRPr="00296EB1" w14:paraId="4DEB006A" w14:textId="77777777" w:rsidTr="005431B2">
        <w:trPr>
          <w:trHeight w:val="305"/>
        </w:trPr>
        <w:tc>
          <w:tcPr>
            <w:tcW w:w="7090" w:type="dxa"/>
            <w:tcBorders>
              <w:top w:val="single" w:sz="4" w:space="0" w:color="auto"/>
              <w:left w:val="single" w:sz="4" w:space="0" w:color="auto"/>
              <w:bottom w:val="single" w:sz="4" w:space="0" w:color="auto"/>
              <w:right w:val="single" w:sz="4" w:space="0" w:color="auto"/>
            </w:tcBorders>
            <w:vAlign w:val="center"/>
            <w:hideMark/>
          </w:tcPr>
          <w:p w14:paraId="176A4412"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The risks and benefits of treatment have been explained to the patient</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2C22AA6" w14:textId="77777777" w:rsidR="003F4313" w:rsidRPr="005431B2" w:rsidRDefault="003F4313" w:rsidP="00973593">
            <w:pPr>
              <w:jc w:val="center"/>
              <w:rPr>
                <w:i/>
                <w:color w:val="000000" w:themeColor="text1"/>
                <w:sz w:val="18"/>
                <w:szCs w:val="18"/>
              </w:rPr>
            </w:pPr>
            <w:r w:rsidRPr="005431B2">
              <w:rPr>
                <w:i/>
                <w:color w:val="000000" w:themeColor="text1"/>
                <w:sz w:val="18"/>
                <w:szCs w:val="18"/>
              </w:rPr>
              <w:t>Yes / No</w:t>
            </w:r>
          </w:p>
        </w:tc>
      </w:tr>
      <w:tr w:rsidR="003F4313" w:rsidRPr="00296EB1" w14:paraId="3B3DEBE2" w14:textId="77777777" w:rsidTr="005431B2">
        <w:trPr>
          <w:trHeight w:val="485"/>
        </w:trPr>
        <w:tc>
          <w:tcPr>
            <w:tcW w:w="7090" w:type="dxa"/>
            <w:tcBorders>
              <w:top w:val="single" w:sz="4" w:space="0" w:color="auto"/>
              <w:left w:val="single" w:sz="4" w:space="0" w:color="auto"/>
              <w:bottom w:val="single" w:sz="4" w:space="0" w:color="auto"/>
              <w:right w:val="single" w:sz="4" w:space="0" w:color="auto"/>
            </w:tcBorders>
            <w:vAlign w:val="center"/>
            <w:hideMark/>
          </w:tcPr>
          <w:p w14:paraId="4B7BC1BE"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The roles of the specialist/specialist team/</w:t>
            </w:r>
            <w:r w:rsidRPr="005431B2">
              <w:rPr>
                <w:color w:val="000000" w:themeColor="text1"/>
                <w:sz w:val="18"/>
                <w:szCs w:val="18"/>
              </w:rPr>
              <w:t xml:space="preserve"> </w:t>
            </w:r>
            <w:r w:rsidRPr="005431B2">
              <w:rPr>
                <w:rFonts w:eastAsia="Times New Roman"/>
                <w:i/>
                <w:color w:val="000000" w:themeColor="text1"/>
                <w:sz w:val="18"/>
                <w:szCs w:val="18"/>
              </w:rPr>
              <w:t>Primary Care Prescriber / Patient and pharmacist have been explained and agreed</w:t>
            </w:r>
          </w:p>
        </w:tc>
        <w:tc>
          <w:tcPr>
            <w:tcW w:w="1910" w:type="dxa"/>
            <w:tcBorders>
              <w:top w:val="single" w:sz="4" w:space="0" w:color="auto"/>
              <w:left w:val="single" w:sz="4" w:space="0" w:color="auto"/>
              <w:bottom w:val="single" w:sz="4" w:space="0" w:color="auto"/>
              <w:right w:val="single" w:sz="4" w:space="0" w:color="auto"/>
            </w:tcBorders>
            <w:vAlign w:val="center"/>
            <w:hideMark/>
          </w:tcPr>
          <w:p w14:paraId="65C46AB1" w14:textId="77777777" w:rsidR="003F4313" w:rsidRPr="005431B2" w:rsidRDefault="003F4313" w:rsidP="00973593">
            <w:pPr>
              <w:jc w:val="center"/>
              <w:rPr>
                <w:i/>
                <w:color w:val="000000" w:themeColor="text1"/>
                <w:sz w:val="18"/>
                <w:szCs w:val="18"/>
              </w:rPr>
            </w:pPr>
            <w:r w:rsidRPr="005431B2">
              <w:rPr>
                <w:i/>
                <w:color w:val="000000" w:themeColor="text1"/>
                <w:sz w:val="18"/>
                <w:szCs w:val="18"/>
              </w:rPr>
              <w:t>Yes / No</w:t>
            </w:r>
          </w:p>
        </w:tc>
      </w:tr>
      <w:tr w:rsidR="003F4313" w:rsidRPr="00296EB1" w14:paraId="177B80AA" w14:textId="77777777" w:rsidTr="005431B2">
        <w:trPr>
          <w:trHeight w:val="485"/>
        </w:trPr>
        <w:tc>
          <w:tcPr>
            <w:tcW w:w="7090" w:type="dxa"/>
            <w:tcBorders>
              <w:top w:val="single" w:sz="4" w:space="0" w:color="auto"/>
              <w:left w:val="single" w:sz="4" w:space="0" w:color="auto"/>
              <w:bottom w:val="single" w:sz="4" w:space="0" w:color="auto"/>
              <w:right w:val="single" w:sz="4" w:space="0" w:color="auto"/>
            </w:tcBorders>
            <w:vAlign w:val="center"/>
            <w:hideMark/>
          </w:tcPr>
          <w:p w14:paraId="518EFFF0"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The patient has agreed to this shared care arrangement, understands the need for ongoing monitoring, and has agreed to attend all necessary appointments</w:t>
            </w:r>
          </w:p>
        </w:tc>
        <w:tc>
          <w:tcPr>
            <w:tcW w:w="1910" w:type="dxa"/>
            <w:tcBorders>
              <w:top w:val="single" w:sz="4" w:space="0" w:color="auto"/>
              <w:left w:val="single" w:sz="4" w:space="0" w:color="auto"/>
              <w:bottom w:val="single" w:sz="4" w:space="0" w:color="auto"/>
              <w:right w:val="single" w:sz="4" w:space="0" w:color="auto"/>
            </w:tcBorders>
            <w:vAlign w:val="center"/>
            <w:hideMark/>
          </w:tcPr>
          <w:p w14:paraId="75FD74EC" w14:textId="77777777" w:rsidR="003F4313" w:rsidRPr="005431B2" w:rsidRDefault="003F4313" w:rsidP="00973593">
            <w:pPr>
              <w:jc w:val="center"/>
              <w:rPr>
                <w:i/>
                <w:color w:val="000000" w:themeColor="text1"/>
                <w:sz w:val="18"/>
                <w:szCs w:val="18"/>
              </w:rPr>
            </w:pPr>
            <w:r w:rsidRPr="005431B2">
              <w:rPr>
                <w:i/>
                <w:color w:val="000000" w:themeColor="text1"/>
                <w:sz w:val="18"/>
                <w:szCs w:val="18"/>
              </w:rPr>
              <w:t>Yes / No</w:t>
            </w:r>
          </w:p>
        </w:tc>
      </w:tr>
      <w:tr w:rsidR="003F4313" w:rsidRPr="00296EB1" w14:paraId="4665C5C6" w14:textId="77777777" w:rsidTr="005431B2">
        <w:trPr>
          <w:trHeight w:val="485"/>
        </w:trPr>
        <w:tc>
          <w:tcPr>
            <w:tcW w:w="7090" w:type="dxa"/>
            <w:tcBorders>
              <w:top w:val="single" w:sz="4" w:space="0" w:color="auto"/>
              <w:left w:val="single" w:sz="4" w:space="0" w:color="auto"/>
              <w:bottom w:val="single" w:sz="4" w:space="0" w:color="auto"/>
              <w:right w:val="single" w:sz="4" w:space="0" w:color="auto"/>
            </w:tcBorders>
            <w:vAlign w:val="center"/>
            <w:hideMark/>
          </w:tcPr>
          <w:p w14:paraId="7803C834"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I have enclosed a copy of the shared care protocol which covers this treatment/the SCP can be found here (insert electronic/ web link)</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42479E9" w14:textId="77777777" w:rsidR="003F4313" w:rsidRPr="005431B2" w:rsidRDefault="003F4313" w:rsidP="00973593">
            <w:pPr>
              <w:jc w:val="center"/>
              <w:rPr>
                <w:i/>
                <w:color w:val="000000" w:themeColor="text1"/>
                <w:sz w:val="18"/>
                <w:szCs w:val="18"/>
              </w:rPr>
            </w:pPr>
            <w:r w:rsidRPr="005431B2">
              <w:rPr>
                <w:i/>
                <w:color w:val="000000" w:themeColor="text1"/>
                <w:sz w:val="18"/>
                <w:szCs w:val="18"/>
              </w:rPr>
              <w:t>Yes / No</w:t>
            </w:r>
          </w:p>
        </w:tc>
      </w:tr>
      <w:tr w:rsidR="003F4313" w:rsidRPr="00296EB1" w14:paraId="7D2A1C46" w14:textId="77777777" w:rsidTr="005431B2">
        <w:trPr>
          <w:trHeight w:val="305"/>
        </w:trPr>
        <w:tc>
          <w:tcPr>
            <w:tcW w:w="7090" w:type="dxa"/>
            <w:tcBorders>
              <w:top w:val="single" w:sz="4" w:space="0" w:color="auto"/>
              <w:left w:val="single" w:sz="4" w:space="0" w:color="auto"/>
              <w:bottom w:val="single" w:sz="4" w:space="0" w:color="auto"/>
              <w:right w:val="single" w:sz="4" w:space="0" w:color="auto"/>
            </w:tcBorders>
            <w:vAlign w:val="center"/>
            <w:hideMark/>
          </w:tcPr>
          <w:p w14:paraId="49610682"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I have included with the letter copies of the information the patient has received</w:t>
            </w:r>
          </w:p>
        </w:tc>
        <w:tc>
          <w:tcPr>
            <w:tcW w:w="1910" w:type="dxa"/>
            <w:tcBorders>
              <w:top w:val="single" w:sz="4" w:space="0" w:color="auto"/>
              <w:left w:val="single" w:sz="4" w:space="0" w:color="auto"/>
              <w:bottom w:val="single" w:sz="4" w:space="0" w:color="auto"/>
              <w:right w:val="single" w:sz="4" w:space="0" w:color="auto"/>
            </w:tcBorders>
            <w:vAlign w:val="center"/>
            <w:hideMark/>
          </w:tcPr>
          <w:p w14:paraId="2A43914E" w14:textId="77777777" w:rsidR="003F4313" w:rsidRPr="005431B2" w:rsidRDefault="003F4313" w:rsidP="00973593">
            <w:pPr>
              <w:jc w:val="center"/>
              <w:rPr>
                <w:i/>
                <w:color w:val="000000" w:themeColor="text1"/>
                <w:sz w:val="18"/>
                <w:szCs w:val="18"/>
              </w:rPr>
            </w:pPr>
            <w:r w:rsidRPr="005431B2">
              <w:rPr>
                <w:i/>
                <w:color w:val="000000" w:themeColor="text1"/>
                <w:sz w:val="18"/>
                <w:szCs w:val="18"/>
              </w:rPr>
              <w:t>Yes / No</w:t>
            </w:r>
          </w:p>
        </w:tc>
      </w:tr>
      <w:tr w:rsidR="003F4313" w:rsidRPr="00296EB1" w14:paraId="3930DE8F" w14:textId="77777777" w:rsidTr="005431B2">
        <w:trPr>
          <w:trHeight w:val="291"/>
        </w:trPr>
        <w:tc>
          <w:tcPr>
            <w:tcW w:w="7090" w:type="dxa"/>
            <w:tcBorders>
              <w:top w:val="single" w:sz="4" w:space="0" w:color="auto"/>
              <w:left w:val="single" w:sz="4" w:space="0" w:color="auto"/>
              <w:bottom w:val="single" w:sz="4" w:space="0" w:color="auto"/>
              <w:right w:val="single" w:sz="4" w:space="0" w:color="auto"/>
            </w:tcBorders>
            <w:vAlign w:val="center"/>
            <w:hideMark/>
          </w:tcPr>
          <w:p w14:paraId="538B9972" w14:textId="77777777" w:rsidR="003F4313" w:rsidRPr="005431B2" w:rsidRDefault="003F4313" w:rsidP="00973593">
            <w:pPr>
              <w:jc w:val="right"/>
              <w:rPr>
                <w:rFonts w:eastAsia="Times New Roman"/>
                <w:i/>
                <w:color w:val="000000" w:themeColor="text1"/>
                <w:sz w:val="18"/>
                <w:szCs w:val="18"/>
              </w:rPr>
            </w:pPr>
            <w:r w:rsidRPr="005431B2">
              <w:rPr>
                <w:rFonts w:eastAsia="Times New Roman"/>
                <w:i/>
                <w:color w:val="000000" w:themeColor="text1"/>
                <w:sz w:val="18"/>
                <w:szCs w:val="18"/>
              </w:rPr>
              <w:t>I have provided the patient with sufficient medication to last until</w:t>
            </w:r>
          </w:p>
        </w:tc>
        <w:tc>
          <w:tcPr>
            <w:tcW w:w="1910" w:type="dxa"/>
            <w:tcBorders>
              <w:top w:val="single" w:sz="4" w:space="0" w:color="auto"/>
              <w:left w:val="single" w:sz="4" w:space="0" w:color="auto"/>
              <w:bottom w:val="single" w:sz="4" w:space="0" w:color="auto"/>
              <w:right w:val="single" w:sz="4" w:space="0" w:color="auto"/>
            </w:tcBorders>
          </w:tcPr>
          <w:p w14:paraId="2D8A9989" w14:textId="77777777" w:rsidR="003F4313" w:rsidRPr="005431B2" w:rsidRDefault="003F4313" w:rsidP="00973593">
            <w:pPr>
              <w:rPr>
                <w:rFonts w:eastAsia="Times New Roman"/>
                <w:i/>
                <w:color w:val="000000" w:themeColor="text1"/>
                <w:sz w:val="18"/>
                <w:szCs w:val="18"/>
              </w:rPr>
            </w:pPr>
          </w:p>
        </w:tc>
      </w:tr>
      <w:tr w:rsidR="003F4313" w:rsidRPr="00296EB1" w14:paraId="24AF5B90" w14:textId="77777777" w:rsidTr="005431B2">
        <w:trPr>
          <w:trHeight w:val="319"/>
        </w:trPr>
        <w:tc>
          <w:tcPr>
            <w:tcW w:w="7090" w:type="dxa"/>
            <w:tcBorders>
              <w:top w:val="single" w:sz="4" w:space="0" w:color="auto"/>
              <w:left w:val="single" w:sz="4" w:space="0" w:color="auto"/>
              <w:bottom w:val="single" w:sz="4" w:space="0" w:color="auto"/>
              <w:right w:val="single" w:sz="4" w:space="0" w:color="auto"/>
            </w:tcBorders>
            <w:vAlign w:val="center"/>
            <w:hideMark/>
          </w:tcPr>
          <w:p w14:paraId="22D6D9DC" w14:textId="77777777" w:rsidR="003F4313" w:rsidRPr="00296EB1" w:rsidRDefault="003F4313" w:rsidP="00973593">
            <w:pPr>
              <w:jc w:val="right"/>
              <w:rPr>
                <w:rFonts w:eastAsia="Times New Roman"/>
                <w:i/>
                <w:color w:val="000000" w:themeColor="text1"/>
                <w:sz w:val="20"/>
                <w:szCs w:val="20"/>
              </w:rPr>
            </w:pPr>
            <w:r w:rsidRPr="00296EB1">
              <w:rPr>
                <w:rFonts w:eastAsia="Times New Roman"/>
                <w:i/>
                <w:color w:val="000000" w:themeColor="text1"/>
                <w:sz w:val="20"/>
                <w:szCs w:val="20"/>
              </w:rPr>
              <w:t>I have arranged a follow up with this patient in the following timescale</w:t>
            </w:r>
          </w:p>
        </w:tc>
        <w:tc>
          <w:tcPr>
            <w:tcW w:w="1910" w:type="dxa"/>
            <w:tcBorders>
              <w:top w:val="single" w:sz="4" w:space="0" w:color="auto"/>
              <w:left w:val="single" w:sz="4" w:space="0" w:color="auto"/>
              <w:bottom w:val="single" w:sz="4" w:space="0" w:color="auto"/>
              <w:right w:val="single" w:sz="4" w:space="0" w:color="auto"/>
            </w:tcBorders>
          </w:tcPr>
          <w:p w14:paraId="27709275" w14:textId="77777777" w:rsidR="003F4313" w:rsidRPr="00296EB1" w:rsidRDefault="003F4313" w:rsidP="00973593">
            <w:pPr>
              <w:rPr>
                <w:rFonts w:eastAsia="Times New Roman"/>
                <w:i/>
                <w:color w:val="000000" w:themeColor="text1"/>
                <w:sz w:val="20"/>
                <w:szCs w:val="20"/>
              </w:rPr>
            </w:pPr>
          </w:p>
        </w:tc>
      </w:tr>
    </w:tbl>
    <w:p w14:paraId="76585A9B" w14:textId="77777777" w:rsidR="003F4313" w:rsidRPr="005431B2" w:rsidRDefault="003F4313" w:rsidP="003F4313">
      <w:pPr>
        <w:spacing w:after="0"/>
        <w:rPr>
          <w:rFonts w:eastAsia="Times New Roman"/>
          <w:color w:val="000000" w:themeColor="text1"/>
          <w:sz w:val="16"/>
          <w:szCs w:val="16"/>
        </w:rPr>
      </w:pPr>
    </w:p>
    <w:p w14:paraId="3698EE76" w14:textId="170B80C5" w:rsidR="003F4313" w:rsidRPr="00296EB1" w:rsidRDefault="003F4313" w:rsidP="003F4313">
      <w:pPr>
        <w:rPr>
          <w:color w:val="000000" w:themeColor="text1"/>
        </w:rPr>
      </w:pPr>
      <w:r w:rsidRPr="00296EB1">
        <w:rPr>
          <w:color w:val="000000" w:themeColor="text1"/>
        </w:rPr>
        <w:lastRenderedPageBreak/>
        <w:t>Treatment w</w:t>
      </w:r>
      <w:r w:rsidR="00AD4469">
        <w:rPr>
          <w:color w:val="000000" w:themeColor="text1"/>
        </w:rPr>
        <w:t xml:space="preserve">ith </w:t>
      </w:r>
      <w:r w:rsidRPr="00296EB1">
        <w:rPr>
          <w:color w:val="000000" w:themeColor="text1"/>
        </w:rPr>
        <w:t xml:space="preserve"> </w:t>
      </w:r>
      <w:r w:rsidR="00AD4469">
        <w:rPr>
          <w:i/>
          <w:color w:val="000000" w:themeColor="text1"/>
        </w:rPr>
        <w:fldChar w:fldCharType="begin">
          <w:ffData>
            <w:name w:val=""/>
            <w:enabled/>
            <w:calcOnExit w:val="0"/>
            <w:textInput>
              <w:default w:val="[insert brand and formulation"/>
            </w:textInput>
          </w:ffData>
        </w:fldChar>
      </w:r>
      <w:r w:rsidR="00AD4469">
        <w:rPr>
          <w:i/>
          <w:color w:val="000000" w:themeColor="text1"/>
        </w:rPr>
        <w:instrText xml:space="preserve"> FORMTEXT </w:instrText>
      </w:r>
      <w:r w:rsidR="00AD4469">
        <w:rPr>
          <w:i/>
          <w:color w:val="000000" w:themeColor="text1"/>
        </w:rPr>
      </w:r>
      <w:r w:rsidR="00AD4469">
        <w:rPr>
          <w:i/>
          <w:color w:val="000000" w:themeColor="text1"/>
        </w:rPr>
        <w:fldChar w:fldCharType="separate"/>
      </w:r>
      <w:r w:rsidR="00AD4469">
        <w:rPr>
          <w:i/>
          <w:noProof/>
          <w:color w:val="000000" w:themeColor="text1"/>
        </w:rPr>
        <w:t>[insert brand and formulation</w:t>
      </w:r>
      <w:r w:rsidR="00AD4469">
        <w:rPr>
          <w:i/>
          <w:color w:val="000000" w:themeColor="text1"/>
        </w:rPr>
        <w:fldChar w:fldCharType="end"/>
      </w:r>
      <w:r w:rsidR="00AD4469">
        <w:rPr>
          <w:i/>
          <w:color w:val="000000" w:themeColor="text1"/>
        </w:rPr>
        <w:t xml:space="preserve"> </w:t>
      </w:r>
      <w:r w:rsidR="00AD4469">
        <w:rPr>
          <w:iCs/>
          <w:color w:val="000000" w:themeColor="text1"/>
        </w:rPr>
        <w:t xml:space="preserve">was </w:t>
      </w:r>
      <w:r w:rsidRPr="00296EB1">
        <w:rPr>
          <w:color w:val="000000" w:themeColor="text1"/>
        </w:rPr>
        <w:t xml:space="preserve">started on </w:t>
      </w:r>
      <w:bookmarkStart w:id="34" w:name="_Hlk204264205"/>
      <w:r w:rsidRPr="00296EB1">
        <w:rPr>
          <w:i/>
          <w:color w:val="000000" w:themeColor="text1"/>
        </w:rPr>
        <w:fldChar w:fldCharType="begin">
          <w:ffData>
            <w:name w:val="Text63"/>
            <w:enabled/>
            <w:calcOnExit w:val="0"/>
            <w:textInput>
              <w:default w:val="[insert date started]"/>
            </w:textInput>
          </w:ffData>
        </w:fldChar>
      </w:r>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date started]</w:t>
      </w:r>
      <w:r w:rsidRPr="00296EB1">
        <w:rPr>
          <w:i/>
          <w:color w:val="000000" w:themeColor="text1"/>
        </w:rPr>
        <w:fldChar w:fldCharType="end"/>
      </w:r>
      <w:bookmarkEnd w:id="34"/>
      <w:r w:rsidRPr="00296EB1">
        <w:rPr>
          <w:color w:val="000000" w:themeColor="text1"/>
        </w:rPr>
        <w:t xml:space="preserve"> and the current dose is </w:t>
      </w:r>
      <w:r w:rsidRPr="00296EB1">
        <w:rPr>
          <w:i/>
          <w:color w:val="000000" w:themeColor="text1"/>
        </w:rPr>
        <w:fldChar w:fldCharType="begin">
          <w:ffData>
            <w:name w:val="Text64"/>
            <w:enabled/>
            <w:calcOnExit w:val="0"/>
            <w:textInput>
              <w:default w:val="[insert dose and frequency]"/>
            </w:textInput>
          </w:ffData>
        </w:fldChar>
      </w:r>
      <w:bookmarkStart w:id="35" w:name="Text64"/>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dose and frequency]</w:t>
      </w:r>
      <w:r w:rsidRPr="00296EB1">
        <w:rPr>
          <w:color w:val="000000" w:themeColor="text1"/>
        </w:rPr>
        <w:fldChar w:fldCharType="end"/>
      </w:r>
      <w:bookmarkEnd w:id="35"/>
      <w:r w:rsidRPr="00296EB1">
        <w:rPr>
          <w:color w:val="000000" w:themeColor="text1"/>
        </w:rPr>
        <w:t>.</w:t>
      </w:r>
    </w:p>
    <w:p w14:paraId="2400EBFA" w14:textId="77777777" w:rsidR="003F4313" w:rsidRPr="00296EB1" w:rsidRDefault="003F4313" w:rsidP="003F4313">
      <w:pPr>
        <w:rPr>
          <w:rFonts w:eastAsia="Times New Roman"/>
          <w:color w:val="000000" w:themeColor="text1"/>
        </w:rPr>
      </w:pPr>
      <w:r w:rsidRPr="00296EB1">
        <w:rPr>
          <w:rFonts w:eastAsia="Times New Roman"/>
          <w:color w:val="000000" w:themeColor="text1"/>
        </w:rPr>
        <w:t xml:space="preserve">If you are in agreement, please undertake monitoring and treatment from </w:t>
      </w:r>
      <w:r w:rsidRPr="00296EB1">
        <w:rPr>
          <w:rFonts w:eastAsia="Times New Roman"/>
          <w:i/>
          <w:iCs/>
          <w:color w:val="000000" w:themeColor="text1"/>
        </w:rPr>
        <w:fldChar w:fldCharType="begin">
          <w:ffData>
            <w:name w:val="Text65"/>
            <w:enabled/>
            <w:calcOnExit w:val="0"/>
            <w:textInput>
              <w:default w:val="[insert date]"/>
            </w:textInput>
          </w:ffData>
        </w:fldChar>
      </w:r>
      <w:r w:rsidRPr="00296EB1">
        <w:rPr>
          <w:rFonts w:eastAsia="Times New Roman"/>
          <w:i/>
          <w:iCs/>
          <w:color w:val="000000" w:themeColor="text1"/>
        </w:rPr>
        <w:instrText xml:space="preserve"> FORMTEXT </w:instrText>
      </w:r>
      <w:r w:rsidRPr="00296EB1">
        <w:rPr>
          <w:rFonts w:eastAsia="Times New Roman"/>
          <w:i/>
          <w:iCs/>
          <w:color w:val="000000" w:themeColor="text1"/>
        </w:rPr>
      </w:r>
      <w:r w:rsidRPr="00296EB1">
        <w:rPr>
          <w:rFonts w:eastAsia="Times New Roman"/>
          <w:i/>
          <w:iCs/>
          <w:color w:val="000000" w:themeColor="text1"/>
        </w:rPr>
        <w:fldChar w:fldCharType="separate"/>
      </w:r>
      <w:r w:rsidRPr="00296EB1">
        <w:rPr>
          <w:rFonts w:eastAsia="Times New Roman"/>
          <w:i/>
          <w:iCs/>
          <w:noProof/>
          <w:color w:val="000000" w:themeColor="text1"/>
        </w:rPr>
        <w:t>[insert date]</w:t>
      </w:r>
      <w:r w:rsidRPr="00296EB1">
        <w:rPr>
          <w:rFonts w:eastAsia="Times New Roman"/>
          <w:i/>
          <w:iCs/>
          <w:color w:val="000000" w:themeColor="text1"/>
        </w:rPr>
        <w:fldChar w:fldCharType="end"/>
      </w:r>
      <w:r w:rsidRPr="00296EB1">
        <w:rPr>
          <w:rFonts w:eastAsia="Times New Roman"/>
          <w:i/>
          <w:iCs/>
          <w:color w:val="000000" w:themeColor="text1"/>
        </w:rPr>
        <w:t xml:space="preserve"> </w:t>
      </w:r>
      <w:r w:rsidRPr="00296EB1">
        <w:rPr>
          <w:rFonts w:eastAsia="Times New Roman"/>
          <w:color w:val="000000" w:themeColor="text1"/>
        </w:rPr>
        <w:t xml:space="preserve">NB: </w:t>
      </w:r>
      <w:r>
        <w:rPr>
          <w:rFonts w:eastAsia="Times New Roman"/>
          <w:color w:val="000000" w:themeColor="text1"/>
        </w:rPr>
        <w:t xml:space="preserve">The </w:t>
      </w:r>
      <w:r w:rsidRPr="00296EB1">
        <w:rPr>
          <w:rFonts w:eastAsia="Times New Roman"/>
          <w:color w:val="000000" w:themeColor="text1"/>
        </w:rPr>
        <w:t xml:space="preserve">date must be at least </w:t>
      </w:r>
      <w:r>
        <w:rPr>
          <w:rFonts w:eastAsia="Times New Roman"/>
          <w:color w:val="000000" w:themeColor="text1"/>
        </w:rPr>
        <w:t xml:space="preserve">&lt;e.g. </w:t>
      </w:r>
      <w:r w:rsidRPr="00243742">
        <w:rPr>
          <w:rFonts w:eastAsia="Times New Roman"/>
          <w:color w:val="000000" w:themeColor="text1"/>
        </w:rPr>
        <w:t>12 weeks&gt;</w:t>
      </w:r>
      <w:r w:rsidRPr="00296EB1">
        <w:rPr>
          <w:rFonts w:eastAsia="Times New Roman"/>
          <w:color w:val="000000" w:themeColor="text1"/>
        </w:rPr>
        <w:t xml:space="preserve"> from </w:t>
      </w:r>
      <w:r>
        <w:rPr>
          <w:rFonts w:eastAsia="Times New Roman"/>
          <w:color w:val="000000" w:themeColor="text1"/>
        </w:rPr>
        <w:t xml:space="preserve">the </w:t>
      </w:r>
      <w:r w:rsidRPr="00296EB1">
        <w:rPr>
          <w:rFonts w:eastAsia="Times New Roman"/>
          <w:color w:val="000000" w:themeColor="text1"/>
        </w:rPr>
        <w:t>initiation of treatment.</w:t>
      </w:r>
    </w:p>
    <w:p w14:paraId="526997C2" w14:textId="77777777" w:rsidR="003F4313" w:rsidRPr="00296EB1" w:rsidRDefault="003F4313" w:rsidP="003F4313">
      <w:pPr>
        <w:rPr>
          <w:rFonts w:eastAsia="Times New Roman"/>
          <w:color w:val="000000" w:themeColor="text1"/>
        </w:rPr>
      </w:pPr>
      <w:r w:rsidRPr="00296EB1">
        <w:rPr>
          <w:rFonts w:eastAsia="Times New Roman"/>
          <w:color w:val="000000" w:themeColor="text1"/>
        </w:rPr>
        <w:t xml:space="preserve">The next blood monitoring is due on </w:t>
      </w:r>
      <w:r w:rsidRPr="00296EB1">
        <w:rPr>
          <w:i/>
          <w:color w:val="000000" w:themeColor="text1"/>
        </w:rPr>
        <w:fldChar w:fldCharType="begin">
          <w:ffData>
            <w:name w:val="Text63"/>
            <w:enabled/>
            <w:calcOnExit w:val="0"/>
            <w:textInput>
              <w:default w:val="[insert date]"/>
            </w:textInput>
          </w:ffData>
        </w:fldChar>
      </w:r>
      <w:bookmarkStart w:id="36" w:name="Text63"/>
      <w:r w:rsidRPr="00296EB1">
        <w:rPr>
          <w:i/>
          <w:color w:val="000000" w:themeColor="text1"/>
        </w:rPr>
        <w:instrText xml:space="preserve"> FORMTEXT </w:instrText>
      </w:r>
      <w:r w:rsidRPr="00296EB1">
        <w:rPr>
          <w:i/>
          <w:color w:val="000000" w:themeColor="text1"/>
        </w:rPr>
      </w:r>
      <w:r w:rsidRPr="00296EB1">
        <w:rPr>
          <w:i/>
          <w:color w:val="000000" w:themeColor="text1"/>
        </w:rPr>
        <w:fldChar w:fldCharType="separate"/>
      </w:r>
      <w:r w:rsidRPr="00296EB1">
        <w:rPr>
          <w:i/>
          <w:noProof/>
          <w:color w:val="000000" w:themeColor="text1"/>
        </w:rPr>
        <w:t>[insert date]</w:t>
      </w:r>
      <w:r w:rsidRPr="00296EB1">
        <w:rPr>
          <w:color w:val="000000" w:themeColor="text1"/>
        </w:rPr>
        <w:fldChar w:fldCharType="end"/>
      </w:r>
      <w:bookmarkEnd w:id="36"/>
      <w:r w:rsidRPr="00296EB1">
        <w:rPr>
          <w:i/>
          <w:color w:val="000000" w:themeColor="text1"/>
        </w:rPr>
        <w:t xml:space="preserve"> </w:t>
      </w:r>
      <w:r w:rsidRPr="00296EB1">
        <w:rPr>
          <w:rFonts w:eastAsia="Times New Roman"/>
          <w:color w:val="000000" w:themeColor="text1"/>
        </w:rPr>
        <w:t>and should be continued in line with the shared care guideline.</w:t>
      </w:r>
    </w:p>
    <w:p w14:paraId="37EFC152" w14:textId="77777777" w:rsidR="003F4313" w:rsidRPr="00296EB1" w:rsidRDefault="003F4313" w:rsidP="003F4313">
      <w:pPr>
        <w:rPr>
          <w:rFonts w:eastAsia="Times New Roman"/>
          <w:color w:val="000000" w:themeColor="text1"/>
        </w:rPr>
      </w:pPr>
      <w:r w:rsidRPr="00296EB1">
        <w:rPr>
          <w:rFonts w:eastAsia="Times New Roman"/>
          <w:color w:val="000000" w:themeColor="text1"/>
        </w:rPr>
        <w:t>Please respond to this request for shared care, in writing, within 14 days of the request being made</w:t>
      </w:r>
      <w:r>
        <w:rPr>
          <w:rFonts w:eastAsia="Times New Roman"/>
          <w:color w:val="000000" w:themeColor="text1"/>
        </w:rPr>
        <w:t>,</w:t>
      </w:r>
      <w:r w:rsidRPr="00296EB1">
        <w:rPr>
          <w:rFonts w:eastAsia="Times New Roman"/>
          <w:color w:val="000000" w:themeColor="text1"/>
        </w:rPr>
        <w:t xml:space="preserve"> where possible.</w:t>
      </w:r>
    </w:p>
    <w:p w14:paraId="01A1A47F" w14:textId="77777777" w:rsidR="00C51C17" w:rsidRDefault="00C51C17" w:rsidP="005E007B">
      <w:pPr>
        <w:spacing w:before="0" w:after="0" w:line="240" w:lineRule="auto"/>
        <w:ind w:left="77" w:right="9007"/>
        <w:rPr>
          <w:rFonts w:eastAsia="Arial" w:cs="Arial"/>
          <w:b/>
          <w:bCs/>
          <w:sz w:val="28"/>
          <w:szCs w:val="28"/>
        </w:rPr>
      </w:pPr>
    </w:p>
    <w:p w14:paraId="754131A8" w14:textId="77777777" w:rsidR="00C51C17" w:rsidRDefault="00C51C17" w:rsidP="005E007B">
      <w:pPr>
        <w:spacing w:before="0" w:after="0" w:line="240" w:lineRule="auto"/>
        <w:ind w:left="77" w:right="9007"/>
        <w:rPr>
          <w:rFonts w:eastAsia="Arial" w:cs="Arial"/>
          <w:b/>
          <w:bCs/>
          <w:sz w:val="28"/>
          <w:szCs w:val="28"/>
        </w:rPr>
      </w:pPr>
    </w:p>
    <w:p w14:paraId="37562CF9" w14:textId="78C38358" w:rsidR="005E007B" w:rsidRPr="00CE78DB" w:rsidRDefault="003F4313" w:rsidP="003F4313">
      <w:pPr>
        <w:spacing w:before="0" w:after="160"/>
        <w:rPr>
          <w:rFonts w:eastAsia="Arial" w:cs="Arial"/>
          <w:b/>
          <w:bCs/>
          <w:sz w:val="28"/>
          <w:szCs w:val="28"/>
        </w:rPr>
      </w:pPr>
      <w:r>
        <w:rPr>
          <w:rFonts w:eastAsia="Arial" w:cs="Arial"/>
          <w:b/>
          <w:bCs/>
          <w:sz w:val="28"/>
          <w:szCs w:val="28"/>
        </w:rPr>
        <w:br w:type="page"/>
      </w:r>
      <w:bookmarkStart w:id="37" w:name="Appendix_2"/>
      <w:r w:rsidR="005E007B" w:rsidRPr="00CE78DB">
        <w:rPr>
          <w:rFonts w:cs="Arial"/>
          <w:b/>
          <w:bCs/>
          <w:sz w:val="24"/>
        </w:rPr>
        <w:lastRenderedPageBreak/>
        <w:t>Appendix 2</w:t>
      </w:r>
      <w:bookmarkEnd w:id="37"/>
      <w:r w:rsidR="005E007B" w:rsidRPr="00CE78DB">
        <w:rPr>
          <w:rFonts w:cs="Arial"/>
          <w:b/>
          <w:bCs/>
          <w:sz w:val="24"/>
        </w:rPr>
        <w:t>: Shared Care Agreement letter (primary Care Prescriber to Specialist</w:t>
      </w:r>
      <w:r w:rsidR="00371504" w:rsidRPr="00CE78DB">
        <w:rPr>
          <w:rFonts w:cs="Arial"/>
          <w:b/>
          <w:bCs/>
          <w:sz w:val="24"/>
        </w:rPr>
        <w:t>)</w:t>
      </w:r>
    </w:p>
    <w:p w14:paraId="104AD9EE" w14:textId="77777777" w:rsidR="003F4313" w:rsidRDefault="003F4313" w:rsidP="003F4313">
      <w:pPr>
        <w:rPr>
          <w:rFonts w:cs="Arial"/>
          <w:sz w:val="24"/>
        </w:rPr>
      </w:pPr>
    </w:p>
    <w:p w14:paraId="6ECBD4C2" w14:textId="77777777" w:rsidR="003F4313" w:rsidRPr="00296EB1" w:rsidRDefault="003F4313" w:rsidP="003F4313">
      <w:pPr>
        <w:rPr>
          <w:b/>
          <w:color w:val="000000" w:themeColor="text1"/>
        </w:rPr>
      </w:pPr>
      <w:r w:rsidRPr="00296EB1">
        <w:rPr>
          <w:b/>
          <w:color w:val="000000" w:themeColor="text1"/>
        </w:rPr>
        <w:t>Primary Care Prescriber Response</w:t>
      </w:r>
    </w:p>
    <w:p w14:paraId="1CAE1362"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Dear</w:t>
      </w:r>
      <w:r w:rsidRPr="00296EB1">
        <w:rPr>
          <w:rFonts w:eastAsia="Times New Roman"/>
          <w:color w:val="000000" w:themeColor="text1"/>
        </w:rPr>
        <w:tab/>
        <w:t xml:space="preserve"> </w:t>
      </w:r>
      <w:r w:rsidRPr="00296EB1">
        <w:rPr>
          <w:rFonts w:eastAsia="Times New Roman"/>
          <w:i/>
          <w:color w:val="000000" w:themeColor="text1"/>
        </w:rPr>
        <w:fldChar w:fldCharType="begin">
          <w:ffData>
            <w:name w:val="Text69"/>
            <w:enabled/>
            <w:calcOnExit w:val="0"/>
            <w:textInput>
              <w:default w:val="[insert Doctor's name]"/>
            </w:textInput>
          </w:ffData>
        </w:fldChar>
      </w:r>
      <w:bookmarkStart w:id="38" w:name="Text69"/>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Doctor's name]</w:t>
      </w:r>
      <w:r w:rsidRPr="00296EB1">
        <w:rPr>
          <w:color w:val="000000" w:themeColor="text1"/>
        </w:rPr>
        <w:fldChar w:fldCharType="end"/>
      </w:r>
      <w:bookmarkEnd w:id="38"/>
    </w:p>
    <w:p w14:paraId="5D2A68A6" w14:textId="77777777" w:rsidR="003F4313" w:rsidRPr="00296EB1" w:rsidRDefault="003F4313" w:rsidP="003F4313">
      <w:pPr>
        <w:spacing w:after="0"/>
        <w:rPr>
          <w:rFonts w:eastAsia="Times New Roman"/>
          <w:color w:val="000000" w:themeColor="text1"/>
        </w:rPr>
      </w:pPr>
    </w:p>
    <w:p w14:paraId="3EFD7E2C" w14:textId="77777777" w:rsidR="003F4313" w:rsidRPr="00296EB1" w:rsidRDefault="003F4313" w:rsidP="003F4313">
      <w:pPr>
        <w:spacing w:after="0"/>
        <w:rPr>
          <w:rFonts w:eastAsia="Times New Roman"/>
          <w:i/>
          <w:color w:val="000000" w:themeColor="text1"/>
        </w:rPr>
      </w:pPr>
      <w:r w:rsidRPr="00296EB1">
        <w:rPr>
          <w:rFonts w:eastAsia="Times New Roman"/>
          <w:color w:val="000000" w:themeColor="text1"/>
        </w:rPr>
        <w:t xml:space="preserve">Patient </w:t>
      </w:r>
      <w:r w:rsidRPr="00296EB1">
        <w:rPr>
          <w:rFonts w:eastAsia="Times New Roman"/>
          <w:i/>
          <w:color w:val="000000" w:themeColor="text1"/>
        </w:rPr>
        <w:fldChar w:fldCharType="begin">
          <w:ffData>
            <w:name w:val="Text70"/>
            <w:enabled/>
            <w:calcOnExit w:val="0"/>
            <w:textInput>
              <w:default w:val="[insert Patient's name]"/>
            </w:textInput>
          </w:ffData>
        </w:fldChar>
      </w:r>
      <w:bookmarkStart w:id="39" w:name="Text70"/>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name]</w:t>
      </w:r>
      <w:r w:rsidRPr="00296EB1">
        <w:rPr>
          <w:color w:val="000000" w:themeColor="text1"/>
        </w:rPr>
        <w:fldChar w:fldCharType="end"/>
      </w:r>
      <w:bookmarkEnd w:id="39"/>
    </w:p>
    <w:p w14:paraId="1DDE3DF8" w14:textId="77777777" w:rsidR="003F4313" w:rsidRPr="00296EB1" w:rsidRDefault="003F4313" w:rsidP="003F4313">
      <w:pPr>
        <w:spacing w:after="0"/>
        <w:rPr>
          <w:rFonts w:eastAsia="Times New Roman"/>
          <w:i/>
          <w:color w:val="000000" w:themeColor="text1"/>
        </w:rPr>
      </w:pPr>
    </w:p>
    <w:p w14:paraId="71FC20B7" w14:textId="77777777" w:rsidR="003F4313" w:rsidRPr="00296EB1" w:rsidRDefault="003F4313" w:rsidP="003F4313">
      <w:pPr>
        <w:spacing w:after="0"/>
        <w:rPr>
          <w:rFonts w:eastAsia="Times New Roman"/>
          <w:iCs/>
          <w:color w:val="000000" w:themeColor="text1"/>
        </w:rPr>
      </w:pPr>
      <w:r w:rsidRPr="00296EB1">
        <w:rPr>
          <w:rFonts w:eastAsia="Times New Roman"/>
          <w:color w:val="000000" w:themeColor="text1"/>
        </w:rPr>
        <w:t>NHS Number</w:t>
      </w:r>
      <w:r w:rsidRPr="00296EB1">
        <w:rPr>
          <w:rFonts w:eastAsia="Times New Roman"/>
          <w:color w:val="000000" w:themeColor="text1"/>
        </w:rPr>
        <w:tab/>
      </w:r>
      <w:r w:rsidRPr="00296EB1">
        <w:rPr>
          <w:rFonts w:eastAsia="Times New Roman"/>
          <w:i/>
          <w:color w:val="000000" w:themeColor="text1"/>
        </w:rPr>
        <w:fldChar w:fldCharType="begin">
          <w:ffData>
            <w:name w:val=""/>
            <w:enabled/>
            <w:calcOnExit w:val="0"/>
            <w:textInput>
              <w:default w:val="[insert NHS Number]"/>
            </w:textInput>
          </w:ffData>
        </w:fldChar>
      </w:r>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NHS Number]</w:t>
      </w:r>
      <w:r w:rsidRPr="00296EB1">
        <w:rPr>
          <w:rFonts w:eastAsia="Times New Roman"/>
          <w:i/>
          <w:color w:val="000000" w:themeColor="text1"/>
        </w:rPr>
        <w:fldChar w:fldCharType="end"/>
      </w:r>
    </w:p>
    <w:p w14:paraId="70801393" w14:textId="77777777" w:rsidR="003F4313" w:rsidRPr="00296EB1" w:rsidRDefault="003F4313" w:rsidP="003F4313">
      <w:pPr>
        <w:spacing w:after="0"/>
        <w:rPr>
          <w:rFonts w:eastAsia="Times New Roman"/>
          <w:color w:val="000000" w:themeColor="text1"/>
        </w:rPr>
      </w:pPr>
    </w:p>
    <w:p w14:paraId="7C7BDB6B" w14:textId="3E2656BC" w:rsidR="003F4313" w:rsidRPr="00296EB1" w:rsidRDefault="003F4313" w:rsidP="003F4313">
      <w:pPr>
        <w:spacing w:after="0"/>
        <w:rPr>
          <w:rFonts w:eastAsia="Times New Roman"/>
          <w:i/>
          <w:iCs/>
          <w:color w:val="000000" w:themeColor="text1"/>
        </w:rPr>
      </w:pPr>
      <w:r w:rsidRPr="00296EB1">
        <w:rPr>
          <w:rFonts w:eastAsia="Times New Roman"/>
          <w:color w:val="000000" w:themeColor="text1"/>
        </w:rPr>
        <w:t>Identifier</w:t>
      </w:r>
      <w:r w:rsidR="00CE78DB">
        <w:rPr>
          <w:rFonts w:eastAsia="Times New Roman"/>
          <w:color w:val="000000" w:themeColor="text1"/>
        </w:rPr>
        <w:t xml:space="preserve"> </w:t>
      </w:r>
      <w:r w:rsidRPr="00296EB1">
        <w:rPr>
          <w:rFonts w:eastAsia="Times New Roman"/>
          <w:i/>
          <w:color w:val="000000" w:themeColor="text1"/>
        </w:rPr>
        <w:fldChar w:fldCharType="begin">
          <w:ffData>
            <w:name w:val="Text71"/>
            <w:enabled/>
            <w:calcOnExit w:val="0"/>
            <w:textInput>
              <w:default w:val="[insert patient's date of birth and/oraddress]"/>
            </w:textInput>
          </w:ffData>
        </w:fldChar>
      </w:r>
      <w:bookmarkStart w:id="40" w:name="Text71"/>
      <w:r w:rsidRPr="00296EB1">
        <w:rPr>
          <w:rFonts w:eastAsia="Times New Roman"/>
          <w:i/>
          <w:color w:val="000000" w:themeColor="text1"/>
        </w:rPr>
        <w:instrText xml:space="preserve"> FORMTEXT </w:instrText>
      </w:r>
      <w:r w:rsidRPr="00296EB1">
        <w:rPr>
          <w:rFonts w:eastAsia="Times New Roman"/>
          <w:i/>
          <w:color w:val="000000" w:themeColor="text1"/>
        </w:rPr>
      </w:r>
      <w:r w:rsidRPr="00296EB1">
        <w:rPr>
          <w:rFonts w:eastAsia="Times New Roman"/>
          <w:i/>
          <w:color w:val="000000" w:themeColor="text1"/>
        </w:rPr>
        <w:fldChar w:fldCharType="separate"/>
      </w:r>
      <w:r w:rsidRPr="00296EB1">
        <w:rPr>
          <w:rFonts w:eastAsia="Times New Roman"/>
          <w:i/>
          <w:noProof/>
          <w:color w:val="000000" w:themeColor="text1"/>
        </w:rPr>
        <w:t>[insert patient's date of birth and/oraddress]</w:t>
      </w:r>
      <w:r w:rsidRPr="00296EB1">
        <w:rPr>
          <w:color w:val="000000" w:themeColor="text1"/>
        </w:rPr>
        <w:fldChar w:fldCharType="end"/>
      </w:r>
      <w:bookmarkEnd w:id="40"/>
    </w:p>
    <w:p w14:paraId="369DA32A" w14:textId="77777777" w:rsidR="003F4313" w:rsidRPr="00296EB1" w:rsidRDefault="003F4313" w:rsidP="003F4313">
      <w:pPr>
        <w:spacing w:after="0"/>
        <w:rPr>
          <w:rFonts w:eastAsia="Times New Roman"/>
          <w:i/>
          <w:iCs/>
          <w:color w:val="000000" w:themeColor="text1"/>
        </w:rPr>
      </w:pPr>
    </w:p>
    <w:p w14:paraId="58894F82" w14:textId="77777777" w:rsidR="003F4313" w:rsidRPr="00296EB1" w:rsidRDefault="003F4313" w:rsidP="003F4313">
      <w:pPr>
        <w:spacing w:after="0"/>
        <w:rPr>
          <w:rFonts w:eastAsia="Times New Roman"/>
          <w:color w:val="000000" w:themeColor="text1"/>
        </w:rPr>
      </w:pPr>
    </w:p>
    <w:p w14:paraId="26BC127C" w14:textId="77777777" w:rsidR="003F4313" w:rsidRPr="00296EB1" w:rsidRDefault="003F4313" w:rsidP="003F4313">
      <w:pPr>
        <w:spacing w:after="0"/>
        <w:rPr>
          <w:rFonts w:eastAsia="Times New Roman"/>
          <w:color w:val="000000" w:themeColor="text1"/>
        </w:rPr>
      </w:pPr>
      <w:r w:rsidRPr="00296EB1">
        <w:rPr>
          <w:rFonts w:eastAsia="Times New Roman"/>
          <w:color w:val="000000" w:themeColor="text1"/>
        </w:rPr>
        <w:t>Thank you for your request for me to accept prescribing responsibility for this patient under a shared care agreement and to provide the following treatment:</w:t>
      </w:r>
    </w:p>
    <w:p w14:paraId="181DD3E0" w14:textId="77777777" w:rsidR="003F4313" w:rsidRPr="00296EB1" w:rsidRDefault="003F4313" w:rsidP="003F4313">
      <w:pPr>
        <w:spacing w:after="0"/>
        <w:rPr>
          <w:rFonts w:eastAsia="Times New Roman"/>
          <w:color w:val="000000" w:themeColor="text1"/>
        </w:rPr>
      </w:pPr>
    </w:p>
    <w:tbl>
      <w:tblPr>
        <w:tblStyle w:val="TableGrid"/>
        <w:tblW w:w="0" w:type="auto"/>
        <w:tblLook w:val="04A0" w:firstRow="1" w:lastRow="0" w:firstColumn="1" w:lastColumn="0" w:noHBand="0" w:noVBand="1"/>
      </w:tblPr>
      <w:tblGrid>
        <w:gridCol w:w="2690"/>
        <w:gridCol w:w="2443"/>
        <w:gridCol w:w="2608"/>
        <w:gridCol w:w="2715"/>
      </w:tblGrid>
      <w:tr w:rsidR="003C5FC3" w:rsidRPr="00296EB1" w14:paraId="6B703CBC" w14:textId="77777777" w:rsidTr="003C5FC3">
        <w:tc>
          <w:tcPr>
            <w:tcW w:w="2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5EE06" w14:textId="77777777" w:rsidR="003C5FC3" w:rsidRPr="00296EB1" w:rsidRDefault="003C5FC3" w:rsidP="00973593">
            <w:pPr>
              <w:jc w:val="center"/>
              <w:rPr>
                <w:rFonts w:eastAsia="Times New Roman"/>
                <w:color w:val="000000" w:themeColor="text1"/>
              </w:rPr>
            </w:pPr>
            <w:r w:rsidRPr="00296EB1">
              <w:rPr>
                <w:rFonts w:eastAsia="Times New Roman"/>
                <w:color w:val="000000" w:themeColor="text1"/>
              </w:rPr>
              <w:t>Medicine</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F600A" w14:textId="085A2FD2" w:rsidR="003C5FC3" w:rsidRPr="00296EB1" w:rsidRDefault="003C5FC3" w:rsidP="00973593">
            <w:pPr>
              <w:jc w:val="center"/>
              <w:rPr>
                <w:rFonts w:eastAsia="Times New Roman"/>
                <w:color w:val="000000" w:themeColor="text1"/>
              </w:rPr>
            </w:pPr>
            <w:r>
              <w:rPr>
                <w:rFonts w:eastAsia="Times New Roman"/>
                <w:color w:val="000000" w:themeColor="text1"/>
              </w:rPr>
              <w:t>Indication</w:t>
            </w:r>
          </w:p>
        </w:tc>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9381E" w14:textId="0B5686D5" w:rsidR="003C5FC3" w:rsidRPr="00296EB1" w:rsidRDefault="003C5FC3" w:rsidP="00973593">
            <w:pPr>
              <w:jc w:val="center"/>
              <w:rPr>
                <w:rFonts w:eastAsia="Times New Roman"/>
                <w:color w:val="000000" w:themeColor="text1"/>
              </w:rPr>
            </w:pPr>
            <w:r w:rsidRPr="00296EB1">
              <w:rPr>
                <w:rFonts w:eastAsia="Times New Roman"/>
                <w:color w:val="000000" w:themeColor="text1"/>
              </w:rPr>
              <w:t>Route</w:t>
            </w:r>
          </w:p>
        </w:tc>
        <w:tc>
          <w:tcPr>
            <w:tcW w:w="2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AABDF" w14:textId="77777777" w:rsidR="003C5FC3" w:rsidRPr="00296EB1" w:rsidRDefault="003C5FC3" w:rsidP="00973593">
            <w:pPr>
              <w:jc w:val="center"/>
              <w:rPr>
                <w:rFonts w:eastAsia="Times New Roman"/>
                <w:color w:val="000000" w:themeColor="text1"/>
              </w:rPr>
            </w:pPr>
            <w:r w:rsidRPr="00296EB1">
              <w:rPr>
                <w:rFonts w:eastAsia="Times New Roman"/>
                <w:color w:val="000000" w:themeColor="text1"/>
              </w:rPr>
              <w:t>Dose &amp; frequency</w:t>
            </w:r>
          </w:p>
        </w:tc>
      </w:tr>
      <w:tr w:rsidR="003C5FC3" w:rsidRPr="00296EB1" w14:paraId="638B630F" w14:textId="77777777" w:rsidTr="003C5FC3">
        <w:tc>
          <w:tcPr>
            <w:tcW w:w="2690" w:type="dxa"/>
            <w:tcBorders>
              <w:top w:val="single" w:sz="4" w:space="0" w:color="auto"/>
              <w:left w:val="single" w:sz="4" w:space="0" w:color="auto"/>
              <w:bottom w:val="single" w:sz="4" w:space="0" w:color="auto"/>
              <w:right w:val="single" w:sz="4" w:space="0" w:color="auto"/>
            </w:tcBorders>
          </w:tcPr>
          <w:p w14:paraId="4BD6F760" w14:textId="77777777" w:rsidR="003C5FC3" w:rsidRPr="00296EB1" w:rsidRDefault="003C5FC3" w:rsidP="00973593">
            <w:pPr>
              <w:rPr>
                <w:rFonts w:eastAsia="Times New Roman"/>
                <w:color w:val="000000" w:themeColor="text1"/>
              </w:rPr>
            </w:pPr>
          </w:p>
        </w:tc>
        <w:tc>
          <w:tcPr>
            <w:tcW w:w="2443" w:type="dxa"/>
            <w:tcBorders>
              <w:top w:val="single" w:sz="4" w:space="0" w:color="auto"/>
              <w:left w:val="single" w:sz="4" w:space="0" w:color="auto"/>
              <w:bottom w:val="single" w:sz="4" w:space="0" w:color="auto"/>
              <w:right w:val="single" w:sz="4" w:space="0" w:color="auto"/>
            </w:tcBorders>
          </w:tcPr>
          <w:p w14:paraId="735477D4" w14:textId="77777777" w:rsidR="003C5FC3" w:rsidRPr="00296EB1" w:rsidRDefault="003C5FC3" w:rsidP="00973593">
            <w:pPr>
              <w:rPr>
                <w:rFonts w:eastAsia="Times New Roman"/>
                <w:color w:val="000000" w:themeColor="text1"/>
              </w:rPr>
            </w:pPr>
          </w:p>
        </w:tc>
        <w:tc>
          <w:tcPr>
            <w:tcW w:w="2608" w:type="dxa"/>
            <w:tcBorders>
              <w:top w:val="single" w:sz="4" w:space="0" w:color="auto"/>
              <w:left w:val="single" w:sz="4" w:space="0" w:color="auto"/>
              <w:bottom w:val="single" w:sz="4" w:space="0" w:color="auto"/>
              <w:right w:val="single" w:sz="4" w:space="0" w:color="auto"/>
            </w:tcBorders>
          </w:tcPr>
          <w:p w14:paraId="10DCFA1D" w14:textId="5E941E1F" w:rsidR="003C5FC3" w:rsidRPr="00296EB1" w:rsidRDefault="003C5FC3" w:rsidP="00973593">
            <w:pPr>
              <w:rPr>
                <w:rFonts w:eastAsia="Times New Roman"/>
                <w:color w:val="000000" w:themeColor="text1"/>
              </w:rPr>
            </w:pPr>
          </w:p>
        </w:tc>
        <w:tc>
          <w:tcPr>
            <w:tcW w:w="2715" w:type="dxa"/>
            <w:tcBorders>
              <w:top w:val="single" w:sz="4" w:space="0" w:color="auto"/>
              <w:left w:val="single" w:sz="4" w:space="0" w:color="auto"/>
              <w:bottom w:val="single" w:sz="4" w:space="0" w:color="auto"/>
              <w:right w:val="single" w:sz="4" w:space="0" w:color="auto"/>
            </w:tcBorders>
          </w:tcPr>
          <w:p w14:paraId="0873F505" w14:textId="77777777" w:rsidR="003C5FC3" w:rsidRPr="00296EB1" w:rsidRDefault="003C5FC3" w:rsidP="00973593">
            <w:pPr>
              <w:rPr>
                <w:rFonts w:eastAsia="Times New Roman"/>
                <w:color w:val="000000" w:themeColor="text1"/>
              </w:rPr>
            </w:pPr>
          </w:p>
        </w:tc>
      </w:tr>
    </w:tbl>
    <w:p w14:paraId="1AE017E9" w14:textId="77777777" w:rsidR="003F4313" w:rsidRPr="00296EB1" w:rsidRDefault="003F4313" w:rsidP="003F4313">
      <w:pPr>
        <w:spacing w:after="0"/>
        <w:rPr>
          <w:rFonts w:eastAsia="Times New Roman"/>
          <w:color w:val="000000" w:themeColor="text1"/>
        </w:rPr>
      </w:pPr>
    </w:p>
    <w:p w14:paraId="237A67B6" w14:textId="284330F7" w:rsidR="003C5FC3" w:rsidRDefault="003F4313" w:rsidP="003F4313">
      <w:pPr>
        <w:spacing w:after="0"/>
        <w:rPr>
          <w:rFonts w:eastAsia="Times New Roman"/>
          <w:bCs/>
          <w:color w:val="000000" w:themeColor="text1"/>
        </w:rPr>
      </w:pPr>
      <w:r w:rsidRPr="00296EB1">
        <w:rPr>
          <w:rFonts w:eastAsia="Times New Roman"/>
          <w:bCs/>
          <w:color w:val="000000" w:themeColor="text1"/>
        </w:rPr>
        <w:t xml:space="preserve">I can confirm that </w:t>
      </w:r>
    </w:p>
    <w:p w14:paraId="22020A81" w14:textId="28B5DC64" w:rsidR="003F4313" w:rsidRDefault="003C5FC3" w:rsidP="003F4313">
      <w:pPr>
        <w:spacing w:after="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59264" behindDoc="0" locked="0" layoutInCell="1" allowOverlap="1" wp14:anchorId="1BC6C01D" wp14:editId="5CFB7C39">
                <wp:simplePos x="0" y="0"/>
                <wp:positionH relativeFrom="margin">
                  <wp:posOffset>57150</wp:posOffset>
                </wp:positionH>
                <wp:positionV relativeFrom="paragraph">
                  <wp:posOffset>51435</wp:posOffset>
                </wp:positionV>
                <wp:extent cx="304800" cy="238125"/>
                <wp:effectExtent l="0" t="0" r="19050" b="28575"/>
                <wp:wrapNone/>
                <wp:docPr id="1809398005" name="Rectangle 1"/>
                <wp:cNvGraphicFramePr/>
                <a:graphic xmlns:a="http://schemas.openxmlformats.org/drawingml/2006/main">
                  <a:graphicData uri="http://schemas.microsoft.com/office/word/2010/wordprocessingShape">
                    <wps:wsp>
                      <wps:cNvSpPr/>
                      <wps:spPr>
                        <a:xfrm>
                          <a:off x="0" y="0"/>
                          <a:ext cx="3048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4463" id="Rectangle 1" o:spid="_x0000_s1026" style="position:absolute;margin-left:4.5pt;margin-top:4.05pt;width:24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" fillcolor="white [3201]" strokecolor="black [3200]" strokeweight="1pt">
                <w10:wrap anchorx="margin"/>
              </v:rect>
            </w:pict>
          </mc:Fallback>
        </mc:AlternateContent>
      </w:r>
      <w:r>
        <w:rPr>
          <w:rFonts w:eastAsia="Times New Roman"/>
          <w:bCs/>
          <w:color w:val="000000" w:themeColor="text1"/>
        </w:rPr>
        <w:tab/>
      </w:r>
      <w:r w:rsidR="003F4313" w:rsidRPr="00296EB1">
        <w:rPr>
          <w:rFonts w:eastAsia="Times New Roman"/>
          <w:bCs/>
          <w:color w:val="000000" w:themeColor="text1"/>
        </w:rPr>
        <w:t xml:space="preserve">I am willing to take on this responsibility from </w:t>
      </w:r>
      <w:r w:rsidR="003F4313" w:rsidRPr="00296EB1">
        <w:rPr>
          <w:i/>
          <w:color w:val="000000" w:themeColor="text1"/>
        </w:rPr>
        <w:fldChar w:fldCharType="begin">
          <w:ffData>
            <w:name w:val="Text63"/>
            <w:enabled/>
            <w:calcOnExit w:val="0"/>
            <w:textInput>
              <w:default w:val="[insert date]"/>
            </w:textInput>
          </w:ffData>
        </w:fldChar>
      </w:r>
      <w:r w:rsidR="003F4313" w:rsidRPr="00296EB1">
        <w:rPr>
          <w:i/>
          <w:color w:val="000000" w:themeColor="text1"/>
        </w:rPr>
        <w:instrText xml:space="preserve"> FORMTEXT </w:instrText>
      </w:r>
      <w:r w:rsidR="003F4313" w:rsidRPr="00296EB1">
        <w:rPr>
          <w:i/>
          <w:color w:val="000000" w:themeColor="text1"/>
        </w:rPr>
      </w:r>
      <w:r w:rsidR="003F4313" w:rsidRPr="00296EB1">
        <w:rPr>
          <w:i/>
          <w:color w:val="000000" w:themeColor="text1"/>
        </w:rPr>
        <w:fldChar w:fldCharType="separate"/>
      </w:r>
      <w:r w:rsidR="003F4313" w:rsidRPr="00296EB1">
        <w:rPr>
          <w:i/>
          <w:noProof/>
          <w:color w:val="000000" w:themeColor="text1"/>
        </w:rPr>
        <w:t>[insert date]</w:t>
      </w:r>
      <w:r w:rsidR="003F4313" w:rsidRPr="00296EB1">
        <w:rPr>
          <w:i/>
          <w:color w:val="000000" w:themeColor="text1"/>
        </w:rPr>
        <w:fldChar w:fldCharType="end"/>
      </w:r>
      <w:r w:rsidR="003F4313" w:rsidRPr="00296EB1">
        <w:rPr>
          <w:i/>
          <w:color w:val="000000" w:themeColor="text1"/>
        </w:rPr>
        <w:t xml:space="preserve"> </w:t>
      </w:r>
      <w:r w:rsidR="003F4313" w:rsidRPr="00296EB1">
        <w:rPr>
          <w:rFonts w:eastAsia="Times New Roman"/>
          <w:bCs/>
          <w:color w:val="000000" w:themeColor="text1"/>
        </w:rPr>
        <w:t xml:space="preserve">and will complete the monitoring as set </w:t>
      </w:r>
      <w:r>
        <w:rPr>
          <w:rFonts w:eastAsia="Times New Roman"/>
          <w:bCs/>
          <w:color w:val="000000" w:themeColor="text1"/>
        </w:rPr>
        <w:tab/>
      </w:r>
      <w:r w:rsidR="003F4313" w:rsidRPr="00296EB1">
        <w:rPr>
          <w:rFonts w:eastAsia="Times New Roman"/>
          <w:bCs/>
          <w:color w:val="000000" w:themeColor="text1"/>
        </w:rPr>
        <w:t>out in the shared care protocol for this medicine/condition.</w:t>
      </w:r>
    </w:p>
    <w:p w14:paraId="12E78752" w14:textId="19098424" w:rsidR="003C5FC3" w:rsidRDefault="003C5FC3" w:rsidP="003F4313">
      <w:pPr>
        <w:spacing w:after="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60288" behindDoc="0" locked="0" layoutInCell="1" allowOverlap="1" wp14:anchorId="100BF19C" wp14:editId="6E3FD6F7">
                <wp:simplePos x="0" y="0"/>
                <wp:positionH relativeFrom="column">
                  <wp:posOffset>57150</wp:posOffset>
                </wp:positionH>
                <wp:positionV relativeFrom="paragraph">
                  <wp:posOffset>47624</wp:posOffset>
                </wp:positionV>
                <wp:extent cx="314325" cy="219075"/>
                <wp:effectExtent l="0" t="0" r="28575" b="28575"/>
                <wp:wrapNone/>
                <wp:docPr id="1299574362" name="Rectangle 2"/>
                <wp:cNvGraphicFramePr/>
                <a:graphic xmlns:a="http://schemas.openxmlformats.org/drawingml/2006/main">
                  <a:graphicData uri="http://schemas.microsoft.com/office/word/2010/wordprocessingShape">
                    <wps:wsp>
                      <wps:cNvSpPr/>
                      <wps:spPr>
                        <a:xfrm>
                          <a:off x="0" y="0"/>
                          <a:ext cx="3143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22DC8" id="Rectangle 2" o:spid="_x0000_s1026" style="position:absolute;margin-left:4.5pt;margin-top:3.75pt;width:2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BaRQIAAOMEAAAOAAAAZHJzL2Uyb0RvYy54bWysVFFv2jAQfp+0/2D5fYRQWF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" fillcolor="white [3201]" strokecolor="black [3200]" strokeweight="1pt"/>
            </w:pict>
          </mc:Fallback>
        </mc:AlternateContent>
      </w:r>
      <w:r>
        <w:rPr>
          <w:rFonts w:eastAsia="Times New Roman"/>
          <w:bCs/>
          <w:color w:val="000000" w:themeColor="text1"/>
        </w:rPr>
        <w:tab/>
        <w:t>I am NOT willing to take on the responsibility due to the following reason/s (please specifiy):</w:t>
      </w:r>
    </w:p>
    <w:p w14:paraId="4C200A86" w14:textId="77777777" w:rsidR="003C5FC3" w:rsidRDefault="003C5FC3" w:rsidP="003F4313">
      <w:pPr>
        <w:spacing w:after="0"/>
        <w:rPr>
          <w:rFonts w:eastAsia="Times New Roman"/>
          <w:bCs/>
          <w:color w:val="000000" w:themeColor="text1"/>
        </w:rPr>
      </w:pPr>
    </w:p>
    <w:p w14:paraId="3C5F6B34" w14:textId="234FA791" w:rsidR="003C5FC3" w:rsidRPr="00296EB1" w:rsidRDefault="003C5FC3" w:rsidP="003F4313">
      <w:pPr>
        <w:spacing w:after="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61312" behindDoc="0" locked="0" layoutInCell="1" allowOverlap="1" wp14:anchorId="41DC2451" wp14:editId="6ACFD73B">
                <wp:simplePos x="0" y="0"/>
                <wp:positionH relativeFrom="column">
                  <wp:posOffset>66675</wp:posOffset>
                </wp:positionH>
                <wp:positionV relativeFrom="paragraph">
                  <wp:posOffset>186689</wp:posOffset>
                </wp:positionV>
                <wp:extent cx="6276975" cy="9525"/>
                <wp:effectExtent l="0" t="0" r="28575" b="28575"/>
                <wp:wrapNone/>
                <wp:docPr id="1742637849" name="Straight Connector 4"/>
                <wp:cNvGraphicFramePr/>
                <a:graphic xmlns:a="http://schemas.openxmlformats.org/drawingml/2006/main">
                  <a:graphicData uri="http://schemas.microsoft.com/office/word/2010/wordprocessingShape">
                    <wps:wsp>
                      <wps:cNvCnPr/>
                      <wps:spPr>
                        <a:xfrm flipV="1">
                          <a:off x="0" y="0"/>
                          <a:ext cx="627697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D5FEBC" id="Straight Connector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4.7pt" to="4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" strokecolor="black [3200]" strokeweight="1pt">
                <v:stroke dashstyle="dash" joinstyle="miter"/>
              </v:line>
            </w:pict>
          </mc:Fallback>
        </mc:AlternateContent>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p>
    <w:p w14:paraId="4359CDEE" w14:textId="5D1F4E82" w:rsidR="003F4313" w:rsidRPr="00296EB1" w:rsidRDefault="003C5FC3" w:rsidP="003C5FC3">
      <w:pPr>
        <w:spacing w:after="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62336" behindDoc="0" locked="0" layoutInCell="1" allowOverlap="1" wp14:anchorId="1513C12C" wp14:editId="3D611C7D">
                <wp:simplePos x="0" y="0"/>
                <wp:positionH relativeFrom="column">
                  <wp:posOffset>85724</wp:posOffset>
                </wp:positionH>
                <wp:positionV relativeFrom="paragraph">
                  <wp:posOffset>194310</wp:posOffset>
                </wp:positionV>
                <wp:extent cx="6276975" cy="9525"/>
                <wp:effectExtent l="0" t="0" r="9525" b="28575"/>
                <wp:wrapNone/>
                <wp:docPr id="944691147" name="Straight Connector 5"/>
                <wp:cNvGraphicFramePr/>
                <a:graphic xmlns:a="http://schemas.openxmlformats.org/drawingml/2006/main">
                  <a:graphicData uri="http://schemas.microsoft.com/office/word/2010/wordprocessingShape">
                    <wps:wsp>
                      <wps:cNvCnPr/>
                      <wps:spPr>
                        <a:xfrm flipV="1">
                          <a:off x="0" y="0"/>
                          <a:ext cx="6276975" cy="95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1A286"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5pt,15.3pt" to="50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" strokecolor="black [3200]" strokeweight=".5pt">
                <v:stroke dashstyle="dashDot" joinstyle="miter"/>
              </v:line>
            </w:pict>
          </mc:Fallback>
        </mc:AlternateContent>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p>
    <w:p w14:paraId="64FBB8E9" w14:textId="2F64C26D" w:rsidR="003C5FC3" w:rsidRDefault="00B7520F" w:rsidP="003F4313">
      <w:pPr>
        <w:spacing w:after="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63360" behindDoc="0" locked="0" layoutInCell="1" allowOverlap="1" wp14:anchorId="4783AB76" wp14:editId="011B985E">
                <wp:simplePos x="0" y="0"/>
                <wp:positionH relativeFrom="column">
                  <wp:posOffset>85724</wp:posOffset>
                </wp:positionH>
                <wp:positionV relativeFrom="paragraph">
                  <wp:posOffset>201930</wp:posOffset>
                </wp:positionV>
                <wp:extent cx="6334125" cy="19050"/>
                <wp:effectExtent l="0" t="0" r="28575" b="19050"/>
                <wp:wrapNone/>
                <wp:docPr id="1337280706" name="Straight Connector 20"/>
                <wp:cNvGraphicFramePr/>
                <a:graphic xmlns:a="http://schemas.openxmlformats.org/drawingml/2006/main">
                  <a:graphicData uri="http://schemas.microsoft.com/office/word/2010/wordprocessingShape">
                    <wps:wsp>
                      <wps:cNvCnPr/>
                      <wps:spPr>
                        <a:xfrm>
                          <a:off x="0" y="0"/>
                          <a:ext cx="63341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13E44" id="Straight Connector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5pt,15.9pt" to="50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" strokecolor="black [3200]" strokeweight=".5pt">
                <v:stroke dashstyle="dash" joinstyle="miter"/>
              </v:line>
            </w:pict>
          </mc:Fallback>
        </mc:AlternateContent>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p>
    <w:p w14:paraId="262DE7DE" w14:textId="63D4AFD8" w:rsidR="00B7520F" w:rsidRDefault="00B7520F" w:rsidP="003F4313">
      <w:pPr>
        <w:spacing w:after="0"/>
        <w:rPr>
          <w:rFonts w:eastAsia="Times New Roman"/>
          <w:bCs/>
          <w:color w:val="000000" w:themeColor="text1"/>
        </w:rPr>
      </w:pPr>
      <w:r>
        <w:rPr>
          <w:rFonts w:eastAsia="Times New Roman"/>
          <w:bCs/>
          <w:noProof/>
          <w:color w:val="000000" w:themeColor="text1"/>
        </w:rPr>
        <mc:AlternateContent>
          <mc:Choice Requires="wps">
            <w:drawing>
              <wp:anchor distT="0" distB="0" distL="114300" distR="114300" simplePos="0" relativeHeight="251664384" behindDoc="0" locked="0" layoutInCell="1" allowOverlap="1" wp14:anchorId="716ADF63" wp14:editId="4CBFE257">
                <wp:simplePos x="0" y="0"/>
                <wp:positionH relativeFrom="column">
                  <wp:posOffset>76200</wp:posOffset>
                </wp:positionH>
                <wp:positionV relativeFrom="paragraph">
                  <wp:posOffset>180975</wp:posOffset>
                </wp:positionV>
                <wp:extent cx="6362700" cy="47625"/>
                <wp:effectExtent l="0" t="0" r="19050" b="28575"/>
                <wp:wrapNone/>
                <wp:docPr id="615173235" name="Straight Connector 22"/>
                <wp:cNvGraphicFramePr/>
                <a:graphic xmlns:a="http://schemas.openxmlformats.org/drawingml/2006/main">
                  <a:graphicData uri="http://schemas.microsoft.com/office/word/2010/wordprocessingShape">
                    <wps:wsp>
                      <wps:cNvCnPr/>
                      <wps:spPr>
                        <a:xfrm>
                          <a:off x="0" y="0"/>
                          <a:ext cx="6362700" cy="47625"/>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24284"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14.25pt" to="5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" strokecolor="black [3213]" strokeweight=".5pt">
                <v:stroke dashstyle="dashDot" joinstyle="miter"/>
              </v:line>
            </w:pict>
          </mc:Fallback>
        </mc:AlternateContent>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r>
        <w:rPr>
          <w:rFonts w:eastAsia="Times New Roman"/>
          <w:bCs/>
          <w:color w:val="000000" w:themeColor="text1"/>
        </w:rPr>
        <w:tab/>
      </w:r>
    </w:p>
    <w:p w14:paraId="092EFA7E" w14:textId="77777777" w:rsidR="00B7520F" w:rsidRDefault="00B7520F" w:rsidP="003F4313">
      <w:pPr>
        <w:spacing w:after="0"/>
        <w:rPr>
          <w:rFonts w:eastAsia="Times New Roman"/>
          <w:bCs/>
          <w:color w:val="000000" w:themeColor="text1"/>
        </w:rPr>
      </w:pPr>
    </w:p>
    <w:p w14:paraId="421354C8" w14:textId="58998335" w:rsidR="00B7520F" w:rsidRDefault="00B7520F" w:rsidP="003F4313">
      <w:pPr>
        <w:spacing w:after="0"/>
        <w:rPr>
          <w:rFonts w:eastAsia="Times New Roman"/>
          <w:bCs/>
          <w:color w:val="000000" w:themeColor="text1"/>
        </w:rPr>
      </w:pPr>
      <w:r>
        <w:rPr>
          <w:rFonts w:eastAsia="Times New Roman"/>
          <w:bCs/>
          <w:color w:val="000000" w:themeColor="text1"/>
        </w:rPr>
        <w:t>I would be willing to consider prescribing for the patient once the above criteria have been met for this treatment. If these/ this is met by you please resubmit your request to share care</w:t>
      </w:r>
    </w:p>
    <w:p w14:paraId="0FF6B5DD" w14:textId="77777777" w:rsidR="00B7520F" w:rsidRDefault="00B7520F" w:rsidP="003F4313">
      <w:pPr>
        <w:spacing w:after="0"/>
        <w:rPr>
          <w:rFonts w:eastAsia="Times New Roman"/>
          <w:bCs/>
          <w:color w:val="000000" w:themeColor="text1"/>
        </w:rPr>
      </w:pPr>
    </w:p>
    <w:p w14:paraId="673DFFD8" w14:textId="016D9BB9" w:rsidR="003F4313" w:rsidRPr="00296EB1" w:rsidRDefault="003F4313" w:rsidP="003F4313">
      <w:pPr>
        <w:spacing w:after="0"/>
        <w:rPr>
          <w:rFonts w:eastAsia="Times New Roman"/>
          <w:bCs/>
          <w:color w:val="000000" w:themeColor="text1"/>
        </w:rPr>
      </w:pPr>
      <w:r w:rsidRPr="00296EB1">
        <w:rPr>
          <w:rFonts w:eastAsia="Times New Roman"/>
          <w:bCs/>
          <w:color w:val="000000" w:themeColor="text1"/>
        </w:rPr>
        <w:t>Primary Care Prescriber signature: _______________________________</w:t>
      </w:r>
      <w:r w:rsidRPr="00296EB1">
        <w:rPr>
          <w:rFonts w:eastAsia="Times New Roman"/>
          <w:bCs/>
          <w:color w:val="000000" w:themeColor="text1"/>
        </w:rPr>
        <w:tab/>
        <w:t xml:space="preserve">Date: ____________ </w:t>
      </w:r>
    </w:p>
    <w:p w14:paraId="508D003F" w14:textId="5BB856E6" w:rsidR="003F4313" w:rsidRPr="00296EB1" w:rsidRDefault="003F4313" w:rsidP="003F4313">
      <w:pPr>
        <w:spacing w:after="0"/>
        <w:ind w:left="720"/>
        <w:rPr>
          <w:rFonts w:eastAsia="Times New Roman"/>
          <w:bCs/>
          <w:color w:val="000000" w:themeColor="text1"/>
        </w:rPr>
      </w:pPr>
    </w:p>
    <w:p w14:paraId="4C4F579D" w14:textId="77777777" w:rsidR="003F4313" w:rsidRPr="00296EB1" w:rsidRDefault="003F4313" w:rsidP="003F4313">
      <w:pPr>
        <w:spacing w:after="0"/>
        <w:rPr>
          <w:rFonts w:eastAsia="Times New Roman"/>
          <w:bCs/>
          <w:color w:val="000000" w:themeColor="text1"/>
        </w:rPr>
      </w:pPr>
      <w:r w:rsidRPr="00296EB1">
        <w:rPr>
          <w:rFonts w:eastAsia="Times New Roman"/>
          <w:bCs/>
          <w:color w:val="000000" w:themeColor="text1"/>
        </w:rPr>
        <w:t>Primary Care Prescriber address/practice stamp</w:t>
      </w:r>
    </w:p>
    <w:p w14:paraId="204D130C" w14:textId="1FBDB4C2" w:rsidR="003F4313" w:rsidRDefault="003F4313" w:rsidP="003F4313">
      <w:pPr>
        <w:rPr>
          <w:rFonts w:cs="Arial"/>
          <w:sz w:val="24"/>
        </w:rPr>
      </w:pPr>
    </w:p>
    <w:p w14:paraId="17A3554D" w14:textId="4A7EE0CB" w:rsidR="00C51C17" w:rsidRDefault="00C51C17" w:rsidP="00C51C17">
      <w:pPr>
        <w:ind w:left="220"/>
        <w:rPr>
          <w:rFonts w:cs="Arial"/>
          <w:sz w:val="24"/>
        </w:rPr>
      </w:pPr>
    </w:p>
    <w:p w14:paraId="495BA003" w14:textId="2A15FDC9" w:rsidR="00C51C17" w:rsidRPr="00C51C17" w:rsidRDefault="00C51C17" w:rsidP="00C51C17">
      <w:pPr>
        <w:spacing w:before="0" w:after="160"/>
        <w:rPr>
          <w:rFonts w:cs="Arial"/>
          <w:sz w:val="24"/>
        </w:rPr>
      </w:pPr>
      <w:r>
        <w:rPr>
          <w:rFonts w:cs="Arial"/>
          <w:sz w:val="24"/>
        </w:rPr>
        <w:br w:type="page"/>
      </w:r>
    </w:p>
    <w:p w14:paraId="7082B964" w14:textId="540B2774" w:rsidR="005E007B" w:rsidRPr="00371504" w:rsidRDefault="005E007B" w:rsidP="00F33AC9">
      <w:pPr>
        <w:pStyle w:val="paragraph"/>
        <w:spacing w:before="0" w:beforeAutospacing="0" w:after="0" w:afterAutospacing="0"/>
        <w:textAlignment w:val="baseline"/>
        <w:rPr>
          <w:rFonts w:ascii="Arial" w:hAnsi="Arial" w:cs="Arial"/>
        </w:rPr>
      </w:pPr>
      <w:bookmarkStart w:id="41" w:name="Appendix_3"/>
      <w:r w:rsidRPr="00371504">
        <w:rPr>
          <w:rFonts w:ascii="Arial" w:hAnsi="Arial" w:cs="Arial"/>
        </w:rPr>
        <w:lastRenderedPageBreak/>
        <w:t>Appendix 3</w:t>
      </w:r>
      <w:bookmarkEnd w:id="41"/>
      <w:r w:rsidRPr="00371504">
        <w:rPr>
          <w:rFonts w:ascii="Arial" w:hAnsi="Arial" w:cs="Arial"/>
        </w:rPr>
        <w:t xml:space="preserve">: </w:t>
      </w:r>
      <w:r w:rsidRPr="00371504">
        <w:rPr>
          <w:rFonts w:ascii="Arial" w:hAnsi="Arial" w:cs="Arial"/>
          <w:b/>
          <w:bCs/>
        </w:rPr>
        <w:t>Lithium Side Effects Rating Scale (LiSERS)</w:t>
      </w:r>
      <w:r w:rsidR="00B85025" w:rsidRPr="00371504">
        <w:rPr>
          <w:rFonts w:ascii="Arial" w:hAnsi="Arial" w:cs="Arial"/>
          <w:b/>
          <w:bCs/>
        </w:rPr>
        <w:t xml:space="preserve"> </w:t>
      </w:r>
      <w:r w:rsidR="00B85025" w:rsidRPr="00371504">
        <w:rPr>
          <w:rFonts w:ascii="Arial" w:hAnsi="Arial" w:cs="Arial"/>
        </w:rPr>
        <w:t>for use by</w:t>
      </w:r>
      <w:r w:rsidR="00B85025" w:rsidRPr="00371504">
        <w:rPr>
          <w:rFonts w:ascii="Arial" w:hAnsi="Arial" w:cs="Arial"/>
          <w:b/>
          <w:bCs/>
        </w:rPr>
        <w:t xml:space="preserve"> </w:t>
      </w:r>
      <w:r w:rsidR="00B85025" w:rsidRPr="00371504">
        <w:rPr>
          <w:rFonts w:ascii="Arial" w:hAnsi="Arial" w:cs="Arial"/>
        </w:rPr>
        <w:t>Secondary care Mental Health Services Only</w:t>
      </w:r>
      <w:r w:rsidRPr="00371504">
        <w:rPr>
          <w:rFonts w:ascii="Arial" w:hAnsi="Arial" w:cs="Arial"/>
        </w:rPr>
        <w:t> </w:t>
      </w:r>
    </w:p>
    <w:p w14:paraId="3C1A279D" w14:textId="77777777" w:rsidR="00BB75CB" w:rsidRPr="00F33AC9" w:rsidRDefault="00BB75CB" w:rsidP="00F33AC9">
      <w:pPr>
        <w:pStyle w:val="paragraph"/>
        <w:spacing w:before="0" w:beforeAutospacing="0" w:after="0" w:afterAutospacing="0"/>
        <w:textAlignment w:val="baseline"/>
        <w:rPr>
          <w:rFonts w:ascii="Arial" w:hAnsi="Arial" w:cs="Arial"/>
          <w:sz w:val="22"/>
          <w:szCs w:val="22"/>
        </w:rPr>
      </w:pPr>
    </w:p>
    <w:p w14:paraId="620F3341" w14:textId="77777777" w:rsidR="005E007B" w:rsidRPr="00BB75CB" w:rsidRDefault="005E007B" w:rsidP="005E007B">
      <w:pPr>
        <w:spacing w:before="0" w:after="0" w:line="240" w:lineRule="auto"/>
        <w:ind w:right="-585" w:hanging="135"/>
        <w:textAlignment w:val="baseline"/>
        <w:rPr>
          <w:rFonts w:eastAsia="Times New Roman" w:cs="Arial"/>
          <w:lang w:eastAsia="en-GB"/>
        </w:rPr>
      </w:pPr>
      <w:r w:rsidRPr="005E007B">
        <w:rPr>
          <w:rFonts w:ascii="Verdana" w:eastAsia="Times New Roman" w:hAnsi="Verdana" w:cs="Segoe UI"/>
          <w:lang w:eastAsia="en-GB"/>
        </w:rPr>
        <w:t> </w:t>
      </w:r>
      <w:r w:rsidRPr="00BB75CB">
        <w:rPr>
          <w:rFonts w:eastAsia="Times New Roman" w:cs="Arial"/>
          <w:lang w:eastAsia="en-GB"/>
        </w:rPr>
        <w:t>Patient name ………………………………… NHS number……………………..... </w:t>
      </w:r>
    </w:p>
    <w:p w14:paraId="3B2FEF47" w14:textId="77777777" w:rsidR="000A0ACC" w:rsidRDefault="005E007B" w:rsidP="005E007B">
      <w:pPr>
        <w:spacing w:before="0" w:after="0" w:line="240" w:lineRule="auto"/>
        <w:ind w:right="-585" w:hanging="135"/>
        <w:textAlignment w:val="baseline"/>
        <w:rPr>
          <w:rFonts w:eastAsia="Times New Roman" w:cs="Arial"/>
          <w:lang w:eastAsia="en-GB"/>
        </w:rPr>
      </w:pPr>
      <w:r w:rsidRPr="00BB75CB">
        <w:rPr>
          <w:rFonts w:eastAsia="Times New Roman" w:cs="Arial"/>
          <w:lang w:eastAsia="en-GB"/>
        </w:rPr>
        <w:t> Staff Name ………………………………………………………… Date of Assessment ………………………..</w:t>
      </w:r>
    </w:p>
    <w:p w14:paraId="7C2E1D40" w14:textId="1C0306FE" w:rsidR="005E007B" w:rsidRPr="00BB75CB" w:rsidRDefault="005E007B" w:rsidP="005E007B">
      <w:pPr>
        <w:spacing w:before="0" w:after="0" w:line="240" w:lineRule="auto"/>
        <w:ind w:right="-585" w:hanging="135"/>
        <w:textAlignment w:val="baseline"/>
        <w:rPr>
          <w:rFonts w:eastAsia="Times New Roman" w:cs="Arial"/>
          <w:lang w:eastAsia="en-GB"/>
        </w:rPr>
      </w:pPr>
      <w:r w:rsidRPr="00BB75CB">
        <w:rPr>
          <w:rFonts w:eastAsia="Times New Roman" w:cs="Arial"/>
          <w:lang w:eastAsia="en-GB"/>
        </w:rP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4860"/>
        <w:gridCol w:w="840"/>
        <w:gridCol w:w="270"/>
        <w:gridCol w:w="1125"/>
        <w:gridCol w:w="1275"/>
        <w:gridCol w:w="1260"/>
      </w:tblGrid>
      <w:tr w:rsidR="005E007B" w:rsidRPr="005E007B" w14:paraId="6D3B7170" w14:textId="77777777" w:rsidTr="005E007B">
        <w:trPr>
          <w:trHeight w:val="300"/>
        </w:trPr>
        <w:tc>
          <w:tcPr>
            <w:tcW w:w="765" w:type="dxa"/>
            <w:tcBorders>
              <w:top w:val="nil"/>
              <w:left w:val="nil"/>
              <w:bottom w:val="nil"/>
              <w:right w:val="nil"/>
            </w:tcBorders>
            <w:shd w:val="clear" w:color="auto" w:fill="auto"/>
            <w:hideMark/>
          </w:tcPr>
          <w:p w14:paraId="10251BE3" w14:textId="7777777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4860" w:type="dxa"/>
            <w:tcBorders>
              <w:top w:val="nil"/>
              <w:left w:val="nil"/>
              <w:bottom w:val="nil"/>
              <w:right w:val="single" w:sz="6" w:space="0" w:color="auto"/>
            </w:tcBorders>
            <w:shd w:val="clear" w:color="auto" w:fill="auto"/>
            <w:hideMark/>
          </w:tcPr>
          <w:p w14:paraId="7AAB7BD9" w14:textId="7777777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FBB305D"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No </w:t>
            </w:r>
          </w:p>
        </w:tc>
        <w:tc>
          <w:tcPr>
            <w:tcW w:w="270" w:type="dxa"/>
            <w:tcBorders>
              <w:top w:val="nil"/>
              <w:left w:val="single" w:sz="6" w:space="0" w:color="auto"/>
              <w:bottom w:val="nil"/>
              <w:right w:val="single" w:sz="6" w:space="0" w:color="auto"/>
            </w:tcBorders>
            <w:shd w:val="clear" w:color="auto" w:fill="auto"/>
            <w:hideMark/>
          </w:tcPr>
          <w:p w14:paraId="6B3B356D"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 </w:t>
            </w:r>
          </w:p>
        </w:tc>
        <w:tc>
          <w:tcPr>
            <w:tcW w:w="1125" w:type="dxa"/>
            <w:tcBorders>
              <w:top w:val="single" w:sz="6" w:space="0" w:color="auto"/>
              <w:left w:val="single" w:sz="6" w:space="0" w:color="auto"/>
              <w:bottom w:val="single" w:sz="6" w:space="0" w:color="auto"/>
              <w:right w:val="nil"/>
            </w:tcBorders>
            <w:shd w:val="clear" w:color="auto" w:fill="auto"/>
            <w:hideMark/>
          </w:tcPr>
          <w:p w14:paraId="597D880A"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 </w:t>
            </w:r>
          </w:p>
        </w:tc>
        <w:tc>
          <w:tcPr>
            <w:tcW w:w="1275" w:type="dxa"/>
            <w:tcBorders>
              <w:top w:val="single" w:sz="6" w:space="0" w:color="auto"/>
              <w:left w:val="nil"/>
              <w:bottom w:val="single" w:sz="6" w:space="0" w:color="auto"/>
              <w:right w:val="nil"/>
            </w:tcBorders>
            <w:shd w:val="clear" w:color="auto" w:fill="auto"/>
            <w:hideMark/>
          </w:tcPr>
          <w:p w14:paraId="3FD8C1C6"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Yes </w:t>
            </w:r>
          </w:p>
        </w:tc>
        <w:tc>
          <w:tcPr>
            <w:tcW w:w="1260" w:type="dxa"/>
            <w:tcBorders>
              <w:top w:val="single" w:sz="6" w:space="0" w:color="auto"/>
              <w:left w:val="nil"/>
              <w:bottom w:val="single" w:sz="6" w:space="0" w:color="auto"/>
              <w:right w:val="single" w:sz="6" w:space="0" w:color="auto"/>
            </w:tcBorders>
            <w:shd w:val="clear" w:color="auto" w:fill="auto"/>
            <w:hideMark/>
          </w:tcPr>
          <w:p w14:paraId="798E901C"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 </w:t>
            </w:r>
          </w:p>
        </w:tc>
      </w:tr>
      <w:tr w:rsidR="005E007B" w:rsidRPr="005E007B" w14:paraId="1146A1C6" w14:textId="77777777" w:rsidTr="005E007B">
        <w:trPr>
          <w:trHeight w:val="300"/>
        </w:trPr>
        <w:tc>
          <w:tcPr>
            <w:tcW w:w="765" w:type="dxa"/>
            <w:tcBorders>
              <w:top w:val="nil"/>
              <w:left w:val="nil"/>
              <w:bottom w:val="single" w:sz="6" w:space="0" w:color="auto"/>
              <w:right w:val="nil"/>
            </w:tcBorders>
            <w:shd w:val="clear" w:color="auto" w:fill="auto"/>
            <w:hideMark/>
          </w:tcPr>
          <w:p w14:paraId="1C7BCBDA" w14:textId="7777777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4860" w:type="dxa"/>
            <w:tcBorders>
              <w:top w:val="nil"/>
              <w:left w:val="nil"/>
              <w:bottom w:val="single" w:sz="6" w:space="0" w:color="auto"/>
              <w:right w:val="single" w:sz="6" w:space="0" w:color="auto"/>
            </w:tcBorders>
            <w:shd w:val="clear" w:color="auto" w:fill="auto"/>
            <w:hideMark/>
          </w:tcPr>
          <w:p w14:paraId="54482EE7" w14:textId="7777777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03C4369"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 </w:t>
            </w:r>
          </w:p>
        </w:tc>
        <w:tc>
          <w:tcPr>
            <w:tcW w:w="270" w:type="dxa"/>
            <w:tcBorders>
              <w:top w:val="nil"/>
              <w:left w:val="single" w:sz="6" w:space="0" w:color="auto"/>
              <w:bottom w:val="single" w:sz="6" w:space="0" w:color="auto"/>
              <w:right w:val="single" w:sz="6" w:space="0" w:color="auto"/>
            </w:tcBorders>
            <w:shd w:val="clear" w:color="auto" w:fill="auto"/>
            <w:hideMark/>
          </w:tcPr>
          <w:p w14:paraId="52F2F7C6"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E183EAC"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Mild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3291ADD"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Moderate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F8439D" w14:textId="77777777" w:rsidR="005E007B" w:rsidRPr="000A0ACC" w:rsidRDefault="005E007B" w:rsidP="005E007B">
            <w:pPr>
              <w:spacing w:before="0" w:after="0" w:line="240" w:lineRule="auto"/>
              <w:jc w:val="center"/>
              <w:textAlignment w:val="baseline"/>
              <w:rPr>
                <w:rFonts w:eastAsia="Times New Roman" w:cs="Arial"/>
                <w:lang w:eastAsia="en-GB"/>
              </w:rPr>
            </w:pPr>
            <w:r w:rsidRPr="000A0ACC">
              <w:rPr>
                <w:rFonts w:eastAsia="Times New Roman" w:cs="Arial"/>
                <w:lang w:eastAsia="en-GB"/>
              </w:rPr>
              <w:t>Severe </w:t>
            </w:r>
          </w:p>
        </w:tc>
      </w:tr>
      <w:tr w:rsidR="005E007B" w:rsidRPr="005E007B" w14:paraId="5EC303D4"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DB8E432"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19174602"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Increased appetite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CE56729" w14:textId="7420F97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nil"/>
              <w:left w:val="single" w:sz="6" w:space="0" w:color="auto"/>
              <w:bottom w:val="single" w:sz="6" w:space="0" w:color="auto"/>
              <w:right w:val="single" w:sz="6" w:space="0" w:color="auto"/>
            </w:tcBorders>
            <w:shd w:val="clear" w:color="auto" w:fill="FFFFFF"/>
            <w:hideMark/>
          </w:tcPr>
          <w:p w14:paraId="77B35EB7"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74595FB" w14:textId="38FB48B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978FA2" w14:textId="73D5D3F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86DFE55" w14:textId="6B17536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6A9DA984"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76CD01"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AA39C45"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Increased thirst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1AED51D" w14:textId="300F4D4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1B328F68"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DB44266" w14:textId="1B20763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764370C" w14:textId="6D313272"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A081BB" w14:textId="78E7E5E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30B4C9EE"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D7D0AD7"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3 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115A470"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Increased output of urine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652175B" w14:textId="5614912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0656E085"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F000D1" w14:textId="47649DA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B5C3C1A" w14:textId="1369348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7A73AE" w14:textId="736B5AAE"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366F0C40"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B382B5"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4 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BAA2C06"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Weight gain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A67CCF4" w14:textId="6E1188B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6B2E8042"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FB5916" w14:textId="7A01294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2959D99" w14:textId="4610F54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CBD31E" w14:textId="7882B2FA"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0890D1E6"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D35D1BC"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5 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4BBF502"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Thyroid problems (check fatigue, dry skin, constipation)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9B33427" w14:textId="31B7B95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1AE4A1B3"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1C0839" w14:textId="199923D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E745563" w14:textId="139ECDF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FC9946" w14:textId="49192512"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74576EC3"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11243"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6  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DB6668A"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Metallic Taste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9887993" w14:textId="704F049E"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73ACD424"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535DD1" w14:textId="2300DEFA"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142F4C4" w14:textId="4E50F59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0B4D4E0" w14:textId="64AFEDF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1FCFBB3B"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41236D"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7 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2F8FEB7"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Feeling restless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5507E76" w14:textId="2271077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4C102F63"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3F6BD7C" w14:textId="7376D79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BD013B1" w14:textId="12E99E4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8903862" w14:textId="4C481E8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1D384988"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4E7FAD"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8 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185075D"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Dry Mouth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7782378" w14:textId="6537AFE6"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06F5A4A4"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8B9D1B1" w14:textId="313898B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BAE29ED" w14:textId="276A0B7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38B2C88" w14:textId="05C8E59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4EC101EB"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699E02"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9  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5DF5DA9"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Nausea and feeling sick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518F94D" w14:textId="246404B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5A21082A"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432393" w14:textId="6348540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AB8A2F4" w14:textId="2A47CAB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5061B4" w14:textId="071B6CBB"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775B4E24"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D7371CE"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10 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0E1D915"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Dizziness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351CE06" w14:textId="2C14B0A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54599C63"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D16480" w14:textId="68CBF09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8093081" w14:textId="1F38EEE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396B2EE" w14:textId="4226E3E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53C8C9D2"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4D1BAAF"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11 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CF38BEF"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Mild tremor (fine tremor)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64C5127" w14:textId="30C8B80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58D20C6C"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D33817A" w14:textId="72DAF56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BFACA90" w14:textId="6631E9A2"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39B45B" w14:textId="6900ED1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595EF3CE"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8F3510F"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12 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9798924"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Muscle pains and tension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68ED1A5" w14:textId="1F49A0F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000D56D3"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AC892C1" w14:textId="5506457E"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BB2AF23" w14:textId="23DCE44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F59B98" w14:textId="6393F6E6"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48F497F4"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BBFAA8"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13  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88BCA30"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Difficulties in memory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5D84E07" w14:textId="66B1003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06366466"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FB64849" w14:textId="6CA4C60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F00114E" w14:textId="6C2DB43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0A4AFB0" w14:textId="3E73BF3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7B182963"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763B23"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14 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4C7AEAA"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Difficulties with concentration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B84A0C1" w14:textId="2F61373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7A17BC4A"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9F5B37" w14:textId="084D801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B7B4265" w14:textId="3067353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2AEE872" w14:textId="797B0C1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3B700BDC"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F8C235"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15 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A3F6636"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Feeling slowed down in my thinking and creativity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D41023A" w14:textId="3F8EE8AE"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21FF5865"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BEECEB1" w14:textId="2037B6EB"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37C3863" w14:textId="027232D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F8C10DE" w14:textId="008B1B1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666DC6B5"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D076"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16 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FE11B07"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Sleep problems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9D6C56A" w14:textId="6881368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1F60669A"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4CD56C" w14:textId="1471109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EA461E8" w14:textId="7216099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34CDAAB" w14:textId="739BAB5B"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6E2DEFF5"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6CFFDF"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17 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1CA0D9FE"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Ankle oedema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1D79FCA" w14:textId="401682C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281A0344"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8FC1D5A" w14:textId="5095512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AFEAA69" w14:textId="527C0197"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6DC5823" w14:textId="3609A60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5642D07F"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5B8183"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18 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18847401"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Headaches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C63161E" w14:textId="3AA512E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705448E0"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7C9A41" w14:textId="0B584EF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36AA93" w14:textId="7A55CCC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33A7FB9" w14:textId="2B32B24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51AA9FFF"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458561"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19 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21AD3FE"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Excessive sweating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43BDD9" w14:textId="69D2B0E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3D6E9FF"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6DBD65F" w14:textId="55DB34B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BBC237" w14:textId="489CEC3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16B1AB" w14:textId="52EF45C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37B1820C"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9C8E04B"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20  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4A514AE1"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Psoriasis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BB264F8" w14:textId="52D9ACB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D83FA7" w14:textId="77777777" w:rsidR="005E007B" w:rsidRPr="005E007B" w:rsidRDefault="005E007B" w:rsidP="005E007B">
            <w:pPr>
              <w:spacing w:before="0" w:after="0" w:line="240" w:lineRule="auto"/>
              <w:rPr>
                <w:rFonts w:ascii="Times New Roman" w:eastAsia="Times New Roman" w:hAnsi="Times New Roman" w:cs="Times New Roman"/>
                <w:sz w:val="24"/>
                <w:szCs w:val="24"/>
                <w:lang w:eastAsia="en-GB"/>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0EE767" w14:textId="55827DD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AD0061A" w14:textId="471EED9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986E951" w14:textId="4054F5A1"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0F453420"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FD6D3FD"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21 *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F8F4B47"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Blurred vision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47CFBE" w14:textId="03C2D82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38F9638C"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26CBC30" w14:textId="0A236D4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07C5E79" w14:textId="088DC47A"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E41040D" w14:textId="165FF18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5F5E6F1E"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ED7B73"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22*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DA5E415"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Palpitations or feeling my heart pounding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02BFCD5" w14:textId="64EBC99A"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028F2CF5"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9BC619C" w14:textId="0C23855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AF976C3" w14:textId="41B7312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4E068F" w14:textId="79C1082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13643BD4"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4D9C391"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23*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1305A34"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Feeling drowsy and lethargic during the day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701767F" w14:textId="44A20CE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3E2BDED9"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410F636" w14:textId="49BF714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9C2451F" w14:textId="2BE5347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E25F05" w14:textId="7D61B626"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489BA2FA"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757F4FB"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24*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45E072A"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Diarrhoea / vomiting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3645C920" w14:textId="17D70D8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2E41958F"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136CFC" w14:textId="5069E21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548D7CF" w14:textId="131A221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68C1F5B" w14:textId="2895B9D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56CC061C"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C81E26"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25 *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9395CAA"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Severe tremor (coarse tremor)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68A4BCD3" w14:textId="302FED88"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ECC70B" w14:textId="77777777" w:rsidR="005E007B" w:rsidRPr="005E007B" w:rsidRDefault="005E007B" w:rsidP="005E007B">
            <w:pPr>
              <w:spacing w:before="0" w:after="0" w:line="240" w:lineRule="auto"/>
              <w:rPr>
                <w:rFonts w:ascii="Times New Roman" w:eastAsia="Times New Roman" w:hAnsi="Times New Roman" w:cs="Times New Roman"/>
                <w:sz w:val="24"/>
                <w:szCs w:val="24"/>
                <w:lang w:eastAsia="en-GB"/>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09CA30D" w14:textId="0912C39B"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27EA16" w14:textId="6C9A2E3B"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4C28F4" w14:textId="1306D4C2"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7312519F"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13488B"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26 *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AD2FDAC"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Confusion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B5A8F05" w14:textId="39B8584B"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6C2D7CFE"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82115BC" w14:textId="2FE6B679"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84B91B6" w14:textId="71EC8CE2"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621A060" w14:textId="081CC8AF"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0FE521BF"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0D23D4B"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27*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C863BE4"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Muscle weakness/ twitching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4B464E9" w14:textId="701FFF9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178FF246"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84E20AE" w14:textId="40F31D6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8485DFF" w14:textId="1AE5B942"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B4ACE9C" w14:textId="534B898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310A2450"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44C6584"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28*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1DF5D95"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Lack of Coordination/ unsteady on feet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115F4CB" w14:textId="169C8B7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25CFD84"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4768EC3" w14:textId="49BB7293"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34FB890" w14:textId="7A00D5E4"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685178" w14:textId="13E7395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044973C9"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D1FE1FC"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29*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B2D60FA"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Slurred speech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6EE4E55" w14:textId="0E9E03D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3FE1ED" w14:textId="77777777" w:rsidR="005E007B" w:rsidRPr="005E007B" w:rsidRDefault="005E007B" w:rsidP="005E007B">
            <w:pPr>
              <w:spacing w:before="0" w:after="0" w:line="240" w:lineRule="auto"/>
              <w:rPr>
                <w:rFonts w:ascii="Times New Roman" w:eastAsia="Times New Roman" w:hAnsi="Times New Roman" w:cs="Times New Roman"/>
                <w:sz w:val="24"/>
                <w:szCs w:val="24"/>
                <w:lang w:eastAsia="en-GB"/>
              </w:rPr>
            </w:pP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0CB3323" w14:textId="372744C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75B116" w14:textId="0D1A7F85"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4177DFF" w14:textId="288E79EC"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r w:rsidR="005E007B" w:rsidRPr="005E007B" w14:paraId="6494E184" w14:textId="77777777" w:rsidTr="005E007B">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B98D3"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30 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9528FF9" w14:textId="77777777" w:rsidR="005E007B" w:rsidRPr="000A0ACC" w:rsidRDefault="005E007B" w:rsidP="005E007B">
            <w:pPr>
              <w:spacing w:before="0" w:after="0" w:line="240" w:lineRule="auto"/>
              <w:textAlignment w:val="baseline"/>
              <w:rPr>
                <w:rFonts w:eastAsia="Times New Roman" w:cs="Arial"/>
                <w:lang w:eastAsia="en-GB"/>
              </w:rPr>
            </w:pPr>
            <w:r w:rsidRPr="000A0ACC">
              <w:rPr>
                <w:rFonts w:eastAsia="Times New Roman" w:cs="Arial"/>
                <w:lang w:eastAsia="en-GB"/>
              </w:rPr>
              <w:t>Other ________________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F6A1B93" w14:textId="5F06BCE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270" w:type="dxa"/>
            <w:tcBorders>
              <w:top w:val="single" w:sz="6" w:space="0" w:color="auto"/>
              <w:left w:val="single" w:sz="6" w:space="0" w:color="auto"/>
              <w:bottom w:val="single" w:sz="6" w:space="0" w:color="auto"/>
              <w:right w:val="single" w:sz="6" w:space="0" w:color="auto"/>
            </w:tcBorders>
            <w:shd w:val="clear" w:color="auto" w:fill="FFFFFF"/>
            <w:hideMark/>
          </w:tcPr>
          <w:p w14:paraId="14B0A142" w14:textId="77777777" w:rsidR="005E007B" w:rsidRPr="005E007B" w:rsidRDefault="005E007B" w:rsidP="005E007B">
            <w:pPr>
              <w:spacing w:before="0" w:after="0" w:line="240" w:lineRule="auto"/>
              <w:textAlignment w:val="baseline"/>
              <w:rPr>
                <w:rFonts w:ascii="Times New Roman" w:eastAsia="Times New Roman" w:hAnsi="Times New Roman" w:cs="Times New Roman"/>
                <w:sz w:val="24"/>
                <w:szCs w:val="24"/>
                <w:lang w:eastAsia="en-GB"/>
              </w:rPr>
            </w:pPr>
            <w:r w:rsidRPr="005E007B">
              <w:rPr>
                <w:rFonts w:ascii="Verdana" w:eastAsia="Times New Roman" w:hAnsi="Verdana" w:cs="Times New Roman"/>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27260F" w14:textId="7887265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3EBF96D" w14:textId="4C9AD62D"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CC7442" w14:textId="7CE80DA0" w:rsidR="005E007B" w:rsidRPr="005E007B" w:rsidRDefault="005E007B" w:rsidP="005E007B">
            <w:pPr>
              <w:spacing w:before="0" w:after="0" w:line="240" w:lineRule="auto"/>
              <w:jc w:val="center"/>
              <w:textAlignment w:val="baseline"/>
              <w:rPr>
                <w:rFonts w:ascii="Times New Roman" w:eastAsia="Times New Roman" w:hAnsi="Times New Roman" w:cs="Times New Roman"/>
                <w:sz w:val="24"/>
                <w:szCs w:val="24"/>
                <w:lang w:eastAsia="en-GB"/>
              </w:rPr>
            </w:pPr>
            <w:r w:rsidRPr="005E007B">
              <w:rPr>
                <w:rFonts w:ascii="Symbol" w:eastAsia="Times New Roman" w:hAnsi="Symbol" w:cs="Times New Roman"/>
                <w:sz w:val="18"/>
                <w:szCs w:val="18"/>
                <w:lang w:eastAsia="en-GB"/>
              </w:rPr>
              <w:t>ÿ</w:t>
            </w:r>
          </w:p>
        </w:tc>
      </w:tr>
    </w:tbl>
    <w:p w14:paraId="3E9C611E" w14:textId="77777777" w:rsidR="005E007B" w:rsidRPr="00B85025" w:rsidRDefault="005E007B" w:rsidP="005E007B">
      <w:pPr>
        <w:spacing w:before="0" w:after="0" w:line="240" w:lineRule="auto"/>
        <w:ind w:left="270" w:hanging="420"/>
        <w:textAlignment w:val="baseline"/>
        <w:rPr>
          <w:rFonts w:eastAsia="Times New Roman" w:cs="Arial"/>
          <w:lang w:eastAsia="en-GB"/>
        </w:rPr>
      </w:pPr>
      <w:r w:rsidRPr="005E007B">
        <w:rPr>
          <w:rFonts w:ascii="Verdana" w:eastAsia="Times New Roman" w:hAnsi="Verdana" w:cs="Segoe UI"/>
          <w:lang w:eastAsia="en-GB"/>
        </w:rPr>
        <w:t xml:space="preserve">* </w:t>
      </w:r>
      <w:r w:rsidRPr="005E007B">
        <w:rPr>
          <w:rFonts w:ascii="Calibri" w:eastAsia="Times New Roman" w:hAnsi="Calibri" w:cs="Calibri"/>
          <w:lang w:eastAsia="en-GB"/>
        </w:rPr>
        <w:tab/>
      </w:r>
      <w:r w:rsidRPr="00B85025">
        <w:rPr>
          <w:rFonts w:eastAsia="Times New Roman" w:cs="Arial"/>
          <w:lang w:eastAsia="en-GB"/>
        </w:rPr>
        <w:t>indicates possibility of a toxic lithium level: consider urgent serum lithium level if any of these symptoms reported </w:t>
      </w:r>
    </w:p>
    <w:sectPr w:rsidR="005E007B" w:rsidRPr="00B85025" w:rsidSect="00BF1406">
      <w:headerReference w:type="even" r:id="rId50"/>
      <w:headerReference w:type="default" r:id="rId51"/>
      <w:footerReference w:type="even" r:id="rId52"/>
      <w:footerReference w:type="default" r:id="rId53"/>
      <w:headerReference w:type="first" r:id="rId54"/>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31DC" w14:textId="77777777" w:rsidR="00473533" w:rsidRDefault="00473533" w:rsidP="00E83C66">
      <w:pPr>
        <w:spacing w:after="0" w:line="240" w:lineRule="auto"/>
      </w:pPr>
      <w:r>
        <w:separator/>
      </w:r>
    </w:p>
  </w:endnote>
  <w:endnote w:type="continuationSeparator" w:id="0">
    <w:p w14:paraId="6D968249" w14:textId="77777777" w:rsidR="00473533" w:rsidRDefault="00473533"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EFAF" w14:textId="77777777" w:rsidR="00EA4D00" w:rsidRDefault="00EA4D00">
    <w:pPr>
      <w:pStyle w:val="Footer"/>
    </w:pPr>
  </w:p>
  <w:p w14:paraId="5D577E6B" w14:textId="77777777" w:rsidR="001B3227" w:rsidRDefault="001B3227"/>
  <w:p w14:paraId="7A7574E4" w14:textId="77777777" w:rsidR="001B3227" w:rsidRDefault="001B32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277411DA" w:rsidR="00637CD5" w:rsidRPr="00003E35" w:rsidRDefault="00637CD5" w:rsidP="00003E35">
    <w:pPr>
      <w:pStyle w:val="Footer"/>
    </w:pPr>
    <w:r w:rsidRPr="00003E35">
      <w:t xml:space="preserve">Shared care protocol: </w:t>
    </w:r>
    <w:r>
      <w:t>lithium</w:t>
    </w:r>
    <w:r w:rsidRPr="00003E35">
      <w:t xml:space="preserve"> in adults </w:t>
    </w:r>
    <w:r w:rsidRPr="00003E35">
      <w:tab/>
    </w:r>
    <w:r w:rsidRPr="00003E35">
      <w:tab/>
    </w:r>
    <w:r w:rsidR="00BC4D62">
      <w:t xml:space="preserve">HNY </w:t>
    </w:r>
    <w:r w:rsidR="00814428">
      <w:t>v1.0</w:t>
    </w:r>
  </w:p>
  <w:p w14:paraId="505A2D92" w14:textId="1D76920E" w:rsidR="00637CD5" w:rsidRDefault="00637CD5" w:rsidP="00003E35">
    <w:pPr>
      <w:pStyle w:val="Footer"/>
    </w:pPr>
    <w:r w:rsidRPr="00003E35">
      <w:t xml:space="preserve">Clinical content reviewed by RDTC: </w:t>
    </w:r>
    <w:r>
      <w:t>7th December 2023</w:t>
    </w:r>
    <w:r w:rsidRPr="00003E35">
      <w:tab/>
    </w:r>
    <w:r w:rsidR="00555B67">
      <w:t xml:space="preserve">                          </w:t>
    </w:r>
    <w:r w:rsidRPr="00003E35">
      <w:t xml:space="preserve">Approved by </w:t>
    </w:r>
    <w:r w:rsidR="005C4899">
      <w:t xml:space="preserve">HNY </w:t>
    </w:r>
    <w:r w:rsidRPr="00003E35">
      <w:t>ICB</w:t>
    </w:r>
    <w:r w:rsidR="005C4899">
      <w:t xml:space="preserve"> APC</w:t>
    </w:r>
    <w:r w:rsidRPr="00003E35">
      <w:t xml:space="preserve">: </w:t>
    </w:r>
    <w:r w:rsidR="00555B67">
      <w:t>6/8/2025</w:t>
    </w:r>
  </w:p>
  <w:p w14:paraId="6053BF00" w14:textId="4F453CD6" w:rsidR="00637CD5" w:rsidRPr="0092446D" w:rsidRDefault="00637CD5"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00B515FA">
      <w:rPr>
        <w:noProof/>
      </w:rPr>
      <w:t>15</w:t>
    </w:r>
    <w:r w:rsidRPr="0092446D">
      <w:fldChar w:fldCharType="end"/>
    </w:r>
    <w:r w:rsidRPr="0092446D">
      <w:t xml:space="preserve"> of </w:t>
    </w:r>
    <w:fldSimple w:instr="NUMPAGES  \* Arabic  \* MERGEFORMAT">
      <w:r w:rsidR="00B515FA">
        <w:rPr>
          <w:noProof/>
        </w:rPr>
        <w:t>15</w:t>
      </w:r>
    </w:fldSimple>
  </w:p>
  <w:p w14:paraId="6C1EF284" w14:textId="77777777" w:rsidR="001B3227" w:rsidRDefault="001B3227"/>
  <w:p w14:paraId="3BA15BC4" w14:textId="77777777" w:rsidR="001B3227" w:rsidRDefault="001B32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EAFE" w14:textId="77777777" w:rsidR="00473533" w:rsidRDefault="00473533" w:rsidP="00E83C66">
      <w:pPr>
        <w:spacing w:after="0" w:line="240" w:lineRule="auto"/>
      </w:pPr>
      <w:r>
        <w:separator/>
      </w:r>
    </w:p>
  </w:footnote>
  <w:footnote w:type="continuationSeparator" w:id="0">
    <w:p w14:paraId="0AE8C50C" w14:textId="77777777" w:rsidR="00473533" w:rsidRDefault="00473533"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FFF8" w14:textId="77777777" w:rsidR="00EA4D00" w:rsidRDefault="00EA4D00">
    <w:pPr>
      <w:pStyle w:val="Header"/>
    </w:pPr>
  </w:p>
  <w:p w14:paraId="0DA38AA5" w14:textId="77777777" w:rsidR="001B3227" w:rsidRDefault="001B3227"/>
  <w:p w14:paraId="419BE36D" w14:textId="77777777" w:rsidR="001B3227" w:rsidRDefault="001B32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AE4D" w14:textId="77777777" w:rsidR="001B3227" w:rsidRDefault="001B3227"/>
  <w:p w14:paraId="68293E76" w14:textId="77777777" w:rsidR="001B3227" w:rsidRDefault="001B32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FAFE" w14:textId="32BA629A" w:rsidR="005C4899" w:rsidRDefault="001B3A16" w:rsidP="003C21D1">
    <w:pPr>
      <w:pStyle w:val="Header"/>
      <w:spacing w:after="0"/>
      <w:rPr>
        <w:b/>
        <w:bCs/>
      </w:rPr>
    </w:pPr>
    <w:r w:rsidRPr="00EC13F4">
      <w:rPr>
        <w:noProof/>
        <w:lang w:eastAsia="en-GB"/>
      </w:rPr>
      <w:drawing>
        <wp:anchor distT="0" distB="0" distL="114300" distR="114300" simplePos="0" relativeHeight="251657728" behindDoc="1" locked="0" layoutInCell="1" allowOverlap="1" wp14:anchorId="5B550A24" wp14:editId="32B5B175">
          <wp:simplePos x="0" y="0"/>
          <wp:positionH relativeFrom="margin">
            <wp:posOffset>5372100</wp:posOffset>
          </wp:positionH>
          <wp:positionV relativeFrom="paragraph">
            <wp:posOffset>-78105</wp:posOffset>
          </wp:positionV>
          <wp:extent cx="1028700" cy="625475"/>
          <wp:effectExtent l="0" t="0" r="0" b="3175"/>
          <wp:wrapTight wrapText="bothSides">
            <wp:wrapPolygon edited="0">
              <wp:start x="0" y="0"/>
              <wp:lineTo x="0" y="21052"/>
              <wp:lineTo x="21200" y="21052"/>
              <wp:lineTo x="2120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625475"/>
                  </a:xfrm>
                  <a:prstGeom prst="rect">
                    <a:avLst/>
                  </a:prstGeom>
                </pic:spPr>
              </pic:pic>
            </a:graphicData>
          </a:graphic>
          <wp14:sizeRelH relativeFrom="margin">
            <wp14:pctWidth>0</wp14:pctWidth>
          </wp14:sizeRelH>
          <wp14:sizeRelV relativeFrom="margin">
            <wp14:pctHeight>0</wp14:pctHeight>
          </wp14:sizeRelV>
        </wp:anchor>
      </w:drawing>
    </w:r>
    <w:r w:rsidRPr="00EC13F4">
      <w:rPr>
        <w:noProof/>
        <w:lang w:eastAsia="en-GB"/>
      </w:rPr>
      <w:drawing>
        <wp:anchor distT="0" distB="0" distL="114300" distR="114300" simplePos="0" relativeHeight="251656704" behindDoc="1" locked="0" layoutInCell="1" allowOverlap="1" wp14:anchorId="0D992773" wp14:editId="0A44D2F2">
          <wp:simplePos x="0" y="0"/>
          <wp:positionH relativeFrom="margin">
            <wp:posOffset>-190500</wp:posOffset>
          </wp:positionH>
          <wp:positionV relativeFrom="paragraph">
            <wp:posOffset>-76835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CD5">
      <w:rPr>
        <w:b/>
        <w:bCs/>
      </w:rPr>
      <w:tab/>
    </w:r>
  </w:p>
  <w:p w14:paraId="52AA4C40" w14:textId="77777777" w:rsidR="007B7094" w:rsidRDefault="001B3A16" w:rsidP="007B7094">
    <w:pPr>
      <w:pStyle w:val="Header"/>
      <w:spacing w:after="0"/>
      <w:rPr>
        <w:rStyle w:val="Heading1Char"/>
      </w:rPr>
    </w:pPr>
    <w:r>
      <w:rPr>
        <w:rStyle w:val="Heading1Char"/>
      </w:rPr>
      <w:tab/>
    </w:r>
  </w:p>
  <w:p w14:paraId="034ABC3F" w14:textId="3A365D69" w:rsidR="00637CD5" w:rsidRPr="003C21D1" w:rsidRDefault="0B864035" w:rsidP="007B7094">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17A"/>
    <w:multiLevelType w:val="hybridMultilevel"/>
    <w:tmpl w:val="FCE45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03C5D"/>
    <w:multiLevelType w:val="hybridMultilevel"/>
    <w:tmpl w:val="67E4F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0B919CF"/>
    <w:multiLevelType w:val="hybridMultilevel"/>
    <w:tmpl w:val="B884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041CE"/>
    <w:multiLevelType w:val="hybridMultilevel"/>
    <w:tmpl w:val="655C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835DD"/>
    <w:multiLevelType w:val="hybridMultilevel"/>
    <w:tmpl w:val="6118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8D6847"/>
    <w:multiLevelType w:val="hybridMultilevel"/>
    <w:tmpl w:val="70C83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FFE5701"/>
    <w:multiLevelType w:val="hybridMultilevel"/>
    <w:tmpl w:val="035AEE14"/>
    <w:lvl w:ilvl="0" w:tplc="08090003">
      <w:start w:val="1"/>
      <w:numFmt w:val="bullet"/>
      <w:lvlText w:val="o"/>
      <w:lvlJc w:val="left"/>
      <w:pPr>
        <w:ind w:left="717" w:hanging="360"/>
      </w:pPr>
      <w:rPr>
        <w:rFonts w:ascii="Courier New" w:hAnsi="Courier New" w:cs="Courier New"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8A399B"/>
    <w:multiLevelType w:val="hybridMultilevel"/>
    <w:tmpl w:val="470283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E57CC0"/>
    <w:multiLevelType w:val="hybridMultilevel"/>
    <w:tmpl w:val="2A22B58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206A4F"/>
    <w:multiLevelType w:val="hybridMultilevel"/>
    <w:tmpl w:val="2B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9525D"/>
    <w:multiLevelType w:val="hybridMultilevel"/>
    <w:tmpl w:val="0986A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752D6F"/>
    <w:multiLevelType w:val="hybridMultilevel"/>
    <w:tmpl w:val="5BE86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65A4498"/>
    <w:multiLevelType w:val="hybridMultilevel"/>
    <w:tmpl w:val="5DA61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6FD3B69"/>
    <w:multiLevelType w:val="hybridMultilevel"/>
    <w:tmpl w:val="DD62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4731F"/>
    <w:multiLevelType w:val="hybridMultilevel"/>
    <w:tmpl w:val="8B245608"/>
    <w:lvl w:ilvl="0" w:tplc="CBBA1C88">
      <w:numFmt w:val="bullet"/>
      <w:lvlText w:val=""/>
      <w:lvlJc w:val="left"/>
      <w:pPr>
        <w:ind w:left="2380" w:hanging="360"/>
      </w:pPr>
      <w:rPr>
        <w:w w:val="100"/>
      </w:rPr>
    </w:lvl>
    <w:lvl w:ilvl="1" w:tplc="E582738C">
      <w:numFmt w:val="bullet"/>
      <w:lvlText w:val="•"/>
      <w:lvlJc w:val="left"/>
      <w:pPr>
        <w:ind w:left="3160" w:hanging="360"/>
      </w:pPr>
    </w:lvl>
    <w:lvl w:ilvl="2" w:tplc="533488A0">
      <w:numFmt w:val="bullet"/>
      <w:lvlText w:val="•"/>
      <w:lvlJc w:val="left"/>
      <w:pPr>
        <w:ind w:left="3941" w:hanging="360"/>
      </w:pPr>
    </w:lvl>
    <w:lvl w:ilvl="3" w:tplc="C1A0BE08">
      <w:numFmt w:val="bullet"/>
      <w:lvlText w:val="•"/>
      <w:lvlJc w:val="left"/>
      <w:pPr>
        <w:ind w:left="4721" w:hanging="360"/>
      </w:pPr>
    </w:lvl>
    <w:lvl w:ilvl="4" w:tplc="AA8AF31E">
      <w:numFmt w:val="bullet"/>
      <w:lvlText w:val="•"/>
      <w:lvlJc w:val="left"/>
      <w:pPr>
        <w:ind w:left="5502" w:hanging="360"/>
      </w:pPr>
    </w:lvl>
    <w:lvl w:ilvl="5" w:tplc="5FA6E44C">
      <w:numFmt w:val="bullet"/>
      <w:lvlText w:val="•"/>
      <w:lvlJc w:val="left"/>
      <w:pPr>
        <w:ind w:left="6283" w:hanging="360"/>
      </w:pPr>
    </w:lvl>
    <w:lvl w:ilvl="6" w:tplc="C2B89438">
      <w:numFmt w:val="bullet"/>
      <w:lvlText w:val="•"/>
      <w:lvlJc w:val="left"/>
      <w:pPr>
        <w:ind w:left="7063" w:hanging="360"/>
      </w:pPr>
    </w:lvl>
    <w:lvl w:ilvl="7" w:tplc="8CD0B3D6">
      <w:numFmt w:val="bullet"/>
      <w:lvlText w:val="•"/>
      <w:lvlJc w:val="left"/>
      <w:pPr>
        <w:ind w:left="7844" w:hanging="360"/>
      </w:pPr>
    </w:lvl>
    <w:lvl w:ilvl="8" w:tplc="B25C070A">
      <w:numFmt w:val="bullet"/>
      <w:lvlText w:val="•"/>
      <w:lvlJc w:val="left"/>
      <w:pPr>
        <w:ind w:left="8625" w:hanging="360"/>
      </w:pPr>
    </w:lvl>
  </w:abstractNum>
  <w:abstractNum w:abstractNumId="18" w15:restartNumberingAfterBreak="0">
    <w:nsid w:val="6FB845ED"/>
    <w:multiLevelType w:val="hybridMultilevel"/>
    <w:tmpl w:val="88046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1B7562D"/>
    <w:multiLevelType w:val="hybridMultilevel"/>
    <w:tmpl w:val="9A60E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8A3896"/>
    <w:multiLevelType w:val="hybridMultilevel"/>
    <w:tmpl w:val="2D988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2D340F"/>
    <w:multiLevelType w:val="hybridMultilevel"/>
    <w:tmpl w:val="B6DCC5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CB08AC"/>
    <w:multiLevelType w:val="hybridMultilevel"/>
    <w:tmpl w:val="C8D8A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B7807C9"/>
    <w:multiLevelType w:val="hybridMultilevel"/>
    <w:tmpl w:val="B812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83562E"/>
    <w:multiLevelType w:val="hybridMultilevel"/>
    <w:tmpl w:val="32A2D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84704"/>
    <w:multiLevelType w:val="hybridMultilevel"/>
    <w:tmpl w:val="361E8492"/>
    <w:lvl w:ilvl="0" w:tplc="70EC6ACC">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00E08">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4B3EE">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B201A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98A4A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28F850">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B2149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40D2E">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6FC6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14728092">
    <w:abstractNumId w:val="12"/>
  </w:num>
  <w:num w:numId="2" w16cid:durableId="871920559">
    <w:abstractNumId w:val="24"/>
  </w:num>
  <w:num w:numId="3" w16cid:durableId="1002859792">
    <w:abstractNumId w:val="7"/>
  </w:num>
  <w:num w:numId="4" w16cid:durableId="23407979">
    <w:abstractNumId w:val="4"/>
  </w:num>
  <w:num w:numId="5" w16cid:durableId="183055792">
    <w:abstractNumId w:val="0"/>
  </w:num>
  <w:num w:numId="6" w16cid:durableId="158083241">
    <w:abstractNumId w:val="19"/>
  </w:num>
  <w:num w:numId="7" w16cid:durableId="1202330054">
    <w:abstractNumId w:val="1"/>
  </w:num>
  <w:num w:numId="8" w16cid:durableId="1249075724">
    <w:abstractNumId w:val="18"/>
  </w:num>
  <w:num w:numId="9" w16cid:durableId="289408616">
    <w:abstractNumId w:val="5"/>
  </w:num>
  <w:num w:numId="10" w16cid:durableId="201288098">
    <w:abstractNumId w:val="2"/>
  </w:num>
  <w:num w:numId="11" w16cid:durableId="560944816">
    <w:abstractNumId w:val="13"/>
  </w:num>
  <w:num w:numId="12" w16cid:durableId="448865355">
    <w:abstractNumId w:val="15"/>
  </w:num>
  <w:num w:numId="13" w16cid:durableId="1908492006">
    <w:abstractNumId w:val="6"/>
  </w:num>
  <w:num w:numId="14" w16cid:durableId="2052025576">
    <w:abstractNumId w:val="21"/>
  </w:num>
  <w:num w:numId="15" w16cid:durableId="1441029589">
    <w:abstractNumId w:val="8"/>
  </w:num>
  <w:num w:numId="16" w16cid:durableId="661587042">
    <w:abstractNumId w:val="11"/>
  </w:num>
  <w:num w:numId="17" w16cid:durableId="146946502">
    <w:abstractNumId w:val="20"/>
  </w:num>
  <w:num w:numId="18" w16cid:durableId="676423041">
    <w:abstractNumId w:val="3"/>
  </w:num>
  <w:num w:numId="19" w16cid:durableId="2026130613">
    <w:abstractNumId w:val="22"/>
  </w:num>
  <w:num w:numId="20" w16cid:durableId="1514341531">
    <w:abstractNumId w:val="14"/>
  </w:num>
  <w:num w:numId="21" w16cid:durableId="1351370319">
    <w:abstractNumId w:val="9"/>
  </w:num>
  <w:num w:numId="22" w16cid:durableId="649209584">
    <w:abstractNumId w:val="23"/>
  </w:num>
  <w:num w:numId="23" w16cid:durableId="1126778674">
    <w:abstractNumId w:val="26"/>
  </w:num>
  <w:num w:numId="24" w16cid:durableId="522208856">
    <w:abstractNumId w:val="17"/>
  </w:num>
  <w:num w:numId="25" w16cid:durableId="1440560590">
    <w:abstractNumId w:val="16"/>
  </w:num>
  <w:num w:numId="26" w16cid:durableId="807667753">
    <w:abstractNumId w:val="10"/>
  </w:num>
  <w:num w:numId="27" w16cid:durableId="207364849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17F03"/>
    <w:rsid w:val="00021009"/>
    <w:rsid w:val="00023A66"/>
    <w:rsid w:val="0002435C"/>
    <w:rsid w:val="00026645"/>
    <w:rsid w:val="00031541"/>
    <w:rsid w:val="00032724"/>
    <w:rsid w:val="00035AE8"/>
    <w:rsid w:val="00035B90"/>
    <w:rsid w:val="00036678"/>
    <w:rsid w:val="000373DE"/>
    <w:rsid w:val="00044DF9"/>
    <w:rsid w:val="00057CD1"/>
    <w:rsid w:val="000655EF"/>
    <w:rsid w:val="00077A4C"/>
    <w:rsid w:val="00093D5F"/>
    <w:rsid w:val="000950C8"/>
    <w:rsid w:val="00096896"/>
    <w:rsid w:val="000A0ACC"/>
    <w:rsid w:val="000A0ECA"/>
    <w:rsid w:val="000A4216"/>
    <w:rsid w:val="000B18BF"/>
    <w:rsid w:val="000D080C"/>
    <w:rsid w:val="000D682E"/>
    <w:rsid w:val="000E2D8B"/>
    <w:rsid w:val="000F1BE5"/>
    <w:rsid w:val="000F4219"/>
    <w:rsid w:val="000F48EC"/>
    <w:rsid w:val="000F53A2"/>
    <w:rsid w:val="000F5E8F"/>
    <w:rsid w:val="000F68E2"/>
    <w:rsid w:val="00101CCE"/>
    <w:rsid w:val="001026FB"/>
    <w:rsid w:val="001123BA"/>
    <w:rsid w:val="00113D95"/>
    <w:rsid w:val="001144AE"/>
    <w:rsid w:val="001179FD"/>
    <w:rsid w:val="001208FF"/>
    <w:rsid w:val="00122347"/>
    <w:rsid w:val="00127BC4"/>
    <w:rsid w:val="001334FE"/>
    <w:rsid w:val="00135DDB"/>
    <w:rsid w:val="00141994"/>
    <w:rsid w:val="00142209"/>
    <w:rsid w:val="001432AE"/>
    <w:rsid w:val="00145D93"/>
    <w:rsid w:val="001479B1"/>
    <w:rsid w:val="00147BFC"/>
    <w:rsid w:val="00152265"/>
    <w:rsid w:val="00156EF7"/>
    <w:rsid w:val="00161742"/>
    <w:rsid w:val="00163A7E"/>
    <w:rsid w:val="00165BA2"/>
    <w:rsid w:val="00170656"/>
    <w:rsid w:val="00173AC1"/>
    <w:rsid w:val="0017424B"/>
    <w:rsid w:val="00180953"/>
    <w:rsid w:val="001860C1"/>
    <w:rsid w:val="00190AC9"/>
    <w:rsid w:val="001939C7"/>
    <w:rsid w:val="001946BB"/>
    <w:rsid w:val="001948E2"/>
    <w:rsid w:val="0019640D"/>
    <w:rsid w:val="001A101D"/>
    <w:rsid w:val="001A4776"/>
    <w:rsid w:val="001A51F3"/>
    <w:rsid w:val="001B0E46"/>
    <w:rsid w:val="001B1B06"/>
    <w:rsid w:val="001B3227"/>
    <w:rsid w:val="001B3A16"/>
    <w:rsid w:val="001B475B"/>
    <w:rsid w:val="001B5F28"/>
    <w:rsid w:val="001B6913"/>
    <w:rsid w:val="001B694A"/>
    <w:rsid w:val="001B6C1D"/>
    <w:rsid w:val="001C246F"/>
    <w:rsid w:val="001D0EF0"/>
    <w:rsid w:val="001D2CF1"/>
    <w:rsid w:val="001D5D77"/>
    <w:rsid w:val="001E106D"/>
    <w:rsid w:val="001E25E9"/>
    <w:rsid w:val="001E2D3F"/>
    <w:rsid w:val="001E4A10"/>
    <w:rsid w:val="001E5484"/>
    <w:rsid w:val="001E58E3"/>
    <w:rsid w:val="001E793E"/>
    <w:rsid w:val="001F2BF8"/>
    <w:rsid w:val="001F4159"/>
    <w:rsid w:val="00200BBF"/>
    <w:rsid w:val="002014C7"/>
    <w:rsid w:val="0020740C"/>
    <w:rsid w:val="00214BDA"/>
    <w:rsid w:val="00224A5C"/>
    <w:rsid w:val="00236EDC"/>
    <w:rsid w:val="002415D5"/>
    <w:rsid w:val="00243D8D"/>
    <w:rsid w:val="0024547E"/>
    <w:rsid w:val="002470F9"/>
    <w:rsid w:val="002477FF"/>
    <w:rsid w:val="00250BA1"/>
    <w:rsid w:val="00251595"/>
    <w:rsid w:val="00251EF7"/>
    <w:rsid w:val="002523EC"/>
    <w:rsid w:val="002628FF"/>
    <w:rsid w:val="0027038D"/>
    <w:rsid w:val="00273110"/>
    <w:rsid w:val="00273B12"/>
    <w:rsid w:val="00274A7A"/>
    <w:rsid w:val="0028454D"/>
    <w:rsid w:val="00287916"/>
    <w:rsid w:val="00293045"/>
    <w:rsid w:val="00296A43"/>
    <w:rsid w:val="002979AC"/>
    <w:rsid w:val="002A0803"/>
    <w:rsid w:val="002B0761"/>
    <w:rsid w:val="002B15D0"/>
    <w:rsid w:val="002B318E"/>
    <w:rsid w:val="002B45DB"/>
    <w:rsid w:val="002C3506"/>
    <w:rsid w:val="002C4029"/>
    <w:rsid w:val="002C5EE8"/>
    <w:rsid w:val="002D1A25"/>
    <w:rsid w:val="002D4BB4"/>
    <w:rsid w:val="002E2BA7"/>
    <w:rsid w:val="002F2DEA"/>
    <w:rsid w:val="002F47EB"/>
    <w:rsid w:val="002F6F07"/>
    <w:rsid w:val="00302122"/>
    <w:rsid w:val="003032BA"/>
    <w:rsid w:val="00303331"/>
    <w:rsid w:val="0030335E"/>
    <w:rsid w:val="003036A6"/>
    <w:rsid w:val="00306E44"/>
    <w:rsid w:val="00310E09"/>
    <w:rsid w:val="00316F74"/>
    <w:rsid w:val="00320AAD"/>
    <w:rsid w:val="00323120"/>
    <w:rsid w:val="003249D2"/>
    <w:rsid w:val="003263E8"/>
    <w:rsid w:val="003268BD"/>
    <w:rsid w:val="00326BD8"/>
    <w:rsid w:val="003310A9"/>
    <w:rsid w:val="00333A28"/>
    <w:rsid w:val="00336F10"/>
    <w:rsid w:val="003401F1"/>
    <w:rsid w:val="0034160F"/>
    <w:rsid w:val="00341D88"/>
    <w:rsid w:val="00343C0A"/>
    <w:rsid w:val="00352F67"/>
    <w:rsid w:val="003552BC"/>
    <w:rsid w:val="003558F4"/>
    <w:rsid w:val="00357F6B"/>
    <w:rsid w:val="00360805"/>
    <w:rsid w:val="00360FFA"/>
    <w:rsid w:val="00361167"/>
    <w:rsid w:val="00361FB3"/>
    <w:rsid w:val="00371504"/>
    <w:rsid w:val="0037508C"/>
    <w:rsid w:val="00375C79"/>
    <w:rsid w:val="00385BE2"/>
    <w:rsid w:val="00386DAA"/>
    <w:rsid w:val="003931A7"/>
    <w:rsid w:val="0039379F"/>
    <w:rsid w:val="0039672B"/>
    <w:rsid w:val="003A3AFF"/>
    <w:rsid w:val="003A4127"/>
    <w:rsid w:val="003A4B07"/>
    <w:rsid w:val="003B3F51"/>
    <w:rsid w:val="003B5125"/>
    <w:rsid w:val="003C21D1"/>
    <w:rsid w:val="003C2558"/>
    <w:rsid w:val="003C5FC3"/>
    <w:rsid w:val="003C6793"/>
    <w:rsid w:val="003D2022"/>
    <w:rsid w:val="003D53B2"/>
    <w:rsid w:val="003E5AD7"/>
    <w:rsid w:val="003E7840"/>
    <w:rsid w:val="003F2C46"/>
    <w:rsid w:val="003F4313"/>
    <w:rsid w:val="003F440F"/>
    <w:rsid w:val="003F646D"/>
    <w:rsid w:val="003F7161"/>
    <w:rsid w:val="00400E02"/>
    <w:rsid w:val="0040159E"/>
    <w:rsid w:val="004024D1"/>
    <w:rsid w:val="00403F47"/>
    <w:rsid w:val="0041005A"/>
    <w:rsid w:val="004113C8"/>
    <w:rsid w:val="004114D6"/>
    <w:rsid w:val="00413F90"/>
    <w:rsid w:val="0041687B"/>
    <w:rsid w:val="00420944"/>
    <w:rsid w:val="00432CCD"/>
    <w:rsid w:val="0044347D"/>
    <w:rsid w:val="004438CF"/>
    <w:rsid w:val="00447C21"/>
    <w:rsid w:val="00450E5D"/>
    <w:rsid w:val="00452435"/>
    <w:rsid w:val="004615E6"/>
    <w:rsid w:val="00462329"/>
    <w:rsid w:val="004671D7"/>
    <w:rsid w:val="00473533"/>
    <w:rsid w:val="00477248"/>
    <w:rsid w:val="00482302"/>
    <w:rsid w:val="00482890"/>
    <w:rsid w:val="004834CE"/>
    <w:rsid w:val="00485359"/>
    <w:rsid w:val="004864D7"/>
    <w:rsid w:val="004912A2"/>
    <w:rsid w:val="004968DC"/>
    <w:rsid w:val="004A28EF"/>
    <w:rsid w:val="004A2983"/>
    <w:rsid w:val="004A4D94"/>
    <w:rsid w:val="004A5F57"/>
    <w:rsid w:val="004B05FA"/>
    <w:rsid w:val="004B25D8"/>
    <w:rsid w:val="004B32C1"/>
    <w:rsid w:val="004B6FA7"/>
    <w:rsid w:val="004B7BBD"/>
    <w:rsid w:val="004C0D86"/>
    <w:rsid w:val="004C2598"/>
    <w:rsid w:val="004C31F8"/>
    <w:rsid w:val="004C7302"/>
    <w:rsid w:val="004D46F6"/>
    <w:rsid w:val="004D5B8A"/>
    <w:rsid w:val="004D6BB2"/>
    <w:rsid w:val="004E5EB8"/>
    <w:rsid w:val="004F2781"/>
    <w:rsid w:val="005004B1"/>
    <w:rsid w:val="00502B61"/>
    <w:rsid w:val="00505001"/>
    <w:rsid w:val="0051526F"/>
    <w:rsid w:val="00515CB1"/>
    <w:rsid w:val="00517DC6"/>
    <w:rsid w:val="00521A7D"/>
    <w:rsid w:val="00521D64"/>
    <w:rsid w:val="005221E5"/>
    <w:rsid w:val="005228A2"/>
    <w:rsid w:val="00532444"/>
    <w:rsid w:val="0053459F"/>
    <w:rsid w:val="00535162"/>
    <w:rsid w:val="0053551A"/>
    <w:rsid w:val="00537F63"/>
    <w:rsid w:val="00541CF7"/>
    <w:rsid w:val="005431B2"/>
    <w:rsid w:val="005432DD"/>
    <w:rsid w:val="00545443"/>
    <w:rsid w:val="00547308"/>
    <w:rsid w:val="0054735E"/>
    <w:rsid w:val="00547AA5"/>
    <w:rsid w:val="0055256C"/>
    <w:rsid w:val="00555B67"/>
    <w:rsid w:val="00561F39"/>
    <w:rsid w:val="00565352"/>
    <w:rsid w:val="00572DB9"/>
    <w:rsid w:val="0057400B"/>
    <w:rsid w:val="00581703"/>
    <w:rsid w:val="00592565"/>
    <w:rsid w:val="0059282E"/>
    <w:rsid w:val="00596748"/>
    <w:rsid w:val="005A5F28"/>
    <w:rsid w:val="005A633C"/>
    <w:rsid w:val="005A7119"/>
    <w:rsid w:val="005A7657"/>
    <w:rsid w:val="005B0D33"/>
    <w:rsid w:val="005B4BAE"/>
    <w:rsid w:val="005B7F7A"/>
    <w:rsid w:val="005C4899"/>
    <w:rsid w:val="005D05B1"/>
    <w:rsid w:val="005D105B"/>
    <w:rsid w:val="005D27FE"/>
    <w:rsid w:val="005D416F"/>
    <w:rsid w:val="005D56F3"/>
    <w:rsid w:val="005D75B4"/>
    <w:rsid w:val="005D79FA"/>
    <w:rsid w:val="005E007B"/>
    <w:rsid w:val="005E6901"/>
    <w:rsid w:val="005F346E"/>
    <w:rsid w:val="005F3D83"/>
    <w:rsid w:val="00613294"/>
    <w:rsid w:val="006179D7"/>
    <w:rsid w:val="0062204F"/>
    <w:rsid w:val="006247FA"/>
    <w:rsid w:val="00626457"/>
    <w:rsid w:val="00637CD5"/>
    <w:rsid w:val="00641F7D"/>
    <w:rsid w:val="00642F41"/>
    <w:rsid w:val="00643FC9"/>
    <w:rsid w:val="00644539"/>
    <w:rsid w:val="00647492"/>
    <w:rsid w:val="0065325B"/>
    <w:rsid w:val="00656044"/>
    <w:rsid w:val="00661A75"/>
    <w:rsid w:val="00664D81"/>
    <w:rsid w:val="006706F6"/>
    <w:rsid w:val="00674D24"/>
    <w:rsid w:val="006837B0"/>
    <w:rsid w:val="00683C92"/>
    <w:rsid w:val="0068627A"/>
    <w:rsid w:val="006876AB"/>
    <w:rsid w:val="00691E36"/>
    <w:rsid w:val="00692AD5"/>
    <w:rsid w:val="00694194"/>
    <w:rsid w:val="00694531"/>
    <w:rsid w:val="00696EFE"/>
    <w:rsid w:val="006A333F"/>
    <w:rsid w:val="006A6B10"/>
    <w:rsid w:val="006B2380"/>
    <w:rsid w:val="006B24BC"/>
    <w:rsid w:val="006B7253"/>
    <w:rsid w:val="006B7712"/>
    <w:rsid w:val="006C3870"/>
    <w:rsid w:val="006D277B"/>
    <w:rsid w:val="006E062E"/>
    <w:rsid w:val="006E5307"/>
    <w:rsid w:val="006E7D1B"/>
    <w:rsid w:val="006F1403"/>
    <w:rsid w:val="006F2BD8"/>
    <w:rsid w:val="006F5C79"/>
    <w:rsid w:val="007015BE"/>
    <w:rsid w:val="00703459"/>
    <w:rsid w:val="007039EB"/>
    <w:rsid w:val="00704723"/>
    <w:rsid w:val="00716C9C"/>
    <w:rsid w:val="00721E7A"/>
    <w:rsid w:val="007325C3"/>
    <w:rsid w:val="007333E4"/>
    <w:rsid w:val="00733982"/>
    <w:rsid w:val="0073466F"/>
    <w:rsid w:val="007365A8"/>
    <w:rsid w:val="00743437"/>
    <w:rsid w:val="00744FE5"/>
    <w:rsid w:val="00747226"/>
    <w:rsid w:val="00747276"/>
    <w:rsid w:val="00747D63"/>
    <w:rsid w:val="007525E6"/>
    <w:rsid w:val="00756BF5"/>
    <w:rsid w:val="00756EF7"/>
    <w:rsid w:val="00761FA3"/>
    <w:rsid w:val="00763454"/>
    <w:rsid w:val="00767B99"/>
    <w:rsid w:val="00776279"/>
    <w:rsid w:val="00776295"/>
    <w:rsid w:val="0078680E"/>
    <w:rsid w:val="0079308C"/>
    <w:rsid w:val="007A0D6E"/>
    <w:rsid w:val="007A2F8D"/>
    <w:rsid w:val="007A3942"/>
    <w:rsid w:val="007A4CEB"/>
    <w:rsid w:val="007A56FB"/>
    <w:rsid w:val="007A6AB9"/>
    <w:rsid w:val="007A703C"/>
    <w:rsid w:val="007B7094"/>
    <w:rsid w:val="007C6C49"/>
    <w:rsid w:val="007D0860"/>
    <w:rsid w:val="007D1D2D"/>
    <w:rsid w:val="007D3AF7"/>
    <w:rsid w:val="007D49ED"/>
    <w:rsid w:val="007F09E5"/>
    <w:rsid w:val="007F2776"/>
    <w:rsid w:val="007F5A80"/>
    <w:rsid w:val="007F76B7"/>
    <w:rsid w:val="0080432B"/>
    <w:rsid w:val="0081160F"/>
    <w:rsid w:val="00812579"/>
    <w:rsid w:val="00813FDD"/>
    <w:rsid w:val="00814428"/>
    <w:rsid w:val="00821B36"/>
    <w:rsid w:val="00824D10"/>
    <w:rsid w:val="00834811"/>
    <w:rsid w:val="0083681D"/>
    <w:rsid w:val="008433C6"/>
    <w:rsid w:val="00850521"/>
    <w:rsid w:val="0085244E"/>
    <w:rsid w:val="00854C79"/>
    <w:rsid w:val="00855246"/>
    <w:rsid w:val="00857AF2"/>
    <w:rsid w:val="00857D13"/>
    <w:rsid w:val="008620B8"/>
    <w:rsid w:val="00864066"/>
    <w:rsid w:val="00864423"/>
    <w:rsid w:val="00870582"/>
    <w:rsid w:val="00880CF7"/>
    <w:rsid w:val="008875AD"/>
    <w:rsid w:val="00887A9C"/>
    <w:rsid w:val="00890C0E"/>
    <w:rsid w:val="00891257"/>
    <w:rsid w:val="0089223A"/>
    <w:rsid w:val="00893011"/>
    <w:rsid w:val="0089560C"/>
    <w:rsid w:val="008A1C28"/>
    <w:rsid w:val="008A7289"/>
    <w:rsid w:val="008B44CD"/>
    <w:rsid w:val="008C5DE7"/>
    <w:rsid w:val="008C6935"/>
    <w:rsid w:val="008C732D"/>
    <w:rsid w:val="008C759F"/>
    <w:rsid w:val="008D3616"/>
    <w:rsid w:val="008D52D9"/>
    <w:rsid w:val="008D6C16"/>
    <w:rsid w:val="008D6C4B"/>
    <w:rsid w:val="008E223E"/>
    <w:rsid w:val="008F6069"/>
    <w:rsid w:val="008F6407"/>
    <w:rsid w:val="008F7C48"/>
    <w:rsid w:val="009017A2"/>
    <w:rsid w:val="009034A5"/>
    <w:rsid w:val="00904B9E"/>
    <w:rsid w:val="00912E9A"/>
    <w:rsid w:val="00913319"/>
    <w:rsid w:val="00913C81"/>
    <w:rsid w:val="00914836"/>
    <w:rsid w:val="00915E09"/>
    <w:rsid w:val="00921203"/>
    <w:rsid w:val="0092446D"/>
    <w:rsid w:val="00924D4C"/>
    <w:rsid w:val="00925D95"/>
    <w:rsid w:val="009304B9"/>
    <w:rsid w:val="0093064C"/>
    <w:rsid w:val="009331B2"/>
    <w:rsid w:val="0093321A"/>
    <w:rsid w:val="00934454"/>
    <w:rsid w:val="00934919"/>
    <w:rsid w:val="0094328F"/>
    <w:rsid w:val="00944F42"/>
    <w:rsid w:val="00946787"/>
    <w:rsid w:val="009510E4"/>
    <w:rsid w:val="00952F29"/>
    <w:rsid w:val="0095396C"/>
    <w:rsid w:val="00955587"/>
    <w:rsid w:val="0096376B"/>
    <w:rsid w:val="0096381D"/>
    <w:rsid w:val="00965517"/>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A638F"/>
    <w:rsid w:val="009B21F3"/>
    <w:rsid w:val="009B7594"/>
    <w:rsid w:val="009C34A6"/>
    <w:rsid w:val="009C3964"/>
    <w:rsid w:val="009C5E4B"/>
    <w:rsid w:val="009C64D5"/>
    <w:rsid w:val="009C7155"/>
    <w:rsid w:val="009D0394"/>
    <w:rsid w:val="009D28E8"/>
    <w:rsid w:val="009D3C59"/>
    <w:rsid w:val="009D5234"/>
    <w:rsid w:val="009E0BDA"/>
    <w:rsid w:val="009E2C50"/>
    <w:rsid w:val="009E48D1"/>
    <w:rsid w:val="009E7120"/>
    <w:rsid w:val="009E76E0"/>
    <w:rsid w:val="009F106E"/>
    <w:rsid w:val="009F147B"/>
    <w:rsid w:val="009F2FB2"/>
    <w:rsid w:val="009F3CD7"/>
    <w:rsid w:val="009F495B"/>
    <w:rsid w:val="009F58CE"/>
    <w:rsid w:val="009F60DF"/>
    <w:rsid w:val="00A00E16"/>
    <w:rsid w:val="00A0352C"/>
    <w:rsid w:val="00A07375"/>
    <w:rsid w:val="00A23014"/>
    <w:rsid w:val="00A238E8"/>
    <w:rsid w:val="00A27767"/>
    <w:rsid w:val="00A34E93"/>
    <w:rsid w:val="00A34F87"/>
    <w:rsid w:val="00A361A0"/>
    <w:rsid w:val="00A44140"/>
    <w:rsid w:val="00A4686F"/>
    <w:rsid w:val="00A47040"/>
    <w:rsid w:val="00A51C33"/>
    <w:rsid w:val="00A532FE"/>
    <w:rsid w:val="00A62C68"/>
    <w:rsid w:val="00A66AB6"/>
    <w:rsid w:val="00A72FF1"/>
    <w:rsid w:val="00A74B4D"/>
    <w:rsid w:val="00A75F2A"/>
    <w:rsid w:val="00A7767F"/>
    <w:rsid w:val="00A83941"/>
    <w:rsid w:val="00A84EDF"/>
    <w:rsid w:val="00A866B1"/>
    <w:rsid w:val="00A87E4E"/>
    <w:rsid w:val="00A93496"/>
    <w:rsid w:val="00A94941"/>
    <w:rsid w:val="00AA054A"/>
    <w:rsid w:val="00AA1BD2"/>
    <w:rsid w:val="00AA2DB4"/>
    <w:rsid w:val="00AA77AA"/>
    <w:rsid w:val="00AA7B83"/>
    <w:rsid w:val="00AB183F"/>
    <w:rsid w:val="00AB4704"/>
    <w:rsid w:val="00AB5625"/>
    <w:rsid w:val="00AB5FFA"/>
    <w:rsid w:val="00AC1B0C"/>
    <w:rsid w:val="00AC5C2E"/>
    <w:rsid w:val="00AC5DEA"/>
    <w:rsid w:val="00AD29EE"/>
    <w:rsid w:val="00AD4469"/>
    <w:rsid w:val="00AD5717"/>
    <w:rsid w:val="00AD7D67"/>
    <w:rsid w:val="00AE0E89"/>
    <w:rsid w:val="00AE54D8"/>
    <w:rsid w:val="00AE69EA"/>
    <w:rsid w:val="00AE6B64"/>
    <w:rsid w:val="00AF342C"/>
    <w:rsid w:val="00AF3702"/>
    <w:rsid w:val="00AF6D9B"/>
    <w:rsid w:val="00B00BA2"/>
    <w:rsid w:val="00B023A2"/>
    <w:rsid w:val="00B02888"/>
    <w:rsid w:val="00B06E8F"/>
    <w:rsid w:val="00B1162A"/>
    <w:rsid w:val="00B1295F"/>
    <w:rsid w:val="00B140AC"/>
    <w:rsid w:val="00B211F5"/>
    <w:rsid w:val="00B23A39"/>
    <w:rsid w:val="00B26BC0"/>
    <w:rsid w:val="00B32818"/>
    <w:rsid w:val="00B34E46"/>
    <w:rsid w:val="00B37609"/>
    <w:rsid w:val="00B418AD"/>
    <w:rsid w:val="00B448FF"/>
    <w:rsid w:val="00B515FA"/>
    <w:rsid w:val="00B5188F"/>
    <w:rsid w:val="00B51E92"/>
    <w:rsid w:val="00B57456"/>
    <w:rsid w:val="00B60303"/>
    <w:rsid w:val="00B6377D"/>
    <w:rsid w:val="00B6423F"/>
    <w:rsid w:val="00B678A9"/>
    <w:rsid w:val="00B7076B"/>
    <w:rsid w:val="00B71E59"/>
    <w:rsid w:val="00B73F57"/>
    <w:rsid w:val="00B7520F"/>
    <w:rsid w:val="00B802D9"/>
    <w:rsid w:val="00B8340C"/>
    <w:rsid w:val="00B85025"/>
    <w:rsid w:val="00B85E3C"/>
    <w:rsid w:val="00B87200"/>
    <w:rsid w:val="00B87EF0"/>
    <w:rsid w:val="00B917CE"/>
    <w:rsid w:val="00B9284C"/>
    <w:rsid w:val="00B957AB"/>
    <w:rsid w:val="00BA2628"/>
    <w:rsid w:val="00BA47E9"/>
    <w:rsid w:val="00BA5689"/>
    <w:rsid w:val="00BA59D4"/>
    <w:rsid w:val="00BB1809"/>
    <w:rsid w:val="00BB4167"/>
    <w:rsid w:val="00BB50BD"/>
    <w:rsid w:val="00BB75CB"/>
    <w:rsid w:val="00BC10C0"/>
    <w:rsid w:val="00BC4D62"/>
    <w:rsid w:val="00BD117A"/>
    <w:rsid w:val="00BD5BF4"/>
    <w:rsid w:val="00BE0C8B"/>
    <w:rsid w:val="00BE22FC"/>
    <w:rsid w:val="00BE36F4"/>
    <w:rsid w:val="00BE5563"/>
    <w:rsid w:val="00BE765E"/>
    <w:rsid w:val="00BF1406"/>
    <w:rsid w:val="00BF174A"/>
    <w:rsid w:val="00BF4BA2"/>
    <w:rsid w:val="00BF634E"/>
    <w:rsid w:val="00BF6D11"/>
    <w:rsid w:val="00C013FB"/>
    <w:rsid w:val="00C035A7"/>
    <w:rsid w:val="00C047D6"/>
    <w:rsid w:val="00C06215"/>
    <w:rsid w:val="00C068F7"/>
    <w:rsid w:val="00C06D95"/>
    <w:rsid w:val="00C10A49"/>
    <w:rsid w:val="00C15C81"/>
    <w:rsid w:val="00C2040F"/>
    <w:rsid w:val="00C22CC5"/>
    <w:rsid w:val="00C3123A"/>
    <w:rsid w:val="00C31FC8"/>
    <w:rsid w:val="00C31FE5"/>
    <w:rsid w:val="00C3262E"/>
    <w:rsid w:val="00C501C3"/>
    <w:rsid w:val="00C51C17"/>
    <w:rsid w:val="00C54C9D"/>
    <w:rsid w:val="00C64E95"/>
    <w:rsid w:val="00C72861"/>
    <w:rsid w:val="00C764FD"/>
    <w:rsid w:val="00C77A63"/>
    <w:rsid w:val="00C85274"/>
    <w:rsid w:val="00C9169B"/>
    <w:rsid w:val="00C94B7A"/>
    <w:rsid w:val="00C95FCE"/>
    <w:rsid w:val="00CA01CB"/>
    <w:rsid w:val="00CA1513"/>
    <w:rsid w:val="00CA5BD1"/>
    <w:rsid w:val="00CA706A"/>
    <w:rsid w:val="00CB0F04"/>
    <w:rsid w:val="00CB457C"/>
    <w:rsid w:val="00CB5E9C"/>
    <w:rsid w:val="00CB5ECE"/>
    <w:rsid w:val="00CB6622"/>
    <w:rsid w:val="00CC4517"/>
    <w:rsid w:val="00CC4648"/>
    <w:rsid w:val="00CC4B76"/>
    <w:rsid w:val="00CC7D29"/>
    <w:rsid w:val="00CD2A02"/>
    <w:rsid w:val="00CD41C1"/>
    <w:rsid w:val="00CD4583"/>
    <w:rsid w:val="00CE22D1"/>
    <w:rsid w:val="00CE78DB"/>
    <w:rsid w:val="00CF1121"/>
    <w:rsid w:val="00CF2DFC"/>
    <w:rsid w:val="00CF42CA"/>
    <w:rsid w:val="00CF44C5"/>
    <w:rsid w:val="00CF5D14"/>
    <w:rsid w:val="00D03A33"/>
    <w:rsid w:val="00D03FD3"/>
    <w:rsid w:val="00D04CA9"/>
    <w:rsid w:val="00D13A1C"/>
    <w:rsid w:val="00D24F9E"/>
    <w:rsid w:val="00D31D08"/>
    <w:rsid w:val="00D324D4"/>
    <w:rsid w:val="00D3299B"/>
    <w:rsid w:val="00D32FCD"/>
    <w:rsid w:val="00D435FB"/>
    <w:rsid w:val="00D4657A"/>
    <w:rsid w:val="00D5030F"/>
    <w:rsid w:val="00D51C91"/>
    <w:rsid w:val="00D5504F"/>
    <w:rsid w:val="00D554F1"/>
    <w:rsid w:val="00D565E0"/>
    <w:rsid w:val="00D61801"/>
    <w:rsid w:val="00D62E9D"/>
    <w:rsid w:val="00D6465A"/>
    <w:rsid w:val="00D6471C"/>
    <w:rsid w:val="00D6535F"/>
    <w:rsid w:val="00D73EC0"/>
    <w:rsid w:val="00D7536E"/>
    <w:rsid w:val="00D763A0"/>
    <w:rsid w:val="00D7738D"/>
    <w:rsid w:val="00D80BC7"/>
    <w:rsid w:val="00D83656"/>
    <w:rsid w:val="00D84DEF"/>
    <w:rsid w:val="00D85A4D"/>
    <w:rsid w:val="00D91957"/>
    <w:rsid w:val="00D94606"/>
    <w:rsid w:val="00DA0CD2"/>
    <w:rsid w:val="00DA207D"/>
    <w:rsid w:val="00DA43EF"/>
    <w:rsid w:val="00DA4603"/>
    <w:rsid w:val="00DA50AB"/>
    <w:rsid w:val="00DA6373"/>
    <w:rsid w:val="00DA6898"/>
    <w:rsid w:val="00DB1904"/>
    <w:rsid w:val="00DB4462"/>
    <w:rsid w:val="00DB7BE4"/>
    <w:rsid w:val="00DC56F7"/>
    <w:rsid w:val="00DC6BC1"/>
    <w:rsid w:val="00DD1964"/>
    <w:rsid w:val="00DD3EC9"/>
    <w:rsid w:val="00DD72FD"/>
    <w:rsid w:val="00DE4EDB"/>
    <w:rsid w:val="00DE5F0F"/>
    <w:rsid w:val="00DF53DC"/>
    <w:rsid w:val="00DF546B"/>
    <w:rsid w:val="00DF6590"/>
    <w:rsid w:val="00E00CA7"/>
    <w:rsid w:val="00E02748"/>
    <w:rsid w:val="00E02EB3"/>
    <w:rsid w:val="00E041A5"/>
    <w:rsid w:val="00E06D0A"/>
    <w:rsid w:val="00E237BF"/>
    <w:rsid w:val="00E26932"/>
    <w:rsid w:val="00E27846"/>
    <w:rsid w:val="00E40774"/>
    <w:rsid w:val="00E41DC1"/>
    <w:rsid w:val="00E434A1"/>
    <w:rsid w:val="00E45F49"/>
    <w:rsid w:val="00E57429"/>
    <w:rsid w:val="00E57F18"/>
    <w:rsid w:val="00E6086E"/>
    <w:rsid w:val="00E6244A"/>
    <w:rsid w:val="00E67648"/>
    <w:rsid w:val="00E70B23"/>
    <w:rsid w:val="00E72BD0"/>
    <w:rsid w:val="00E768F3"/>
    <w:rsid w:val="00E83C66"/>
    <w:rsid w:val="00E933BF"/>
    <w:rsid w:val="00E95339"/>
    <w:rsid w:val="00EA4D00"/>
    <w:rsid w:val="00EA5CA5"/>
    <w:rsid w:val="00EA6E66"/>
    <w:rsid w:val="00EA78BB"/>
    <w:rsid w:val="00EB33A1"/>
    <w:rsid w:val="00EB6ECF"/>
    <w:rsid w:val="00EC0326"/>
    <w:rsid w:val="00EC3273"/>
    <w:rsid w:val="00EC32AE"/>
    <w:rsid w:val="00EC60A1"/>
    <w:rsid w:val="00EC6389"/>
    <w:rsid w:val="00EC702D"/>
    <w:rsid w:val="00ED2366"/>
    <w:rsid w:val="00ED4717"/>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12FE"/>
    <w:rsid w:val="00F01DE3"/>
    <w:rsid w:val="00F02A8A"/>
    <w:rsid w:val="00F10F0C"/>
    <w:rsid w:val="00F12BB5"/>
    <w:rsid w:val="00F132AA"/>
    <w:rsid w:val="00F144AE"/>
    <w:rsid w:val="00F1507F"/>
    <w:rsid w:val="00F21EA2"/>
    <w:rsid w:val="00F24018"/>
    <w:rsid w:val="00F26850"/>
    <w:rsid w:val="00F2717B"/>
    <w:rsid w:val="00F321FC"/>
    <w:rsid w:val="00F33073"/>
    <w:rsid w:val="00F33AC9"/>
    <w:rsid w:val="00F34C5E"/>
    <w:rsid w:val="00F37647"/>
    <w:rsid w:val="00F4137E"/>
    <w:rsid w:val="00F42317"/>
    <w:rsid w:val="00F42B3C"/>
    <w:rsid w:val="00F43222"/>
    <w:rsid w:val="00F448DD"/>
    <w:rsid w:val="00F465B4"/>
    <w:rsid w:val="00F54268"/>
    <w:rsid w:val="00F556DE"/>
    <w:rsid w:val="00F576AE"/>
    <w:rsid w:val="00F57B58"/>
    <w:rsid w:val="00F66DA7"/>
    <w:rsid w:val="00F70696"/>
    <w:rsid w:val="00F71253"/>
    <w:rsid w:val="00F7127C"/>
    <w:rsid w:val="00F863CC"/>
    <w:rsid w:val="00FA1C34"/>
    <w:rsid w:val="00FA30F5"/>
    <w:rsid w:val="00FA5C0B"/>
    <w:rsid w:val="00FA70BC"/>
    <w:rsid w:val="00FB404F"/>
    <w:rsid w:val="00FB49CB"/>
    <w:rsid w:val="00FC0F0D"/>
    <w:rsid w:val="00FD6D26"/>
    <w:rsid w:val="00FE3EEF"/>
    <w:rsid w:val="00FE6F5A"/>
    <w:rsid w:val="00FE7024"/>
    <w:rsid w:val="00FF2DA0"/>
    <w:rsid w:val="00FF2F68"/>
    <w:rsid w:val="00FF4964"/>
    <w:rsid w:val="00FF56D4"/>
    <w:rsid w:val="0B864035"/>
    <w:rsid w:val="0D1726A9"/>
    <w:rsid w:val="205BD73C"/>
    <w:rsid w:val="36AB9F5C"/>
    <w:rsid w:val="43563E30"/>
    <w:rsid w:val="43C9CBA0"/>
    <w:rsid w:val="4EF1F6A2"/>
    <w:rsid w:val="6AC0D931"/>
    <w:rsid w:val="7193E135"/>
    <w:rsid w:val="7293C962"/>
    <w:rsid w:val="77533460"/>
    <w:rsid w:val="7F708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4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character" w:customStyle="1" w:styleId="UnresolvedMention3">
    <w:name w:val="Unresolved Mention3"/>
    <w:basedOn w:val="DefaultParagraphFont"/>
    <w:uiPriority w:val="99"/>
    <w:semiHidden/>
    <w:unhideWhenUsed/>
    <w:rsid w:val="007A0D6E"/>
    <w:rPr>
      <w:color w:val="605E5C"/>
      <w:shd w:val="clear" w:color="auto" w:fill="E1DFDD"/>
    </w:rPr>
  </w:style>
  <w:style w:type="character" w:customStyle="1" w:styleId="UnresolvedMention4">
    <w:name w:val="Unresolved Mention4"/>
    <w:basedOn w:val="DefaultParagraphFont"/>
    <w:uiPriority w:val="99"/>
    <w:semiHidden/>
    <w:unhideWhenUsed/>
    <w:rsid w:val="00756BF5"/>
    <w:rPr>
      <w:color w:val="605E5C"/>
      <w:shd w:val="clear" w:color="auto" w:fill="E1DFDD"/>
    </w:rPr>
  </w:style>
  <w:style w:type="character" w:styleId="UnresolvedMention">
    <w:name w:val="Unresolved Mention"/>
    <w:basedOn w:val="DefaultParagraphFont"/>
    <w:uiPriority w:val="99"/>
    <w:semiHidden/>
    <w:unhideWhenUsed/>
    <w:rsid w:val="00505001"/>
    <w:rPr>
      <w:color w:val="605E5C"/>
      <w:shd w:val="clear" w:color="auto" w:fill="E1DFDD"/>
    </w:rPr>
  </w:style>
  <w:style w:type="paragraph" w:styleId="NoSpacing">
    <w:name w:val="No Spacing"/>
    <w:uiPriority w:val="1"/>
    <w:qFormat/>
    <w:rsid w:val="005E007B"/>
    <w:pPr>
      <w:spacing w:after="0" w:line="240" w:lineRule="auto"/>
    </w:pPr>
    <w:rPr>
      <w:rFonts w:ascii="Arial" w:hAnsi="Arial"/>
    </w:rPr>
  </w:style>
  <w:style w:type="paragraph" w:styleId="BodyText">
    <w:name w:val="Body Text"/>
    <w:basedOn w:val="Normal"/>
    <w:link w:val="BodyTextChar"/>
    <w:uiPriority w:val="1"/>
    <w:unhideWhenUsed/>
    <w:qFormat/>
    <w:rsid w:val="005E007B"/>
    <w:pPr>
      <w:widowControl w:val="0"/>
      <w:autoSpaceDE w:val="0"/>
      <w:autoSpaceDN w:val="0"/>
      <w:spacing w:before="0" w:after="0" w:line="240" w:lineRule="auto"/>
    </w:pPr>
    <w:rPr>
      <w:rFonts w:eastAsia="Arial" w:cs="Arial"/>
      <w:sz w:val="16"/>
      <w:szCs w:val="16"/>
      <w:lang w:val="en-US"/>
    </w:rPr>
  </w:style>
  <w:style w:type="character" w:customStyle="1" w:styleId="BodyTextChar">
    <w:name w:val="Body Text Char"/>
    <w:basedOn w:val="DefaultParagraphFont"/>
    <w:link w:val="BodyText"/>
    <w:uiPriority w:val="1"/>
    <w:rsid w:val="005E007B"/>
    <w:rPr>
      <w:rFonts w:ascii="Arial" w:eastAsia="Arial" w:hAnsi="Arial" w:cs="Arial"/>
      <w:sz w:val="16"/>
      <w:szCs w:val="16"/>
      <w:lang w:val="en-US"/>
    </w:rPr>
  </w:style>
  <w:style w:type="paragraph" w:customStyle="1" w:styleId="paragraph">
    <w:name w:val="paragraph"/>
    <w:basedOn w:val="Normal"/>
    <w:rsid w:val="005E00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DA4603"/>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DA460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127095049">
      <w:bodyDiv w:val="1"/>
      <w:marLeft w:val="0"/>
      <w:marRight w:val="0"/>
      <w:marTop w:val="0"/>
      <w:marBottom w:val="0"/>
      <w:divBdr>
        <w:top w:val="none" w:sz="0" w:space="0" w:color="auto"/>
        <w:left w:val="none" w:sz="0" w:space="0" w:color="auto"/>
        <w:bottom w:val="none" w:sz="0" w:space="0" w:color="auto"/>
        <w:right w:val="none" w:sz="0" w:space="0" w:color="auto"/>
      </w:divBdr>
    </w:div>
    <w:div w:id="231164343">
      <w:bodyDiv w:val="1"/>
      <w:marLeft w:val="0"/>
      <w:marRight w:val="0"/>
      <w:marTop w:val="0"/>
      <w:marBottom w:val="0"/>
      <w:divBdr>
        <w:top w:val="none" w:sz="0" w:space="0" w:color="auto"/>
        <w:left w:val="none" w:sz="0" w:space="0" w:color="auto"/>
        <w:bottom w:val="none" w:sz="0" w:space="0" w:color="auto"/>
        <w:right w:val="none" w:sz="0" w:space="0" w:color="auto"/>
      </w:divBdr>
    </w:div>
    <w:div w:id="292951629">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446463587">
      <w:bodyDiv w:val="1"/>
      <w:marLeft w:val="0"/>
      <w:marRight w:val="0"/>
      <w:marTop w:val="0"/>
      <w:marBottom w:val="0"/>
      <w:divBdr>
        <w:top w:val="none" w:sz="0" w:space="0" w:color="auto"/>
        <w:left w:val="none" w:sz="0" w:space="0" w:color="auto"/>
        <w:bottom w:val="none" w:sz="0" w:space="0" w:color="auto"/>
        <w:right w:val="none" w:sz="0" w:space="0" w:color="auto"/>
      </w:divBdr>
    </w:div>
    <w:div w:id="598830686">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676615999">
      <w:bodyDiv w:val="1"/>
      <w:marLeft w:val="0"/>
      <w:marRight w:val="0"/>
      <w:marTop w:val="0"/>
      <w:marBottom w:val="0"/>
      <w:divBdr>
        <w:top w:val="none" w:sz="0" w:space="0" w:color="auto"/>
        <w:left w:val="none" w:sz="0" w:space="0" w:color="auto"/>
        <w:bottom w:val="none" w:sz="0" w:space="0" w:color="auto"/>
        <w:right w:val="none" w:sz="0" w:space="0" w:color="auto"/>
      </w:divBdr>
    </w:div>
    <w:div w:id="688070880">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66854042">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796293690">
      <w:bodyDiv w:val="1"/>
      <w:marLeft w:val="0"/>
      <w:marRight w:val="0"/>
      <w:marTop w:val="0"/>
      <w:marBottom w:val="0"/>
      <w:divBdr>
        <w:top w:val="none" w:sz="0" w:space="0" w:color="auto"/>
        <w:left w:val="none" w:sz="0" w:space="0" w:color="auto"/>
        <w:bottom w:val="none" w:sz="0" w:space="0" w:color="auto"/>
        <w:right w:val="none" w:sz="0" w:space="0" w:color="auto"/>
      </w:divBdr>
    </w:div>
    <w:div w:id="818577355">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849566206">
      <w:bodyDiv w:val="1"/>
      <w:marLeft w:val="0"/>
      <w:marRight w:val="0"/>
      <w:marTop w:val="0"/>
      <w:marBottom w:val="0"/>
      <w:divBdr>
        <w:top w:val="none" w:sz="0" w:space="0" w:color="auto"/>
        <w:left w:val="none" w:sz="0" w:space="0" w:color="auto"/>
        <w:bottom w:val="none" w:sz="0" w:space="0" w:color="auto"/>
        <w:right w:val="none" w:sz="0" w:space="0" w:color="auto"/>
      </w:divBdr>
    </w:div>
    <w:div w:id="910238565">
      <w:bodyDiv w:val="1"/>
      <w:marLeft w:val="0"/>
      <w:marRight w:val="0"/>
      <w:marTop w:val="0"/>
      <w:marBottom w:val="0"/>
      <w:divBdr>
        <w:top w:val="none" w:sz="0" w:space="0" w:color="auto"/>
        <w:left w:val="none" w:sz="0" w:space="0" w:color="auto"/>
        <w:bottom w:val="none" w:sz="0" w:space="0" w:color="auto"/>
        <w:right w:val="none" w:sz="0" w:space="0" w:color="auto"/>
      </w:divBdr>
    </w:div>
    <w:div w:id="918517425">
      <w:bodyDiv w:val="1"/>
      <w:marLeft w:val="0"/>
      <w:marRight w:val="0"/>
      <w:marTop w:val="0"/>
      <w:marBottom w:val="0"/>
      <w:divBdr>
        <w:top w:val="none" w:sz="0" w:space="0" w:color="auto"/>
        <w:left w:val="none" w:sz="0" w:space="0" w:color="auto"/>
        <w:bottom w:val="none" w:sz="0" w:space="0" w:color="auto"/>
        <w:right w:val="none" w:sz="0" w:space="0" w:color="auto"/>
      </w:divBdr>
    </w:div>
    <w:div w:id="929390754">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998466390">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49302222">
      <w:bodyDiv w:val="1"/>
      <w:marLeft w:val="0"/>
      <w:marRight w:val="0"/>
      <w:marTop w:val="0"/>
      <w:marBottom w:val="0"/>
      <w:divBdr>
        <w:top w:val="none" w:sz="0" w:space="0" w:color="auto"/>
        <w:left w:val="none" w:sz="0" w:space="0" w:color="auto"/>
        <w:bottom w:val="none" w:sz="0" w:space="0" w:color="auto"/>
        <w:right w:val="none" w:sz="0" w:space="0" w:color="auto"/>
      </w:divBdr>
    </w:div>
    <w:div w:id="1076393283">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326278171">
      <w:bodyDiv w:val="1"/>
      <w:marLeft w:val="0"/>
      <w:marRight w:val="0"/>
      <w:marTop w:val="0"/>
      <w:marBottom w:val="0"/>
      <w:divBdr>
        <w:top w:val="none" w:sz="0" w:space="0" w:color="auto"/>
        <w:left w:val="none" w:sz="0" w:space="0" w:color="auto"/>
        <w:bottom w:val="none" w:sz="0" w:space="0" w:color="auto"/>
        <w:right w:val="none" w:sz="0" w:space="0" w:color="auto"/>
      </w:divBdr>
    </w:div>
    <w:div w:id="1396901186">
      <w:bodyDiv w:val="1"/>
      <w:marLeft w:val="0"/>
      <w:marRight w:val="0"/>
      <w:marTop w:val="0"/>
      <w:marBottom w:val="0"/>
      <w:divBdr>
        <w:top w:val="none" w:sz="0" w:space="0" w:color="auto"/>
        <w:left w:val="none" w:sz="0" w:space="0" w:color="auto"/>
        <w:bottom w:val="none" w:sz="0" w:space="0" w:color="auto"/>
        <w:right w:val="none" w:sz="0" w:space="0" w:color="auto"/>
      </w:divBdr>
    </w:div>
    <w:div w:id="1403214111">
      <w:bodyDiv w:val="1"/>
      <w:marLeft w:val="0"/>
      <w:marRight w:val="0"/>
      <w:marTop w:val="0"/>
      <w:marBottom w:val="0"/>
      <w:divBdr>
        <w:top w:val="none" w:sz="0" w:space="0" w:color="auto"/>
        <w:left w:val="none" w:sz="0" w:space="0" w:color="auto"/>
        <w:bottom w:val="none" w:sz="0" w:space="0" w:color="auto"/>
        <w:right w:val="none" w:sz="0" w:space="0" w:color="auto"/>
      </w:divBdr>
      <w:divsChild>
        <w:div w:id="754058309">
          <w:marLeft w:val="0"/>
          <w:marRight w:val="0"/>
          <w:marTop w:val="0"/>
          <w:marBottom w:val="0"/>
          <w:divBdr>
            <w:top w:val="none" w:sz="0" w:space="0" w:color="auto"/>
            <w:left w:val="none" w:sz="0" w:space="0" w:color="auto"/>
            <w:bottom w:val="none" w:sz="0" w:space="0" w:color="auto"/>
            <w:right w:val="none" w:sz="0" w:space="0" w:color="auto"/>
          </w:divBdr>
        </w:div>
        <w:div w:id="1688023003">
          <w:marLeft w:val="0"/>
          <w:marRight w:val="0"/>
          <w:marTop w:val="0"/>
          <w:marBottom w:val="0"/>
          <w:divBdr>
            <w:top w:val="none" w:sz="0" w:space="0" w:color="auto"/>
            <w:left w:val="none" w:sz="0" w:space="0" w:color="auto"/>
            <w:bottom w:val="none" w:sz="0" w:space="0" w:color="auto"/>
            <w:right w:val="none" w:sz="0" w:space="0" w:color="auto"/>
          </w:divBdr>
        </w:div>
        <w:div w:id="1913662753">
          <w:marLeft w:val="0"/>
          <w:marRight w:val="0"/>
          <w:marTop w:val="0"/>
          <w:marBottom w:val="0"/>
          <w:divBdr>
            <w:top w:val="none" w:sz="0" w:space="0" w:color="auto"/>
            <w:left w:val="none" w:sz="0" w:space="0" w:color="auto"/>
            <w:bottom w:val="none" w:sz="0" w:space="0" w:color="auto"/>
            <w:right w:val="none" w:sz="0" w:space="0" w:color="auto"/>
          </w:divBdr>
        </w:div>
        <w:div w:id="815341184">
          <w:marLeft w:val="0"/>
          <w:marRight w:val="0"/>
          <w:marTop w:val="0"/>
          <w:marBottom w:val="0"/>
          <w:divBdr>
            <w:top w:val="none" w:sz="0" w:space="0" w:color="auto"/>
            <w:left w:val="none" w:sz="0" w:space="0" w:color="auto"/>
            <w:bottom w:val="none" w:sz="0" w:space="0" w:color="auto"/>
            <w:right w:val="none" w:sz="0" w:space="0" w:color="auto"/>
          </w:divBdr>
          <w:divsChild>
            <w:div w:id="1060709363">
              <w:marLeft w:val="-75"/>
              <w:marRight w:val="0"/>
              <w:marTop w:val="30"/>
              <w:marBottom w:val="30"/>
              <w:divBdr>
                <w:top w:val="none" w:sz="0" w:space="0" w:color="auto"/>
                <w:left w:val="none" w:sz="0" w:space="0" w:color="auto"/>
                <w:bottom w:val="none" w:sz="0" w:space="0" w:color="auto"/>
                <w:right w:val="none" w:sz="0" w:space="0" w:color="auto"/>
              </w:divBdr>
              <w:divsChild>
                <w:div w:id="1850410282">
                  <w:marLeft w:val="0"/>
                  <w:marRight w:val="0"/>
                  <w:marTop w:val="0"/>
                  <w:marBottom w:val="0"/>
                  <w:divBdr>
                    <w:top w:val="none" w:sz="0" w:space="0" w:color="auto"/>
                    <w:left w:val="none" w:sz="0" w:space="0" w:color="auto"/>
                    <w:bottom w:val="none" w:sz="0" w:space="0" w:color="auto"/>
                    <w:right w:val="none" w:sz="0" w:space="0" w:color="auto"/>
                  </w:divBdr>
                  <w:divsChild>
                    <w:div w:id="1878081703">
                      <w:marLeft w:val="0"/>
                      <w:marRight w:val="0"/>
                      <w:marTop w:val="0"/>
                      <w:marBottom w:val="0"/>
                      <w:divBdr>
                        <w:top w:val="none" w:sz="0" w:space="0" w:color="auto"/>
                        <w:left w:val="none" w:sz="0" w:space="0" w:color="auto"/>
                        <w:bottom w:val="none" w:sz="0" w:space="0" w:color="auto"/>
                        <w:right w:val="none" w:sz="0" w:space="0" w:color="auto"/>
                      </w:divBdr>
                    </w:div>
                  </w:divsChild>
                </w:div>
                <w:div w:id="339696572">
                  <w:marLeft w:val="0"/>
                  <w:marRight w:val="0"/>
                  <w:marTop w:val="0"/>
                  <w:marBottom w:val="0"/>
                  <w:divBdr>
                    <w:top w:val="none" w:sz="0" w:space="0" w:color="auto"/>
                    <w:left w:val="none" w:sz="0" w:space="0" w:color="auto"/>
                    <w:bottom w:val="none" w:sz="0" w:space="0" w:color="auto"/>
                    <w:right w:val="none" w:sz="0" w:space="0" w:color="auto"/>
                  </w:divBdr>
                  <w:divsChild>
                    <w:div w:id="390883079">
                      <w:marLeft w:val="0"/>
                      <w:marRight w:val="0"/>
                      <w:marTop w:val="0"/>
                      <w:marBottom w:val="0"/>
                      <w:divBdr>
                        <w:top w:val="none" w:sz="0" w:space="0" w:color="auto"/>
                        <w:left w:val="none" w:sz="0" w:space="0" w:color="auto"/>
                        <w:bottom w:val="none" w:sz="0" w:space="0" w:color="auto"/>
                        <w:right w:val="none" w:sz="0" w:space="0" w:color="auto"/>
                      </w:divBdr>
                    </w:div>
                  </w:divsChild>
                </w:div>
                <w:div w:id="1788229706">
                  <w:marLeft w:val="0"/>
                  <w:marRight w:val="0"/>
                  <w:marTop w:val="0"/>
                  <w:marBottom w:val="0"/>
                  <w:divBdr>
                    <w:top w:val="none" w:sz="0" w:space="0" w:color="auto"/>
                    <w:left w:val="none" w:sz="0" w:space="0" w:color="auto"/>
                    <w:bottom w:val="none" w:sz="0" w:space="0" w:color="auto"/>
                    <w:right w:val="none" w:sz="0" w:space="0" w:color="auto"/>
                  </w:divBdr>
                  <w:divsChild>
                    <w:div w:id="1600529283">
                      <w:marLeft w:val="0"/>
                      <w:marRight w:val="0"/>
                      <w:marTop w:val="0"/>
                      <w:marBottom w:val="0"/>
                      <w:divBdr>
                        <w:top w:val="none" w:sz="0" w:space="0" w:color="auto"/>
                        <w:left w:val="none" w:sz="0" w:space="0" w:color="auto"/>
                        <w:bottom w:val="none" w:sz="0" w:space="0" w:color="auto"/>
                        <w:right w:val="none" w:sz="0" w:space="0" w:color="auto"/>
                      </w:divBdr>
                    </w:div>
                  </w:divsChild>
                </w:div>
                <w:div w:id="644550890">
                  <w:marLeft w:val="0"/>
                  <w:marRight w:val="0"/>
                  <w:marTop w:val="0"/>
                  <w:marBottom w:val="0"/>
                  <w:divBdr>
                    <w:top w:val="none" w:sz="0" w:space="0" w:color="auto"/>
                    <w:left w:val="none" w:sz="0" w:space="0" w:color="auto"/>
                    <w:bottom w:val="none" w:sz="0" w:space="0" w:color="auto"/>
                    <w:right w:val="none" w:sz="0" w:space="0" w:color="auto"/>
                  </w:divBdr>
                  <w:divsChild>
                    <w:div w:id="3673850">
                      <w:marLeft w:val="0"/>
                      <w:marRight w:val="0"/>
                      <w:marTop w:val="0"/>
                      <w:marBottom w:val="0"/>
                      <w:divBdr>
                        <w:top w:val="none" w:sz="0" w:space="0" w:color="auto"/>
                        <w:left w:val="none" w:sz="0" w:space="0" w:color="auto"/>
                        <w:bottom w:val="none" w:sz="0" w:space="0" w:color="auto"/>
                        <w:right w:val="none" w:sz="0" w:space="0" w:color="auto"/>
                      </w:divBdr>
                    </w:div>
                  </w:divsChild>
                </w:div>
                <w:div w:id="2063401412">
                  <w:marLeft w:val="0"/>
                  <w:marRight w:val="0"/>
                  <w:marTop w:val="0"/>
                  <w:marBottom w:val="0"/>
                  <w:divBdr>
                    <w:top w:val="none" w:sz="0" w:space="0" w:color="auto"/>
                    <w:left w:val="none" w:sz="0" w:space="0" w:color="auto"/>
                    <w:bottom w:val="none" w:sz="0" w:space="0" w:color="auto"/>
                    <w:right w:val="none" w:sz="0" w:space="0" w:color="auto"/>
                  </w:divBdr>
                  <w:divsChild>
                    <w:div w:id="1820611977">
                      <w:marLeft w:val="0"/>
                      <w:marRight w:val="0"/>
                      <w:marTop w:val="0"/>
                      <w:marBottom w:val="0"/>
                      <w:divBdr>
                        <w:top w:val="none" w:sz="0" w:space="0" w:color="auto"/>
                        <w:left w:val="none" w:sz="0" w:space="0" w:color="auto"/>
                        <w:bottom w:val="none" w:sz="0" w:space="0" w:color="auto"/>
                        <w:right w:val="none" w:sz="0" w:space="0" w:color="auto"/>
                      </w:divBdr>
                    </w:div>
                  </w:divsChild>
                </w:div>
                <w:div w:id="1035236450">
                  <w:marLeft w:val="0"/>
                  <w:marRight w:val="0"/>
                  <w:marTop w:val="0"/>
                  <w:marBottom w:val="0"/>
                  <w:divBdr>
                    <w:top w:val="none" w:sz="0" w:space="0" w:color="auto"/>
                    <w:left w:val="none" w:sz="0" w:space="0" w:color="auto"/>
                    <w:bottom w:val="none" w:sz="0" w:space="0" w:color="auto"/>
                    <w:right w:val="none" w:sz="0" w:space="0" w:color="auto"/>
                  </w:divBdr>
                  <w:divsChild>
                    <w:div w:id="1246645899">
                      <w:marLeft w:val="0"/>
                      <w:marRight w:val="0"/>
                      <w:marTop w:val="0"/>
                      <w:marBottom w:val="0"/>
                      <w:divBdr>
                        <w:top w:val="none" w:sz="0" w:space="0" w:color="auto"/>
                        <w:left w:val="none" w:sz="0" w:space="0" w:color="auto"/>
                        <w:bottom w:val="none" w:sz="0" w:space="0" w:color="auto"/>
                        <w:right w:val="none" w:sz="0" w:space="0" w:color="auto"/>
                      </w:divBdr>
                    </w:div>
                  </w:divsChild>
                </w:div>
                <w:div w:id="802962371">
                  <w:marLeft w:val="0"/>
                  <w:marRight w:val="0"/>
                  <w:marTop w:val="0"/>
                  <w:marBottom w:val="0"/>
                  <w:divBdr>
                    <w:top w:val="none" w:sz="0" w:space="0" w:color="auto"/>
                    <w:left w:val="none" w:sz="0" w:space="0" w:color="auto"/>
                    <w:bottom w:val="none" w:sz="0" w:space="0" w:color="auto"/>
                    <w:right w:val="none" w:sz="0" w:space="0" w:color="auto"/>
                  </w:divBdr>
                  <w:divsChild>
                    <w:div w:id="2058817792">
                      <w:marLeft w:val="0"/>
                      <w:marRight w:val="0"/>
                      <w:marTop w:val="0"/>
                      <w:marBottom w:val="0"/>
                      <w:divBdr>
                        <w:top w:val="none" w:sz="0" w:space="0" w:color="auto"/>
                        <w:left w:val="none" w:sz="0" w:space="0" w:color="auto"/>
                        <w:bottom w:val="none" w:sz="0" w:space="0" w:color="auto"/>
                        <w:right w:val="none" w:sz="0" w:space="0" w:color="auto"/>
                      </w:divBdr>
                    </w:div>
                  </w:divsChild>
                </w:div>
                <w:div w:id="1328442398">
                  <w:marLeft w:val="0"/>
                  <w:marRight w:val="0"/>
                  <w:marTop w:val="0"/>
                  <w:marBottom w:val="0"/>
                  <w:divBdr>
                    <w:top w:val="none" w:sz="0" w:space="0" w:color="auto"/>
                    <w:left w:val="none" w:sz="0" w:space="0" w:color="auto"/>
                    <w:bottom w:val="none" w:sz="0" w:space="0" w:color="auto"/>
                    <w:right w:val="none" w:sz="0" w:space="0" w:color="auto"/>
                  </w:divBdr>
                  <w:divsChild>
                    <w:div w:id="1264798957">
                      <w:marLeft w:val="0"/>
                      <w:marRight w:val="0"/>
                      <w:marTop w:val="0"/>
                      <w:marBottom w:val="0"/>
                      <w:divBdr>
                        <w:top w:val="none" w:sz="0" w:space="0" w:color="auto"/>
                        <w:left w:val="none" w:sz="0" w:space="0" w:color="auto"/>
                        <w:bottom w:val="none" w:sz="0" w:space="0" w:color="auto"/>
                        <w:right w:val="none" w:sz="0" w:space="0" w:color="auto"/>
                      </w:divBdr>
                    </w:div>
                  </w:divsChild>
                </w:div>
                <w:div w:id="826242696">
                  <w:marLeft w:val="0"/>
                  <w:marRight w:val="0"/>
                  <w:marTop w:val="0"/>
                  <w:marBottom w:val="0"/>
                  <w:divBdr>
                    <w:top w:val="none" w:sz="0" w:space="0" w:color="auto"/>
                    <w:left w:val="none" w:sz="0" w:space="0" w:color="auto"/>
                    <w:bottom w:val="none" w:sz="0" w:space="0" w:color="auto"/>
                    <w:right w:val="none" w:sz="0" w:space="0" w:color="auto"/>
                  </w:divBdr>
                  <w:divsChild>
                    <w:div w:id="1524590370">
                      <w:marLeft w:val="0"/>
                      <w:marRight w:val="0"/>
                      <w:marTop w:val="0"/>
                      <w:marBottom w:val="0"/>
                      <w:divBdr>
                        <w:top w:val="none" w:sz="0" w:space="0" w:color="auto"/>
                        <w:left w:val="none" w:sz="0" w:space="0" w:color="auto"/>
                        <w:bottom w:val="none" w:sz="0" w:space="0" w:color="auto"/>
                        <w:right w:val="none" w:sz="0" w:space="0" w:color="auto"/>
                      </w:divBdr>
                    </w:div>
                  </w:divsChild>
                </w:div>
                <w:div w:id="2106343485">
                  <w:marLeft w:val="0"/>
                  <w:marRight w:val="0"/>
                  <w:marTop w:val="0"/>
                  <w:marBottom w:val="0"/>
                  <w:divBdr>
                    <w:top w:val="none" w:sz="0" w:space="0" w:color="auto"/>
                    <w:left w:val="none" w:sz="0" w:space="0" w:color="auto"/>
                    <w:bottom w:val="none" w:sz="0" w:space="0" w:color="auto"/>
                    <w:right w:val="none" w:sz="0" w:space="0" w:color="auto"/>
                  </w:divBdr>
                  <w:divsChild>
                    <w:div w:id="1488596501">
                      <w:marLeft w:val="0"/>
                      <w:marRight w:val="0"/>
                      <w:marTop w:val="0"/>
                      <w:marBottom w:val="0"/>
                      <w:divBdr>
                        <w:top w:val="none" w:sz="0" w:space="0" w:color="auto"/>
                        <w:left w:val="none" w:sz="0" w:space="0" w:color="auto"/>
                        <w:bottom w:val="none" w:sz="0" w:space="0" w:color="auto"/>
                        <w:right w:val="none" w:sz="0" w:space="0" w:color="auto"/>
                      </w:divBdr>
                    </w:div>
                  </w:divsChild>
                </w:div>
                <w:div w:id="1163013811">
                  <w:marLeft w:val="0"/>
                  <w:marRight w:val="0"/>
                  <w:marTop w:val="0"/>
                  <w:marBottom w:val="0"/>
                  <w:divBdr>
                    <w:top w:val="none" w:sz="0" w:space="0" w:color="auto"/>
                    <w:left w:val="none" w:sz="0" w:space="0" w:color="auto"/>
                    <w:bottom w:val="none" w:sz="0" w:space="0" w:color="auto"/>
                    <w:right w:val="none" w:sz="0" w:space="0" w:color="auto"/>
                  </w:divBdr>
                  <w:divsChild>
                    <w:div w:id="307825893">
                      <w:marLeft w:val="0"/>
                      <w:marRight w:val="0"/>
                      <w:marTop w:val="0"/>
                      <w:marBottom w:val="0"/>
                      <w:divBdr>
                        <w:top w:val="none" w:sz="0" w:space="0" w:color="auto"/>
                        <w:left w:val="none" w:sz="0" w:space="0" w:color="auto"/>
                        <w:bottom w:val="none" w:sz="0" w:space="0" w:color="auto"/>
                        <w:right w:val="none" w:sz="0" w:space="0" w:color="auto"/>
                      </w:divBdr>
                    </w:div>
                  </w:divsChild>
                </w:div>
                <w:div w:id="909534516">
                  <w:marLeft w:val="0"/>
                  <w:marRight w:val="0"/>
                  <w:marTop w:val="0"/>
                  <w:marBottom w:val="0"/>
                  <w:divBdr>
                    <w:top w:val="none" w:sz="0" w:space="0" w:color="auto"/>
                    <w:left w:val="none" w:sz="0" w:space="0" w:color="auto"/>
                    <w:bottom w:val="none" w:sz="0" w:space="0" w:color="auto"/>
                    <w:right w:val="none" w:sz="0" w:space="0" w:color="auto"/>
                  </w:divBdr>
                  <w:divsChild>
                    <w:div w:id="347371706">
                      <w:marLeft w:val="0"/>
                      <w:marRight w:val="0"/>
                      <w:marTop w:val="0"/>
                      <w:marBottom w:val="0"/>
                      <w:divBdr>
                        <w:top w:val="none" w:sz="0" w:space="0" w:color="auto"/>
                        <w:left w:val="none" w:sz="0" w:space="0" w:color="auto"/>
                        <w:bottom w:val="none" w:sz="0" w:space="0" w:color="auto"/>
                        <w:right w:val="none" w:sz="0" w:space="0" w:color="auto"/>
                      </w:divBdr>
                    </w:div>
                  </w:divsChild>
                </w:div>
                <w:div w:id="19430801">
                  <w:marLeft w:val="0"/>
                  <w:marRight w:val="0"/>
                  <w:marTop w:val="0"/>
                  <w:marBottom w:val="0"/>
                  <w:divBdr>
                    <w:top w:val="none" w:sz="0" w:space="0" w:color="auto"/>
                    <w:left w:val="none" w:sz="0" w:space="0" w:color="auto"/>
                    <w:bottom w:val="none" w:sz="0" w:space="0" w:color="auto"/>
                    <w:right w:val="none" w:sz="0" w:space="0" w:color="auto"/>
                  </w:divBdr>
                  <w:divsChild>
                    <w:div w:id="478806229">
                      <w:marLeft w:val="0"/>
                      <w:marRight w:val="0"/>
                      <w:marTop w:val="0"/>
                      <w:marBottom w:val="0"/>
                      <w:divBdr>
                        <w:top w:val="none" w:sz="0" w:space="0" w:color="auto"/>
                        <w:left w:val="none" w:sz="0" w:space="0" w:color="auto"/>
                        <w:bottom w:val="none" w:sz="0" w:space="0" w:color="auto"/>
                        <w:right w:val="none" w:sz="0" w:space="0" w:color="auto"/>
                      </w:divBdr>
                    </w:div>
                  </w:divsChild>
                </w:div>
                <w:div w:id="1871261494">
                  <w:marLeft w:val="0"/>
                  <w:marRight w:val="0"/>
                  <w:marTop w:val="0"/>
                  <w:marBottom w:val="0"/>
                  <w:divBdr>
                    <w:top w:val="none" w:sz="0" w:space="0" w:color="auto"/>
                    <w:left w:val="none" w:sz="0" w:space="0" w:color="auto"/>
                    <w:bottom w:val="none" w:sz="0" w:space="0" w:color="auto"/>
                    <w:right w:val="none" w:sz="0" w:space="0" w:color="auto"/>
                  </w:divBdr>
                  <w:divsChild>
                    <w:div w:id="1224369335">
                      <w:marLeft w:val="0"/>
                      <w:marRight w:val="0"/>
                      <w:marTop w:val="0"/>
                      <w:marBottom w:val="0"/>
                      <w:divBdr>
                        <w:top w:val="none" w:sz="0" w:space="0" w:color="auto"/>
                        <w:left w:val="none" w:sz="0" w:space="0" w:color="auto"/>
                        <w:bottom w:val="none" w:sz="0" w:space="0" w:color="auto"/>
                        <w:right w:val="none" w:sz="0" w:space="0" w:color="auto"/>
                      </w:divBdr>
                    </w:div>
                  </w:divsChild>
                </w:div>
                <w:div w:id="1464739336">
                  <w:marLeft w:val="0"/>
                  <w:marRight w:val="0"/>
                  <w:marTop w:val="0"/>
                  <w:marBottom w:val="0"/>
                  <w:divBdr>
                    <w:top w:val="none" w:sz="0" w:space="0" w:color="auto"/>
                    <w:left w:val="none" w:sz="0" w:space="0" w:color="auto"/>
                    <w:bottom w:val="none" w:sz="0" w:space="0" w:color="auto"/>
                    <w:right w:val="none" w:sz="0" w:space="0" w:color="auto"/>
                  </w:divBdr>
                  <w:divsChild>
                    <w:div w:id="1383597472">
                      <w:marLeft w:val="0"/>
                      <w:marRight w:val="0"/>
                      <w:marTop w:val="0"/>
                      <w:marBottom w:val="0"/>
                      <w:divBdr>
                        <w:top w:val="none" w:sz="0" w:space="0" w:color="auto"/>
                        <w:left w:val="none" w:sz="0" w:space="0" w:color="auto"/>
                        <w:bottom w:val="none" w:sz="0" w:space="0" w:color="auto"/>
                        <w:right w:val="none" w:sz="0" w:space="0" w:color="auto"/>
                      </w:divBdr>
                    </w:div>
                  </w:divsChild>
                </w:div>
                <w:div w:id="4334871">
                  <w:marLeft w:val="0"/>
                  <w:marRight w:val="0"/>
                  <w:marTop w:val="0"/>
                  <w:marBottom w:val="0"/>
                  <w:divBdr>
                    <w:top w:val="none" w:sz="0" w:space="0" w:color="auto"/>
                    <w:left w:val="none" w:sz="0" w:space="0" w:color="auto"/>
                    <w:bottom w:val="none" w:sz="0" w:space="0" w:color="auto"/>
                    <w:right w:val="none" w:sz="0" w:space="0" w:color="auto"/>
                  </w:divBdr>
                  <w:divsChild>
                    <w:div w:id="542136997">
                      <w:marLeft w:val="0"/>
                      <w:marRight w:val="0"/>
                      <w:marTop w:val="0"/>
                      <w:marBottom w:val="0"/>
                      <w:divBdr>
                        <w:top w:val="none" w:sz="0" w:space="0" w:color="auto"/>
                        <w:left w:val="none" w:sz="0" w:space="0" w:color="auto"/>
                        <w:bottom w:val="none" w:sz="0" w:space="0" w:color="auto"/>
                        <w:right w:val="none" w:sz="0" w:space="0" w:color="auto"/>
                      </w:divBdr>
                    </w:div>
                  </w:divsChild>
                </w:div>
                <w:div w:id="850801217">
                  <w:marLeft w:val="0"/>
                  <w:marRight w:val="0"/>
                  <w:marTop w:val="0"/>
                  <w:marBottom w:val="0"/>
                  <w:divBdr>
                    <w:top w:val="none" w:sz="0" w:space="0" w:color="auto"/>
                    <w:left w:val="none" w:sz="0" w:space="0" w:color="auto"/>
                    <w:bottom w:val="none" w:sz="0" w:space="0" w:color="auto"/>
                    <w:right w:val="none" w:sz="0" w:space="0" w:color="auto"/>
                  </w:divBdr>
                  <w:divsChild>
                    <w:div w:id="1809468062">
                      <w:marLeft w:val="0"/>
                      <w:marRight w:val="0"/>
                      <w:marTop w:val="0"/>
                      <w:marBottom w:val="0"/>
                      <w:divBdr>
                        <w:top w:val="none" w:sz="0" w:space="0" w:color="auto"/>
                        <w:left w:val="none" w:sz="0" w:space="0" w:color="auto"/>
                        <w:bottom w:val="none" w:sz="0" w:space="0" w:color="auto"/>
                        <w:right w:val="none" w:sz="0" w:space="0" w:color="auto"/>
                      </w:divBdr>
                    </w:div>
                  </w:divsChild>
                </w:div>
                <w:div w:id="816579854">
                  <w:marLeft w:val="0"/>
                  <w:marRight w:val="0"/>
                  <w:marTop w:val="0"/>
                  <w:marBottom w:val="0"/>
                  <w:divBdr>
                    <w:top w:val="none" w:sz="0" w:space="0" w:color="auto"/>
                    <w:left w:val="none" w:sz="0" w:space="0" w:color="auto"/>
                    <w:bottom w:val="none" w:sz="0" w:space="0" w:color="auto"/>
                    <w:right w:val="none" w:sz="0" w:space="0" w:color="auto"/>
                  </w:divBdr>
                  <w:divsChild>
                    <w:div w:id="2111198445">
                      <w:marLeft w:val="0"/>
                      <w:marRight w:val="0"/>
                      <w:marTop w:val="0"/>
                      <w:marBottom w:val="0"/>
                      <w:divBdr>
                        <w:top w:val="none" w:sz="0" w:space="0" w:color="auto"/>
                        <w:left w:val="none" w:sz="0" w:space="0" w:color="auto"/>
                        <w:bottom w:val="none" w:sz="0" w:space="0" w:color="auto"/>
                        <w:right w:val="none" w:sz="0" w:space="0" w:color="auto"/>
                      </w:divBdr>
                    </w:div>
                  </w:divsChild>
                </w:div>
                <w:div w:id="1642345700">
                  <w:marLeft w:val="0"/>
                  <w:marRight w:val="0"/>
                  <w:marTop w:val="0"/>
                  <w:marBottom w:val="0"/>
                  <w:divBdr>
                    <w:top w:val="none" w:sz="0" w:space="0" w:color="auto"/>
                    <w:left w:val="none" w:sz="0" w:space="0" w:color="auto"/>
                    <w:bottom w:val="none" w:sz="0" w:space="0" w:color="auto"/>
                    <w:right w:val="none" w:sz="0" w:space="0" w:color="auto"/>
                  </w:divBdr>
                  <w:divsChild>
                    <w:div w:id="21322003">
                      <w:marLeft w:val="0"/>
                      <w:marRight w:val="0"/>
                      <w:marTop w:val="0"/>
                      <w:marBottom w:val="0"/>
                      <w:divBdr>
                        <w:top w:val="none" w:sz="0" w:space="0" w:color="auto"/>
                        <w:left w:val="none" w:sz="0" w:space="0" w:color="auto"/>
                        <w:bottom w:val="none" w:sz="0" w:space="0" w:color="auto"/>
                        <w:right w:val="none" w:sz="0" w:space="0" w:color="auto"/>
                      </w:divBdr>
                    </w:div>
                  </w:divsChild>
                </w:div>
                <w:div w:id="1402218690">
                  <w:marLeft w:val="0"/>
                  <w:marRight w:val="0"/>
                  <w:marTop w:val="0"/>
                  <w:marBottom w:val="0"/>
                  <w:divBdr>
                    <w:top w:val="none" w:sz="0" w:space="0" w:color="auto"/>
                    <w:left w:val="none" w:sz="0" w:space="0" w:color="auto"/>
                    <w:bottom w:val="none" w:sz="0" w:space="0" w:color="auto"/>
                    <w:right w:val="none" w:sz="0" w:space="0" w:color="auto"/>
                  </w:divBdr>
                  <w:divsChild>
                    <w:div w:id="801381824">
                      <w:marLeft w:val="0"/>
                      <w:marRight w:val="0"/>
                      <w:marTop w:val="0"/>
                      <w:marBottom w:val="0"/>
                      <w:divBdr>
                        <w:top w:val="none" w:sz="0" w:space="0" w:color="auto"/>
                        <w:left w:val="none" w:sz="0" w:space="0" w:color="auto"/>
                        <w:bottom w:val="none" w:sz="0" w:space="0" w:color="auto"/>
                        <w:right w:val="none" w:sz="0" w:space="0" w:color="auto"/>
                      </w:divBdr>
                    </w:div>
                  </w:divsChild>
                </w:div>
                <w:div w:id="1638990688">
                  <w:marLeft w:val="0"/>
                  <w:marRight w:val="0"/>
                  <w:marTop w:val="0"/>
                  <w:marBottom w:val="0"/>
                  <w:divBdr>
                    <w:top w:val="none" w:sz="0" w:space="0" w:color="auto"/>
                    <w:left w:val="none" w:sz="0" w:space="0" w:color="auto"/>
                    <w:bottom w:val="none" w:sz="0" w:space="0" w:color="auto"/>
                    <w:right w:val="none" w:sz="0" w:space="0" w:color="auto"/>
                  </w:divBdr>
                  <w:divsChild>
                    <w:div w:id="649214469">
                      <w:marLeft w:val="0"/>
                      <w:marRight w:val="0"/>
                      <w:marTop w:val="0"/>
                      <w:marBottom w:val="0"/>
                      <w:divBdr>
                        <w:top w:val="none" w:sz="0" w:space="0" w:color="auto"/>
                        <w:left w:val="none" w:sz="0" w:space="0" w:color="auto"/>
                        <w:bottom w:val="none" w:sz="0" w:space="0" w:color="auto"/>
                        <w:right w:val="none" w:sz="0" w:space="0" w:color="auto"/>
                      </w:divBdr>
                    </w:div>
                  </w:divsChild>
                </w:div>
                <w:div w:id="413817591">
                  <w:marLeft w:val="0"/>
                  <w:marRight w:val="0"/>
                  <w:marTop w:val="0"/>
                  <w:marBottom w:val="0"/>
                  <w:divBdr>
                    <w:top w:val="none" w:sz="0" w:space="0" w:color="auto"/>
                    <w:left w:val="none" w:sz="0" w:space="0" w:color="auto"/>
                    <w:bottom w:val="none" w:sz="0" w:space="0" w:color="auto"/>
                    <w:right w:val="none" w:sz="0" w:space="0" w:color="auto"/>
                  </w:divBdr>
                  <w:divsChild>
                    <w:div w:id="283315872">
                      <w:marLeft w:val="0"/>
                      <w:marRight w:val="0"/>
                      <w:marTop w:val="0"/>
                      <w:marBottom w:val="0"/>
                      <w:divBdr>
                        <w:top w:val="none" w:sz="0" w:space="0" w:color="auto"/>
                        <w:left w:val="none" w:sz="0" w:space="0" w:color="auto"/>
                        <w:bottom w:val="none" w:sz="0" w:space="0" w:color="auto"/>
                        <w:right w:val="none" w:sz="0" w:space="0" w:color="auto"/>
                      </w:divBdr>
                    </w:div>
                  </w:divsChild>
                </w:div>
                <w:div w:id="1610972528">
                  <w:marLeft w:val="0"/>
                  <w:marRight w:val="0"/>
                  <w:marTop w:val="0"/>
                  <w:marBottom w:val="0"/>
                  <w:divBdr>
                    <w:top w:val="none" w:sz="0" w:space="0" w:color="auto"/>
                    <w:left w:val="none" w:sz="0" w:space="0" w:color="auto"/>
                    <w:bottom w:val="none" w:sz="0" w:space="0" w:color="auto"/>
                    <w:right w:val="none" w:sz="0" w:space="0" w:color="auto"/>
                  </w:divBdr>
                  <w:divsChild>
                    <w:div w:id="1254052165">
                      <w:marLeft w:val="0"/>
                      <w:marRight w:val="0"/>
                      <w:marTop w:val="0"/>
                      <w:marBottom w:val="0"/>
                      <w:divBdr>
                        <w:top w:val="none" w:sz="0" w:space="0" w:color="auto"/>
                        <w:left w:val="none" w:sz="0" w:space="0" w:color="auto"/>
                        <w:bottom w:val="none" w:sz="0" w:space="0" w:color="auto"/>
                        <w:right w:val="none" w:sz="0" w:space="0" w:color="auto"/>
                      </w:divBdr>
                    </w:div>
                  </w:divsChild>
                </w:div>
                <w:div w:id="1965650416">
                  <w:marLeft w:val="0"/>
                  <w:marRight w:val="0"/>
                  <w:marTop w:val="0"/>
                  <w:marBottom w:val="0"/>
                  <w:divBdr>
                    <w:top w:val="none" w:sz="0" w:space="0" w:color="auto"/>
                    <w:left w:val="none" w:sz="0" w:space="0" w:color="auto"/>
                    <w:bottom w:val="none" w:sz="0" w:space="0" w:color="auto"/>
                    <w:right w:val="none" w:sz="0" w:space="0" w:color="auto"/>
                  </w:divBdr>
                  <w:divsChild>
                    <w:div w:id="1794470993">
                      <w:marLeft w:val="0"/>
                      <w:marRight w:val="0"/>
                      <w:marTop w:val="0"/>
                      <w:marBottom w:val="0"/>
                      <w:divBdr>
                        <w:top w:val="none" w:sz="0" w:space="0" w:color="auto"/>
                        <w:left w:val="none" w:sz="0" w:space="0" w:color="auto"/>
                        <w:bottom w:val="none" w:sz="0" w:space="0" w:color="auto"/>
                        <w:right w:val="none" w:sz="0" w:space="0" w:color="auto"/>
                      </w:divBdr>
                    </w:div>
                  </w:divsChild>
                </w:div>
                <w:div w:id="1951738678">
                  <w:marLeft w:val="0"/>
                  <w:marRight w:val="0"/>
                  <w:marTop w:val="0"/>
                  <w:marBottom w:val="0"/>
                  <w:divBdr>
                    <w:top w:val="none" w:sz="0" w:space="0" w:color="auto"/>
                    <w:left w:val="none" w:sz="0" w:space="0" w:color="auto"/>
                    <w:bottom w:val="none" w:sz="0" w:space="0" w:color="auto"/>
                    <w:right w:val="none" w:sz="0" w:space="0" w:color="auto"/>
                  </w:divBdr>
                  <w:divsChild>
                    <w:div w:id="506944224">
                      <w:marLeft w:val="0"/>
                      <w:marRight w:val="0"/>
                      <w:marTop w:val="0"/>
                      <w:marBottom w:val="0"/>
                      <w:divBdr>
                        <w:top w:val="none" w:sz="0" w:space="0" w:color="auto"/>
                        <w:left w:val="none" w:sz="0" w:space="0" w:color="auto"/>
                        <w:bottom w:val="none" w:sz="0" w:space="0" w:color="auto"/>
                        <w:right w:val="none" w:sz="0" w:space="0" w:color="auto"/>
                      </w:divBdr>
                    </w:div>
                  </w:divsChild>
                </w:div>
                <w:div w:id="1699161340">
                  <w:marLeft w:val="0"/>
                  <w:marRight w:val="0"/>
                  <w:marTop w:val="0"/>
                  <w:marBottom w:val="0"/>
                  <w:divBdr>
                    <w:top w:val="none" w:sz="0" w:space="0" w:color="auto"/>
                    <w:left w:val="none" w:sz="0" w:space="0" w:color="auto"/>
                    <w:bottom w:val="none" w:sz="0" w:space="0" w:color="auto"/>
                    <w:right w:val="none" w:sz="0" w:space="0" w:color="auto"/>
                  </w:divBdr>
                  <w:divsChild>
                    <w:div w:id="1517423009">
                      <w:marLeft w:val="0"/>
                      <w:marRight w:val="0"/>
                      <w:marTop w:val="0"/>
                      <w:marBottom w:val="0"/>
                      <w:divBdr>
                        <w:top w:val="none" w:sz="0" w:space="0" w:color="auto"/>
                        <w:left w:val="none" w:sz="0" w:space="0" w:color="auto"/>
                        <w:bottom w:val="none" w:sz="0" w:space="0" w:color="auto"/>
                        <w:right w:val="none" w:sz="0" w:space="0" w:color="auto"/>
                      </w:divBdr>
                    </w:div>
                  </w:divsChild>
                </w:div>
                <w:div w:id="340593239">
                  <w:marLeft w:val="0"/>
                  <w:marRight w:val="0"/>
                  <w:marTop w:val="0"/>
                  <w:marBottom w:val="0"/>
                  <w:divBdr>
                    <w:top w:val="none" w:sz="0" w:space="0" w:color="auto"/>
                    <w:left w:val="none" w:sz="0" w:space="0" w:color="auto"/>
                    <w:bottom w:val="none" w:sz="0" w:space="0" w:color="auto"/>
                    <w:right w:val="none" w:sz="0" w:space="0" w:color="auto"/>
                  </w:divBdr>
                  <w:divsChild>
                    <w:div w:id="1564368599">
                      <w:marLeft w:val="0"/>
                      <w:marRight w:val="0"/>
                      <w:marTop w:val="0"/>
                      <w:marBottom w:val="0"/>
                      <w:divBdr>
                        <w:top w:val="none" w:sz="0" w:space="0" w:color="auto"/>
                        <w:left w:val="none" w:sz="0" w:space="0" w:color="auto"/>
                        <w:bottom w:val="none" w:sz="0" w:space="0" w:color="auto"/>
                        <w:right w:val="none" w:sz="0" w:space="0" w:color="auto"/>
                      </w:divBdr>
                    </w:div>
                  </w:divsChild>
                </w:div>
                <w:div w:id="29962983">
                  <w:marLeft w:val="0"/>
                  <w:marRight w:val="0"/>
                  <w:marTop w:val="0"/>
                  <w:marBottom w:val="0"/>
                  <w:divBdr>
                    <w:top w:val="none" w:sz="0" w:space="0" w:color="auto"/>
                    <w:left w:val="none" w:sz="0" w:space="0" w:color="auto"/>
                    <w:bottom w:val="none" w:sz="0" w:space="0" w:color="auto"/>
                    <w:right w:val="none" w:sz="0" w:space="0" w:color="auto"/>
                  </w:divBdr>
                  <w:divsChild>
                    <w:div w:id="652874513">
                      <w:marLeft w:val="0"/>
                      <w:marRight w:val="0"/>
                      <w:marTop w:val="0"/>
                      <w:marBottom w:val="0"/>
                      <w:divBdr>
                        <w:top w:val="none" w:sz="0" w:space="0" w:color="auto"/>
                        <w:left w:val="none" w:sz="0" w:space="0" w:color="auto"/>
                        <w:bottom w:val="none" w:sz="0" w:space="0" w:color="auto"/>
                        <w:right w:val="none" w:sz="0" w:space="0" w:color="auto"/>
                      </w:divBdr>
                    </w:div>
                  </w:divsChild>
                </w:div>
                <w:div w:id="278072512">
                  <w:marLeft w:val="0"/>
                  <w:marRight w:val="0"/>
                  <w:marTop w:val="0"/>
                  <w:marBottom w:val="0"/>
                  <w:divBdr>
                    <w:top w:val="none" w:sz="0" w:space="0" w:color="auto"/>
                    <w:left w:val="none" w:sz="0" w:space="0" w:color="auto"/>
                    <w:bottom w:val="none" w:sz="0" w:space="0" w:color="auto"/>
                    <w:right w:val="none" w:sz="0" w:space="0" w:color="auto"/>
                  </w:divBdr>
                  <w:divsChild>
                    <w:div w:id="1760566648">
                      <w:marLeft w:val="0"/>
                      <w:marRight w:val="0"/>
                      <w:marTop w:val="0"/>
                      <w:marBottom w:val="0"/>
                      <w:divBdr>
                        <w:top w:val="none" w:sz="0" w:space="0" w:color="auto"/>
                        <w:left w:val="none" w:sz="0" w:space="0" w:color="auto"/>
                        <w:bottom w:val="none" w:sz="0" w:space="0" w:color="auto"/>
                        <w:right w:val="none" w:sz="0" w:space="0" w:color="auto"/>
                      </w:divBdr>
                    </w:div>
                  </w:divsChild>
                </w:div>
                <w:div w:id="109935655">
                  <w:marLeft w:val="0"/>
                  <w:marRight w:val="0"/>
                  <w:marTop w:val="0"/>
                  <w:marBottom w:val="0"/>
                  <w:divBdr>
                    <w:top w:val="none" w:sz="0" w:space="0" w:color="auto"/>
                    <w:left w:val="none" w:sz="0" w:space="0" w:color="auto"/>
                    <w:bottom w:val="none" w:sz="0" w:space="0" w:color="auto"/>
                    <w:right w:val="none" w:sz="0" w:space="0" w:color="auto"/>
                  </w:divBdr>
                  <w:divsChild>
                    <w:div w:id="662701233">
                      <w:marLeft w:val="0"/>
                      <w:marRight w:val="0"/>
                      <w:marTop w:val="0"/>
                      <w:marBottom w:val="0"/>
                      <w:divBdr>
                        <w:top w:val="none" w:sz="0" w:space="0" w:color="auto"/>
                        <w:left w:val="none" w:sz="0" w:space="0" w:color="auto"/>
                        <w:bottom w:val="none" w:sz="0" w:space="0" w:color="auto"/>
                        <w:right w:val="none" w:sz="0" w:space="0" w:color="auto"/>
                      </w:divBdr>
                    </w:div>
                  </w:divsChild>
                </w:div>
                <w:div w:id="1729376217">
                  <w:marLeft w:val="0"/>
                  <w:marRight w:val="0"/>
                  <w:marTop w:val="0"/>
                  <w:marBottom w:val="0"/>
                  <w:divBdr>
                    <w:top w:val="none" w:sz="0" w:space="0" w:color="auto"/>
                    <w:left w:val="none" w:sz="0" w:space="0" w:color="auto"/>
                    <w:bottom w:val="none" w:sz="0" w:space="0" w:color="auto"/>
                    <w:right w:val="none" w:sz="0" w:space="0" w:color="auto"/>
                  </w:divBdr>
                  <w:divsChild>
                    <w:div w:id="134756672">
                      <w:marLeft w:val="0"/>
                      <w:marRight w:val="0"/>
                      <w:marTop w:val="0"/>
                      <w:marBottom w:val="0"/>
                      <w:divBdr>
                        <w:top w:val="none" w:sz="0" w:space="0" w:color="auto"/>
                        <w:left w:val="none" w:sz="0" w:space="0" w:color="auto"/>
                        <w:bottom w:val="none" w:sz="0" w:space="0" w:color="auto"/>
                        <w:right w:val="none" w:sz="0" w:space="0" w:color="auto"/>
                      </w:divBdr>
                    </w:div>
                  </w:divsChild>
                </w:div>
                <w:div w:id="563683881">
                  <w:marLeft w:val="0"/>
                  <w:marRight w:val="0"/>
                  <w:marTop w:val="0"/>
                  <w:marBottom w:val="0"/>
                  <w:divBdr>
                    <w:top w:val="none" w:sz="0" w:space="0" w:color="auto"/>
                    <w:left w:val="none" w:sz="0" w:space="0" w:color="auto"/>
                    <w:bottom w:val="none" w:sz="0" w:space="0" w:color="auto"/>
                    <w:right w:val="none" w:sz="0" w:space="0" w:color="auto"/>
                  </w:divBdr>
                  <w:divsChild>
                    <w:div w:id="986279284">
                      <w:marLeft w:val="0"/>
                      <w:marRight w:val="0"/>
                      <w:marTop w:val="0"/>
                      <w:marBottom w:val="0"/>
                      <w:divBdr>
                        <w:top w:val="none" w:sz="0" w:space="0" w:color="auto"/>
                        <w:left w:val="none" w:sz="0" w:space="0" w:color="auto"/>
                        <w:bottom w:val="none" w:sz="0" w:space="0" w:color="auto"/>
                        <w:right w:val="none" w:sz="0" w:space="0" w:color="auto"/>
                      </w:divBdr>
                    </w:div>
                  </w:divsChild>
                </w:div>
                <w:div w:id="2048604506">
                  <w:marLeft w:val="0"/>
                  <w:marRight w:val="0"/>
                  <w:marTop w:val="0"/>
                  <w:marBottom w:val="0"/>
                  <w:divBdr>
                    <w:top w:val="none" w:sz="0" w:space="0" w:color="auto"/>
                    <w:left w:val="none" w:sz="0" w:space="0" w:color="auto"/>
                    <w:bottom w:val="none" w:sz="0" w:space="0" w:color="auto"/>
                    <w:right w:val="none" w:sz="0" w:space="0" w:color="auto"/>
                  </w:divBdr>
                  <w:divsChild>
                    <w:div w:id="466557153">
                      <w:marLeft w:val="0"/>
                      <w:marRight w:val="0"/>
                      <w:marTop w:val="0"/>
                      <w:marBottom w:val="0"/>
                      <w:divBdr>
                        <w:top w:val="none" w:sz="0" w:space="0" w:color="auto"/>
                        <w:left w:val="none" w:sz="0" w:space="0" w:color="auto"/>
                        <w:bottom w:val="none" w:sz="0" w:space="0" w:color="auto"/>
                        <w:right w:val="none" w:sz="0" w:space="0" w:color="auto"/>
                      </w:divBdr>
                    </w:div>
                  </w:divsChild>
                </w:div>
                <w:div w:id="861548922">
                  <w:marLeft w:val="0"/>
                  <w:marRight w:val="0"/>
                  <w:marTop w:val="0"/>
                  <w:marBottom w:val="0"/>
                  <w:divBdr>
                    <w:top w:val="none" w:sz="0" w:space="0" w:color="auto"/>
                    <w:left w:val="none" w:sz="0" w:space="0" w:color="auto"/>
                    <w:bottom w:val="none" w:sz="0" w:space="0" w:color="auto"/>
                    <w:right w:val="none" w:sz="0" w:space="0" w:color="auto"/>
                  </w:divBdr>
                  <w:divsChild>
                    <w:div w:id="1488547445">
                      <w:marLeft w:val="0"/>
                      <w:marRight w:val="0"/>
                      <w:marTop w:val="0"/>
                      <w:marBottom w:val="0"/>
                      <w:divBdr>
                        <w:top w:val="none" w:sz="0" w:space="0" w:color="auto"/>
                        <w:left w:val="none" w:sz="0" w:space="0" w:color="auto"/>
                        <w:bottom w:val="none" w:sz="0" w:space="0" w:color="auto"/>
                        <w:right w:val="none" w:sz="0" w:space="0" w:color="auto"/>
                      </w:divBdr>
                    </w:div>
                  </w:divsChild>
                </w:div>
                <w:div w:id="339281063">
                  <w:marLeft w:val="0"/>
                  <w:marRight w:val="0"/>
                  <w:marTop w:val="0"/>
                  <w:marBottom w:val="0"/>
                  <w:divBdr>
                    <w:top w:val="none" w:sz="0" w:space="0" w:color="auto"/>
                    <w:left w:val="none" w:sz="0" w:space="0" w:color="auto"/>
                    <w:bottom w:val="none" w:sz="0" w:space="0" w:color="auto"/>
                    <w:right w:val="none" w:sz="0" w:space="0" w:color="auto"/>
                  </w:divBdr>
                  <w:divsChild>
                    <w:div w:id="520245504">
                      <w:marLeft w:val="0"/>
                      <w:marRight w:val="0"/>
                      <w:marTop w:val="0"/>
                      <w:marBottom w:val="0"/>
                      <w:divBdr>
                        <w:top w:val="none" w:sz="0" w:space="0" w:color="auto"/>
                        <w:left w:val="none" w:sz="0" w:space="0" w:color="auto"/>
                        <w:bottom w:val="none" w:sz="0" w:space="0" w:color="auto"/>
                        <w:right w:val="none" w:sz="0" w:space="0" w:color="auto"/>
                      </w:divBdr>
                    </w:div>
                  </w:divsChild>
                </w:div>
                <w:div w:id="651064673">
                  <w:marLeft w:val="0"/>
                  <w:marRight w:val="0"/>
                  <w:marTop w:val="0"/>
                  <w:marBottom w:val="0"/>
                  <w:divBdr>
                    <w:top w:val="none" w:sz="0" w:space="0" w:color="auto"/>
                    <w:left w:val="none" w:sz="0" w:space="0" w:color="auto"/>
                    <w:bottom w:val="none" w:sz="0" w:space="0" w:color="auto"/>
                    <w:right w:val="none" w:sz="0" w:space="0" w:color="auto"/>
                  </w:divBdr>
                  <w:divsChild>
                    <w:div w:id="2078358823">
                      <w:marLeft w:val="0"/>
                      <w:marRight w:val="0"/>
                      <w:marTop w:val="0"/>
                      <w:marBottom w:val="0"/>
                      <w:divBdr>
                        <w:top w:val="none" w:sz="0" w:space="0" w:color="auto"/>
                        <w:left w:val="none" w:sz="0" w:space="0" w:color="auto"/>
                        <w:bottom w:val="none" w:sz="0" w:space="0" w:color="auto"/>
                        <w:right w:val="none" w:sz="0" w:space="0" w:color="auto"/>
                      </w:divBdr>
                    </w:div>
                  </w:divsChild>
                </w:div>
                <w:div w:id="1492789406">
                  <w:marLeft w:val="0"/>
                  <w:marRight w:val="0"/>
                  <w:marTop w:val="0"/>
                  <w:marBottom w:val="0"/>
                  <w:divBdr>
                    <w:top w:val="none" w:sz="0" w:space="0" w:color="auto"/>
                    <w:left w:val="none" w:sz="0" w:space="0" w:color="auto"/>
                    <w:bottom w:val="none" w:sz="0" w:space="0" w:color="auto"/>
                    <w:right w:val="none" w:sz="0" w:space="0" w:color="auto"/>
                  </w:divBdr>
                  <w:divsChild>
                    <w:div w:id="1023821357">
                      <w:marLeft w:val="0"/>
                      <w:marRight w:val="0"/>
                      <w:marTop w:val="0"/>
                      <w:marBottom w:val="0"/>
                      <w:divBdr>
                        <w:top w:val="none" w:sz="0" w:space="0" w:color="auto"/>
                        <w:left w:val="none" w:sz="0" w:space="0" w:color="auto"/>
                        <w:bottom w:val="none" w:sz="0" w:space="0" w:color="auto"/>
                        <w:right w:val="none" w:sz="0" w:space="0" w:color="auto"/>
                      </w:divBdr>
                    </w:div>
                  </w:divsChild>
                </w:div>
                <w:div w:id="465048790">
                  <w:marLeft w:val="0"/>
                  <w:marRight w:val="0"/>
                  <w:marTop w:val="0"/>
                  <w:marBottom w:val="0"/>
                  <w:divBdr>
                    <w:top w:val="none" w:sz="0" w:space="0" w:color="auto"/>
                    <w:left w:val="none" w:sz="0" w:space="0" w:color="auto"/>
                    <w:bottom w:val="none" w:sz="0" w:space="0" w:color="auto"/>
                    <w:right w:val="none" w:sz="0" w:space="0" w:color="auto"/>
                  </w:divBdr>
                  <w:divsChild>
                    <w:div w:id="1108744361">
                      <w:marLeft w:val="0"/>
                      <w:marRight w:val="0"/>
                      <w:marTop w:val="0"/>
                      <w:marBottom w:val="0"/>
                      <w:divBdr>
                        <w:top w:val="none" w:sz="0" w:space="0" w:color="auto"/>
                        <w:left w:val="none" w:sz="0" w:space="0" w:color="auto"/>
                        <w:bottom w:val="none" w:sz="0" w:space="0" w:color="auto"/>
                        <w:right w:val="none" w:sz="0" w:space="0" w:color="auto"/>
                      </w:divBdr>
                    </w:div>
                  </w:divsChild>
                </w:div>
                <w:div w:id="366878318">
                  <w:marLeft w:val="0"/>
                  <w:marRight w:val="0"/>
                  <w:marTop w:val="0"/>
                  <w:marBottom w:val="0"/>
                  <w:divBdr>
                    <w:top w:val="none" w:sz="0" w:space="0" w:color="auto"/>
                    <w:left w:val="none" w:sz="0" w:space="0" w:color="auto"/>
                    <w:bottom w:val="none" w:sz="0" w:space="0" w:color="auto"/>
                    <w:right w:val="none" w:sz="0" w:space="0" w:color="auto"/>
                  </w:divBdr>
                  <w:divsChild>
                    <w:div w:id="1888368878">
                      <w:marLeft w:val="0"/>
                      <w:marRight w:val="0"/>
                      <w:marTop w:val="0"/>
                      <w:marBottom w:val="0"/>
                      <w:divBdr>
                        <w:top w:val="none" w:sz="0" w:space="0" w:color="auto"/>
                        <w:left w:val="none" w:sz="0" w:space="0" w:color="auto"/>
                        <w:bottom w:val="none" w:sz="0" w:space="0" w:color="auto"/>
                        <w:right w:val="none" w:sz="0" w:space="0" w:color="auto"/>
                      </w:divBdr>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645620509">
                      <w:marLeft w:val="0"/>
                      <w:marRight w:val="0"/>
                      <w:marTop w:val="0"/>
                      <w:marBottom w:val="0"/>
                      <w:divBdr>
                        <w:top w:val="none" w:sz="0" w:space="0" w:color="auto"/>
                        <w:left w:val="none" w:sz="0" w:space="0" w:color="auto"/>
                        <w:bottom w:val="none" w:sz="0" w:space="0" w:color="auto"/>
                        <w:right w:val="none" w:sz="0" w:space="0" w:color="auto"/>
                      </w:divBdr>
                    </w:div>
                  </w:divsChild>
                </w:div>
                <w:div w:id="1511025227">
                  <w:marLeft w:val="0"/>
                  <w:marRight w:val="0"/>
                  <w:marTop w:val="0"/>
                  <w:marBottom w:val="0"/>
                  <w:divBdr>
                    <w:top w:val="none" w:sz="0" w:space="0" w:color="auto"/>
                    <w:left w:val="none" w:sz="0" w:space="0" w:color="auto"/>
                    <w:bottom w:val="none" w:sz="0" w:space="0" w:color="auto"/>
                    <w:right w:val="none" w:sz="0" w:space="0" w:color="auto"/>
                  </w:divBdr>
                  <w:divsChild>
                    <w:div w:id="780614569">
                      <w:marLeft w:val="0"/>
                      <w:marRight w:val="0"/>
                      <w:marTop w:val="0"/>
                      <w:marBottom w:val="0"/>
                      <w:divBdr>
                        <w:top w:val="none" w:sz="0" w:space="0" w:color="auto"/>
                        <w:left w:val="none" w:sz="0" w:space="0" w:color="auto"/>
                        <w:bottom w:val="none" w:sz="0" w:space="0" w:color="auto"/>
                        <w:right w:val="none" w:sz="0" w:space="0" w:color="auto"/>
                      </w:divBdr>
                    </w:div>
                  </w:divsChild>
                </w:div>
                <w:div w:id="714817116">
                  <w:marLeft w:val="0"/>
                  <w:marRight w:val="0"/>
                  <w:marTop w:val="0"/>
                  <w:marBottom w:val="0"/>
                  <w:divBdr>
                    <w:top w:val="none" w:sz="0" w:space="0" w:color="auto"/>
                    <w:left w:val="none" w:sz="0" w:space="0" w:color="auto"/>
                    <w:bottom w:val="none" w:sz="0" w:space="0" w:color="auto"/>
                    <w:right w:val="none" w:sz="0" w:space="0" w:color="auto"/>
                  </w:divBdr>
                  <w:divsChild>
                    <w:div w:id="1566991788">
                      <w:marLeft w:val="0"/>
                      <w:marRight w:val="0"/>
                      <w:marTop w:val="0"/>
                      <w:marBottom w:val="0"/>
                      <w:divBdr>
                        <w:top w:val="none" w:sz="0" w:space="0" w:color="auto"/>
                        <w:left w:val="none" w:sz="0" w:space="0" w:color="auto"/>
                        <w:bottom w:val="none" w:sz="0" w:space="0" w:color="auto"/>
                        <w:right w:val="none" w:sz="0" w:space="0" w:color="auto"/>
                      </w:divBdr>
                    </w:div>
                  </w:divsChild>
                </w:div>
                <w:div w:id="2056150658">
                  <w:marLeft w:val="0"/>
                  <w:marRight w:val="0"/>
                  <w:marTop w:val="0"/>
                  <w:marBottom w:val="0"/>
                  <w:divBdr>
                    <w:top w:val="none" w:sz="0" w:space="0" w:color="auto"/>
                    <w:left w:val="none" w:sz="0" w:space="0" w:color="auto"/>
                    <w:bottom w:val="none" w:sz="0" w:space="0" w:color="auto"/>
                    <w:right w:val="none" w:sz="0" w:space="0" w:color="auto"/>
                  </w:divBdr>
                  <w:divsChild>
                    <w:div w:id="1802384301">
                      <w:marLeft w:val="0"/>
                      <w:marRight w:val="0"/>
                      <w:marTop w:val="0"/>
                      <w:marBottom w:val="0"/>
                      <w:divBdr>
                        <w:top w:val="none" w:sz="0" w:space="0" w:color="auto"/>
                        <w:left w:val="none" w:sz="0" w:space="0" w:color="auto"/>
                        <w:bottom w:val="none" w:sz="0" w:space="0" w:color="auto"/>
                        <w:right w:val="none" w:sz="0" w:space="0" w:color="auto"/>
                      </w:divBdr>
                    </w:div>
                  </w:divsChild>
                </w:div>
                <w:div w:id="1907953153">
                  <w:marLeft w:val="0"/>
                  <w:marRight w:val="0"/>
                  <w:marTop w:val="0"/>
                  <w:marBottom w:val="0"/>
                  <w:divBdr>
                    <w:top w:val="none" w:sz="0" w:space="0" w:color="auto"/>
                    <w:left w:val="none" w:sz="0" w:space="0" w:color="auto"/>
                    <w:bottom w:val="none" w:sz="0" w:space="0" w:color="auto"/>
                    <w:right w:val="none" w:sz="0" w:space="0" w:color="auto"/>
                  </w:divBdr>
                  <w:divsChild>
                    <w:div w:id="1469857682">
                      <w:marLeft w:val="0"/>
                      <w:marRight w:val="0"/>
                      <w:marTop w:val="0"/>
                      <w:marBottom w:val="0"/>
                      <w:divBdr>
                        <w:top w:val="none" w:sz="0" w:space="0" w:color="auto"/>
                        <w:left w:val="none" w:sz="0" w:space="0" w:color="auto"/>
                        <w:bottom w:val="none" w:sz="0" w:space="0" w:color="auto"/>
                        <w:right w:val="none" w:sz="0" w:space="0" w:color="auto"/>
                      </w:divBdr>
                    </w:div>
                  </w:divsChild>
                </w:div>
                <w:div w:id="511190789">
                  <w:marLeft w:val="0"/>
                  <w:marRight w:val="0"/>
                  <w:marTop w:val="0"/>
                  <w:marBottom w:val="0"/>
                  <w:divBdr>
                    <w:top w:val="none" w:sz="0" w:space="0" w:color="auto"/>
                    <w:left w:val="none" w:sz="0" w:space="0" w:color="auto"/>
                    <w:bottom w:val="none" w:sz="0" w:space="0" w:color="auto"/>
                    <w:right w:val="none" w:sz="0" w:space="0" w:color="auto"/>
                  </w:divBdr>
                  <w:divsChild>
                    <w:div w:id="1371303070">
                      <w:marLeft w:val="0"/>
                      <w:marRight w:val="0"/>
                      <w:marTop w:val="0"/>
                      <w:marBottom w:val="0"/>
                      <w:divBdr>
                        <w:top w:val="none" w:sz="0" w:space="0" w:color="auto"/>
                        <w:left w:val="none" w:sz="0" w:space="0" w:color="auto"/>
                        <w:bottom w:val="none" w:sz="0" w:space="0" w:color="auto"/>
                        <w:right w:val="none" w:sz="0" w:space="0" w:color="auto"/>
                      </w:divBdr>
                    </w:div>
                  </w:divsChild>
                </w:div>
                <w:div w:id="1402368218">
                  <w:marLeft w:val="0"/>
                  <w:marRight w:val="0"/>
                  <w:marTop w:val="0"/>
                  <w:marBottom w:val="0"/>
                  <w:divBdr>
                    <w:top w:val="none" w:sz="0" w:space="0" w:color="auto"/>
                    <w:left w:val="none" w:sz="0" w:space="0" w:color="auto"/>
                    <w:bottom w:val="none" w:sz="0" w:space="0" w:color="auto"/>
                    <w:right w:val="none" w:sz="0" w:space="0" w:color="auto"/>
                  </w:divBdr>
                  <w:divsChild>
                    <w:div w:id="1989698769">
                      <w:marLeft w:val="0"/>
                      <w:marRight w:val="0"/>
                      <w:marTop w:val="0"/>
                      <w:marBottom w:val="0"/>
                      <w:divBdr>
                        <w:top w:val="none" w:sz="0" w:space="0" w:color="auto"/>
                        <w:left w:val="none" w:sz="0" w:space="0" w:color="auto"/>
                        <w:bottom w:val="none" w:sz="0" w:space="0" w:color="auto"/>
                        <w:right w:val="none" w:sz="0" w:space="0" w:color="auto"/>
                      </w:divBdr>
                    </w:div>
                  </w:divsChild>
                </w:div>
                <w:div w:id="157771979">
                  <w:marLeft w:val="0"/>
                  <w:marRight w:val="0"/>
                  <w:marTop w:val="0"/>
                  <w:marBottom w:val="0"/>
                  <w:divBdr>
                    <w:top w:val="none" w:sz="0" w:space="0" w:color="auto"/>
                    <w:left w:val="none" w:sz="0" w:space="0" w:color="auto"/>
                    <w:bottom w:val="none" w:sz="0" w:space="0" w:color="auto"/>
                    <w:right w:val="none" w:sz="0" w:space="0" w:color="auto"/>
                  </w:divBdr>
                  <w:divsChild>
                    <w:div w:id="2059551218">
                      <w:marLeft w:val="0"/>
                      <w:marRight w:val="0"/>
                      <w:marTop w:val="0"/>
                      <w:marBottom w:val="0"/>
                      <w:divBdr>
                        <w:top w:val="none" w:sz="0" w:space="0" w:color="auto"/>
                        <w:left w:val="none" w:sz="0" w:space="0" w:color="auto"/>
                        <w:bottom w:val="none" w:sz="0" w:space="0" w:color="auto"/>
                        <w:right w:val="none" w:sz="0" w:space="0" w:color="auto"/>
                      </w:divBdr>
                    </w:div>
                  </w:divsChild>
                </w:div>
                <w:div w:id="1821846823">
                  <w:marLeft w:val="0"/>
                  <w:marRight w:val="0"/>
                  <w:marTop w:val="0"/>
                  <w:marBottom w:val="0"/>
                  <w:divBdr>
                    <w:top w:val="none" w:sz="0" w:space="0" w:color="auto"/>
                    <w:left w:val="none" w:sz="0" w:space="0" w:color="auto"/>
                    <w:bottom w:val="none" w:sz="0" w:space="0" w:color="auto"/>
                    <w:right w:val="none" w:sz="0" w:space="0" w:color="auto"/>
                  </w:divBdr>
                  <w:divsChild>
                    <w:div w:id="1514762521">
                      <w:marLeft w:val="0"/>
                      <w:marRight w:val="0"/>
                      <w:marTop w:val="0"/>
                      <w:marBottom w:val="0"/>
                      <w:divBdr>
                        <w:top w:val="none" w:sz="0" w:space="0" w:color="auto"/>
                        <w:left w:val="none" w:sz="0" w:space="0" w:color="auto"/>
                        <w:bottom w:val="none" w:sz="0" w:space="0" w:color="auto"/>
                        <w:right w:val="none" w:sz="0" w:space="0" w:color="auto"/>
                      </w:divBdr>
                    </w:div>
                  </w:divsChild>
                </w:div>
                <w:div w:id="895900081">
                  <w:marLeft w:val="0"/>
                  <w:marRight w:val="0"/>
                  <w:marTop w:val="0"/>
                  <w:marBottom w:val="0"/>
                  <w:divBdr>
                    <w:top w:val="none" w:sz="0" w:space="0" w:color="auto"/>
                    <w:left w:val="none" w:sz="0" w:space="0" w:color="auto"/>
                    <w:bottom w:val="none" w:sz="0" w:space="0" w:color="auto"/>
                    <w:right w:val="none" w:sz="0" w:space="0" w:color="auto"/>
                  </w:divBdr>
                  <w:divsChild>
                    <w:div w:id="1119184054">
                      <w:marLeft w:val="0"/>
                      <w:marRight w:val="0"/>
                      <w:marTop w:val="0"/>
                      <w:marBottom w:val="0"/>
                      <w:divBdr>
                        <w:top w:val="none" w:sz="0" w:space="0" w:color="auto"/>
                        <w:left w:val="none" w:sz="0" w:space="0" w:color="auto"/>
                        <w:bottom w:val="none" w:sz="0" w:space="0" w:color="auto"/>
                        <w:right w:val="none" w:sz="0" w:space="0" w:color="auto"/>
                      </w:divBdr>
                    </w:div>
                  </w:divsChild>
                </w:div>
                <w:div w:id="1146583540">
                  <w:marLeft w:val="0"/>
                  <w:marRight w:val="0"/>
                  <w:marTop w:val="0"/>
                  <w:marBottom w:val="0"/>
                  <w:divBdr>
                    <w:top w:val="none" w:sz="0" w:space="0" w:color="auto"/>
                    <w:left w:val="none" w:sz="0" w:space="0" w:color="auto"/>
                    <w:bottom w:val="none" w:sz="0" w:space="0" w:color="auto"/>
                    <w:right w:val="none" w:sz="0" w:space="0" w:color="auto"/>
                  </w:divBdr>
                  <w:divsChild>
                    <w:div w:id="1929731300">
                      <w:marLeft w:val="0"/>
                      <w:marRight w:val="0"/>
                      <w:marTop w:val="0"/>
                      <w:marBottom w:val="0"/>
                      <w:divBdr>
                        <w:top w:val="none" w:sz="0" w:space="0" w:color="auto"/>
                        <w:left w:val="none" w:sz="0" w:space="0" w:color="auto"/>
                        <w:bottom w:val="none" w:sz="0" w:space="0" w:color="auto"/>
                        <w:right w:val="none" w:sz="0" w:space="0" w:color="auto"/>
                      </w:divBdr>
                    </w:div>
                  </w:divsChild>
                </w:div>
                <w:div w:id="1145321541">
                  <w:marLeft w:val="0"/>
                  <w:marRight w:val="0"/>
                  <w:marTop w:val="0"/>
                  <w:marBottom w:val="0"/>
                  <w:divBdr>
                    <w:top w:val="none" w:sz="0" w:space="0" w:color="auto"/>
                    <w:left w:val="none" w:sz="0" w:space="0" w:color="auto"/>
                    <w:bottom w:val="none" w:sz="0" w:space="0" w:color="auto"/>
                    <w:right w:val="none" w:sz="0" w:space="0" w:color="auto"/>
                  </w:divBdr>
                  <w:divsChild>
                    <w:div w:id="587692879">
                      <w:marLeft w:val="0"/>
                      <w:marRight w:val="0"/>
                      <w:marTop w:val="0"/>
                      <w:marBottom w:val="0"/>
                      <w:divBdr>
                        <w:top w:val="none" w:sz="0" w:space="0" w:color="auto"/>
                        <w:left w:val="none" w:sz="0" w:space="0" w:color="auto"/>
                        <w:bottom w:val="none" w:sz="0" w:space="0" w:color="auto"/>
                        <w:right w:val="none" w:sz="0" w:space="0" w:color="auto"/>
                      </w:divBdr>
                    </w:div>
                  </w:divsChild>
                </w:div>
                <w:div w:id="2141144195">
                  <w:marLeft w:val="0"/>
                  <w:marRight w:val="0"/>
                  <w:marTop w:val="0"/>
                  <w:marBottom w:val="0"/>
                  <w:divBdr>
                    <w:top w:val="none" w:sz="0" w:space="0" w:color="auto"/>
                    <w:left w:val="none" w:sz="0" w:space="0" w:color="auto"/>
                    <w:bottom w:val="none" w:sz="0" w:space="0" w:color="auto"/>
                    <w:right w:val="none" w:sz="0" w:space="0" w:color="auto"/>
                  </w:divBdr>
                  <w:divsChild>
                    <w:div w:id="1369380922">
                      <w:marLeft w:val="0"/>
                      <w:marRight w:val="0"/>
                      <w:marTop w:val="0"/>
                      <w:marBottom w:val="0"/>
                      <w:divBdr>
                        <w:top w:val="none" w:sz="0" w:space="0" w:color="auto"/>
                        <w:left w:val="none" w:sz="0" w:space="0" w:color="auto"/>
                        <w:bottom w:val="none" w:sz="0" w:space="0" w:color="auto"/>
                        <w:right w:val="none" w:sz="0" w:space="0" w:color="auto"/>
                      </w:divBdr>
                    </w:div>
                  </w:divsChild>
                </w:div>
                <w:div w:id="1341157806">
                  <w:marLeft w:val="0"/>
                  <w:marRight w:val="0"/>
                  <w:marTop w:val="0"/>
                  <w:marBottom w:val="0"/>
                  <w:divBdr>
                    <w:top w:val="none" w:sz="0" w:space="0" w:color="auto"/>
                    <w:left w:val="none" w:sz="0" w:space="0" w:color="auto"/>
                    <w:bottom w:val="none" w:sz="0" w:space="0" w:color="auto"/>
                    <w:right w:val="none" w:sz="0" w:space="0" w:color="auto"/>
                  </w:divBdr>
                  <w:divsChild>
                    <w:div w:id="1924143084">
                      <w:marLeft w:val="0"/>
                      <w:marRight w:val="0"/>
                      <w:marTop w:val="0"/>
                      <w:marBottom w:val="0"/>
                      <w:divBdr>
                        <w:top w:val="none" w:sz="0" w:space="0" w:color="auto"/>
                        <w:left w:val="none" w:sz="0" w:space="0" w:color="auto"/>
                        <w:bottom w:val="none" w:sz="0" w:space="0" w:color="auto"/>
                        <w:right w:val="none" w:sz="0" w:space="0" w:color="auto"/>
                      </w:divBdr>
                    </w:div>
                  </w:divsChild>
                </w:div>
                <w:div w:id="1056334">
                  <w:marLeft w:val="0"/>
                  <w:marRight w:val="0"/>
                  <w:marTop w:val="0"/>
                  <w:marBottom w:val="0"/>
                  <w:divBdr>
                    <w:top w:val="none" w:sz="0" w:space="0" w:color="auto"/>
                    <w:left w:val="none" w:sz="0" w:space="0" w:color="auto"/>
                    <w:bottom w:val="none" w:sz="0" w:space="0" w:color="auto"/>
                    <w:right w:val="none" w:sz="0" w:space="0" w:color="auto"/>
                  </w:divBdr>
                  <w:divsChild>
                    <w:div w:id="1135023109">
                      <w:marLeft w:val="0"/>
                      <w:marRight w:val="0"/>
                      <w:marTop w:val="0"/>
                      <w:marBottom w:val="0"/>
                      <w:divBdr>
                        <w:top w:val="none" w:sz="0" w:space="0" w:color="auto"/>
                        <w:left w:val="none" w:sz="0" w:space="0" w:color="auto"/>
                        <w:bottom w:val="none" w:sz="0" w:space="0" w:color="auto"/>
                        <w:right w:val="none" w:sz="0" w:space="0" w:color="auto"/>
                      </w:divBdr>
                    </w:div>
                  </w:divsChild>
                </w:div>
                <w:div w:id="871303376">
                  <w:marLeft w:val="0"/>
                  <w:marRight w:val="0"/>
                  <w:marTop w:val="0"/>
                  <w:marBottom w:val="0"/>
                  <w:divBdr>
                    <w:top w:val="none" w:sz="0" w:space="0" w:color="auto"/>
                    <w:left w:val="none" w:sz="0" w:space="0" w:color="auto"/>
                    <w:bottom w:val="none" w:sz="0" w:space="0" w:color="auto"/>
                    <w:right w:val="none" w:sz="0" w:space="0" w:color="auto"/>
                  </w:divBdr>
                  <w:divsChild>
                    <w:div w:id="739981044">
                      <w:marLeft w:val="0"/>
                      <w:marRight w:val="0"/>
                      <w:marTop w:val="0"/>
                      <w:marBottom w:val="0"/>
                      <w:divBdr>
                        <w:top w:val="none" w:sz="0" w:space="0" w:color="auto"/>
                        <w:left w:val="none" w:sz="0" w:space="0" w:color="auto"/>
                        <w:bottom w:val="none" w:sz="0" w:space="0" w:color="auto"/>
                        <w:right w:val="none" w:sz="0" w:space="0" w:color="auto"/>
                      </w:divBdr>
                    </w:div>
                  </w:divsChild>
                </w:div>
                <w:div w:id="569660965">
                  <w:marLeft w:val="0"/>
                  <w:marRight w:val="0"/>
                  <w:marTop w:val="0"/>
                  <w:marBottom w:val="0"/>
                  <w:divBdr>
                    <w:top w:val="none" w:sz="0" w:space="0" w:color="auto"/>
                    <w:left w:val="none" w:sz="0" w:space="0" w:color="auto"/>
                    <w:bottom w:val="none" w:sz="0" w:space="0" w:color="auto"/>
                    <w:right w:val="none" w:sz="0" w:space="0" w:color="auto"/>
                  </w:divBdr>
                  <w:divsChild>
                    <w:div w:id="489098705">
                      <w:marLeft w:val="0"/>
                      <w:marRight w:val="0"/>
                      <w:marTop w:val="0"/>
                      <w:marBottom w:val="0"/>
                      <w:divBdr>
                        <w:top w:val="none" w:sz="0" w:space="0" w:color="auto"/>
                        <w:left w:val="none" w:sz="0" w:space="0" w:color="auto"/>
                        <w:bottom w:val="none" w:sz="0" w:space="0" w:color="auto"/>
                        <w:right w:val="none" w:sz="0" w:space="0" w:color="auto"/>
                      </w:divBdr>
                    </w:div>
                  </w:divsChild>
                </w:div>
                <w:div w:id="1584953295">
                  <w:marLeft w:val="0"/>
                  <w:marRight w:val="0"/>
                  <w:marTop w:val="0"/>
                  <w:marBottom w:val="0"/>
                  <w:divBdr>
                    <w:top w:val="none" w:sz="0" w:space="0" w:color="auto"/>
                    <w:left w:val="none" w:sz="0" w:space="0" w:color="auto"/>
                    <w:bottom w:val="none" w:sz="0" w:space="0" w:color="auto"/>
                    <w:right w:val="none" w:sz="0" w:space="0" w:color="auto"/>
                  </w:divBdr>
                  <w:divsChild>
                    <w:div w:id="1665359617">
                      <w:marLeft w:val="0"/>
                      <w:marRight w:val="0"/>
                      <w:marTop w:val="0"/>
                      <w:marBottom w:val="0"/>
                      <w:divBdr>
                        <w:top w:val="none" w:sz="0" w:space="0" w:color="auto"/>
                        <w:left w:val="none" w:sz="0" w:space="0" w:color="auto"/>
                        <w:bottom w:val="none" w:sz="0" w:space="0" w:color="auto"/>
                        <w:right w:val="none" w:sz="0" w:space="0" w:color="auto"/>
                      </w:divBdr>
                    </w:div>
                  </w:divsChild>
                </w:div>
                <w:div w:id="1258831470">
                  <w:marLeft w:val="0"/>
                  <w:marRight w:val="0"/>
                  <w:marTop w:val="0"/>
                  <w:marBottom w:val="0"/>
                  <w:divBdr>
                    <w:top w:val="none" w:sz="0" w:space="0" w:color="auto"/>
                    <w:left w:val="none" w:sz="0" w:space="0" w:color="auto"/>
                    <w:bottom w:val="none" w:sz="0" w:space="0" w:color="auto"/>
                    <w:right w:val="none" w:sz="0" w:space="0" w:color="auto"/>
                  </w:divBdr>
                  <w:divsChild>
                    <w:div w:id="1973098896">
                      <w:marLeft w:val="0"/>
                      <w:marRight w:val="0"/>
                      <w:marTop w:val="0"/>
                      <w:marBottom w:val="0"/>
                      <w:divBdr>
                        <w:top w:val="none" w:sz="0" w:space="0" w:color="auto"/>
                        <w:left w:val="none" w:sz="0" w:space="0" w:color="auto"/>
                        <w:bottom w:val="none" w:sz="0" w:space="0" w:color="auto"/>
                        <w:right w:val="none" w:sz="0" w:space="0" w:color="auto"/>
                      </w:divBdr>
                    </w:div>
                  </w:divsChild>
                </w:div>
                <w:div w:id="231238130">
                  <w:marLeft w:val="0"/>
                  <w:marRight w:val="0"/>
                  <w:marTop w:val="0"/>
                  <w:marBottom w:val="0"/>
                  <w:divBdr>
                    <w:top w:val="none" w:sz="0" w:space="0" w:color="auto"/>
                    <w:left w:val="none" w:sz="0" w:space="0" w:color="auto"/>
                    <w:bottom w:val="none" w:sz="0" w:space="0" w:color="auto"/>
                    <w:right w:val="none" w:sz="0" w:space="0" w:color="auto"/>
                  </w:divBdr>
                  <w:divsChild>
                    <w:div w:id="237714577">
                      <w:marLeft w:val="0"/>
                      <w:marRight w:val="0"/>
                      <w:marTop w:val="0"/>
                      <w:marBottom w:val="0"/>
                      <w:divBdr>
                        <w:top w:val="none" w:sz="0" w:space="0" w:color="auto"/>
                        <w:left w:val="none" w:sz="0" w:space="0" w:color="auto"/>
                        <w:bottom w:val="none" w:sz="0" w:space="0" w:color="auto"/>
                        <w:right w:val="none" w:sz="0" w:space="0" w:color="auto"/>
                      </w:divBdr>
                    </w:div>
                  </w:divsChild>
                </w:div>
                <w:div w:id="919366846">
                  <w:marLeft w:val="0"/>
                  <w:marRight w:val="0"/>
                  <w:marTop w:val="0"/>
                  <w:marBottom w:val="0"/>
                  <w:divBdr>
                    <w:top w:val="none" w:sz="0" w:space="0" w:color="auto"/>
                    <w:left w:val="none" w:sz="0" w:space="0" w:color="auto"/>
                    <w:bottom w:val="none" w:sz="0" w:space="0" w:color="auto"/>
                    <w:right w:val="none" w:sz="0" w:space="0" w:color="auto"/>
                  </w:divBdr>
                  <w:divsChild>
                    <w:div w:id="214201260">
                      <w:marLeft w:val="0"/>
                      <w:marRight w:val="0"/>
                      <w:marTop w:val="0"/>
                      <w:marBottom w:val="0"/>
                      <w:divBdr>
                        <w:top w:val="none" w:sz="0" w:space="0" w:color="auto"/>
                        <w:left w:val="none" w:sz="0" w:space="0" w:color="auto"/>
                        <w:bottom w:val="none" w:sz="0" w:space="0" w:color="auto"/>
                        <w:right w:val="none" w:sz="0" w:space="0" w:color="auto"/>
                      </w:divBdr>
                    </w:div>
                  </w:divsChild>
                </w:div>
                <w:div w:id="140198877">
                  <w:marLeft w:val="0"/>
                  <w:marRight w:val="0"/>
                  <w:marTop w:val="0"/>
                  <w:marBottom w:val="0"/>
                  <w:divBdr>
                    <w:top w:val="none" w:sz="0" w:space="0" w:color="auto"/>
                    <w:left w:val="none" w:sz="0" w:space="0" w:color="auto"/>
                    <w:bottom w:val="none" w:sz="0" w:space="0" w:color="auto"/>
                    <w:right w:val="none" w:sz="0" w:space="0" w:color="auto"/>
                  </w:divBdr>
                  <w:divsChild>
                    <w:div w:id="1339117477">
                      <w:marLeft w:val="0"/>
                      <w:marRight w:val="0"/>
                      <w:marTop w:val="0"/>
                      <w:marBottom w:val="0"/>
                      <w:divBdr>
                        <w:top w:val="none" w:sz="0" w:space="0" w:color="auto"/>
                        <w:left w:val="none" w:sz="0" w:space="0" w:color="auto"/>
                        <w:bottom w:val="none" w:sz="0" w:space="0" w:color="auto"/>
                        <w:right w:val="none" w:sz="0" w:space="0" w:color="auto"/>
                      </w:divBdr>
                    </w:div>
                  </w:divsChild>
                </w:div>
                <w:div w:id="1418332642">
                  <w:marLeft w:val="0"/>
                  <w:marRight w:val="0"/>
                  <w:marTop w:val="0"/>
                  <w:marBottom w:val="0"/>
                  <w:divBdr>
                    <w:top w:val="none" w:sz="0" w:space="0" w:color="auto"/>
                    <w:left w:val="none" w:sz="0" w:space="0" w:color="auto"/>
                    <w:bottom w:val="none" w:sz="0" w:space="0" w:color="auto"/>
                    <w:right w:val="none" w:sz="0" w:space="0" w:color="auto"/>
                  </w:divBdr>
                  <w:divsChild>
                    <w:div w:id="197931604">
                      <w:marLeft w:val="0"/>
                      <w:marRight w:val="0"/>
                      <w:marTop w:val="0"/>
                      <w:marBottom w:val="0"/>
                      <w:divBdr>
                        <w:top w:val="none" w:sz="0" w:space="0" w:color="auto"/>
                        <w:left w:val="none" w:sz="0" w:space="0" w:color="auto"/>
                        <w:bottom w:val="none" w:sz="0" w:space="0" w:color="auto"/>
                        <w:right w:val="none" w:sz="0" w:space="0" w:color="auto"/>
                      </w:divBdr>
                    </w:div>
                  </w:divsChild>
                </w:div>
                <w:div w:id="1928995743">
                  <w:marLeft w:val="0"/>
                  <w:marRight w:val="0"/>
                  <w:marTop w:val="0"/>
                  <w:marBottom w:val="0"/>
                  <w:divBdr>
                    <w:top w:val="none" w:sz="0" w:space="0" w:color="auto"/>
                    <w:left w:val="none" w:sz="0" w:space="0" w:color="auto"/>
                    <w:bottom w:val="none" w:sz="0" w:space="0" w:color="auto"/>
                    <w:right w:val="none" w:sz="0" w:space="0" w:color="auto"/>
                  </w:divBdr>
                  <w:divsChild>
                    <w:div w:id="767623458">
                      <w:marLeft w:val="0"/>
                      <w:marRight w:val="0"/>
                      <w:marTop w:val="0"/>
                      <w:marBottom w:val="0"/>
                      <w:divBdr>
                        <w:top w:val="none" w:sz="0" w:space="0" w:color="auto"/>
                        <w:left w:val="none" w:sz="0" w:space="0" w:color="auto"/>
                        <w:bottom w:val="none" w:sz="0" w:space="0" w:color="auto"/>
                        <w:right w:val="none" w:sz="0" w:space="0" w:color="auto"/>
                      </w:divBdr>
                    </w:div>
                  </w:divsChild>
                </w:div>
                <w:div w:id="169100109">
                  <w:marLeft w:val="0"/>
                  <w:marRight w:val="0"/>
                  <w:marTop w:val="0"/>
                  <w:marBottom w:val="0"/>
                  <w:divBdr>
                    <w:top w:val="none" w:sz="0" w:space="0" w:color="auto"/>
                    <w:left w:val="none" w:sz="0" w:space="0" w:color="auto"/>
                    <w:bottom w:val="none" w:sz="0" w:space="0" w:color="auto"/>
                    <w:right w:val="none" w:sz="0" w:space="0" w:color="auto"/>
                  </w:divBdr>
                  <w:divsChild>
                    <w:div w:id="552154383">
                      <w:marLeft w:val="0"/>
                      <w:marRight w:val="0"/>
                      <w:marTop w:val="0"/>
                      <w:marBottom w:val="0"/>
                      <w:divBdr>
                        <w:top w:val="none" w:sz="0" w:space="0" w:color="auto"/>
                        <w:left w:val="none" w:sz="0" w:space="0" w:color="auto"/>
                        <w:bottom w:val="none" w:sz="0" w:space="0" w:color="auto"/>
                        <w:right w:val="none" w:sz="0" w:space="0" w:color="auto"/>
                      </w:divBdr>
                    </w:div>
                  </w:divsChild>
                </w:div>
                <w:div w:id="1138958225">
                  <w:marLeft w:val="0"/>
                  <w:marRight w:val="0"/>
                  <w:marTop w:val="0"/>
                  <w:marBottom w:val="0"/>
                  <w:divBdr>
                    <w:top w:val="none" w:sz="0" w:space="0" w:color="auto"/>
                    <w:left w:val="none" w:sz="0" w:space="0" w:color="auto"/>
                    <w:bottom w:val="none" w:sz="0" w:space="0" w:color="auto"/>
                    <w:right w:val="none" w:sz="0" w:space="0" w:color="auto"/>
                  </w:divBdr>
                  <w:divsChild>
                    <w:div w:id="247155896">
                      <w:marLeft w:val="0"/>
                      <w:marRight w:val="0"/>
                      <w:marTop w:val="0"/>
                      <w:marBottom w:val="0"/>
                      <w:divBdr>
                        <w:top w:val="none" w:sz="0" w:space="0" w:color="auto"/>
                        <w:left w:val="none" w:sz="0" w:space="0" w:color="auto"/>
                        <w:bottom w:val="none" w:sz="0" w:space="0" w:color="auto"/>
                        <w:right w:val="none" w:sz="0" w:space="0" w:color="auto"/>
                      </w:divBdr>
                    </w:div>
                  </w:divsChild>
                </w:div>
                <w:div w:id="128476821">
                  <w:marLeft w:val="0"/>
                  <w:marRight w:val="0"/>
                  <w:marTop w:val="0"/>
                  <w:marBottom w:val="0"/>
                  <w:divBdr>
                    <w:top w:val="none" w:sz="0" w:space="0" w:color="auto"/>
                    <w:left w:val="none" w:sz="0" w:space="0" w:color="auto"/>
                    <w:bottom w:val="none" w:sz="0" w:space="0" w:color="auto"/>
                    <w:right w:val="none" w:sz="0" w:space="0" w:color="auto"/>
                  </w:divBdr>
                  <w:divsChild>
                    <w:div w:id="477109410">
                      <w:marLeft w:val="0"/>
                      <w:marRight w:val="0"/>
                      <w:marTop w:val="0"/>
                      <w:marBottom w:val="0"/>
                      <w:divBdr>
                        <w:top w:val="none" w:sz="0" w:space="0" w:color="auto"/>
                        <w:left w:val="none" w:sz="0" w:space="0" w:color="auto"/>
                        <w:bottom w:val="none" w:sz="0" w:space="0" w:color="auto"/>
                        <w:right w:val="none" w:sz="0" w:space="0" w:color="auto"/>
                      </w:divBdr>
                    </w:div>
                  </w:divsChild>
                </w:div>
                <w:div w:id="2123645330">
                  <w:marLeft w:val="0"/>
                  <w:marRight w:val="0"/>
                  <w:marTop w:val="0"/>
                  <w:marBottom w:val="0"/>
                  <w:divBdr>
                    <w:top w:val="none" w:sz="0" w:space="0" w:color="auto"/>
                    <w:left w:val="none" w:sz="0" w:space="0" w:color="auto"/>
                    <w:bottom w:val="none" w:sz="0" w:space="0" w:color="auto"/>
                    <w:right w:val="none" w:sz="0" w:space="0" w:color="auto"/>
                  </w:divBdr>
                  <w:divsChild>
                    <w:div w:id="2004893940">
                      <w:marLeft w:val="0"/>
                      <w:marRight w:val="0"/>
                      <w:marTop w:val="0"/>
                      <w:marBottom w:val="0"/>
                      <w:divBdr>
                        <w:top w:val="none" w:sz="0" w:space="0" w:color="auto"/>
                        <w:left w:val="none" w:sz="0" w:space="0" w:color="auto"/>
                        <w:bottom w:val="none" w:sz="0" w:space="0" w:color="auto"/>
                        <w:right w:val="none" w:sz="0" w:space="0" w:color="auto"/>
                      </w:divBdr>
                    </w:div>
                  </w:divsChild>
                </w:div>
                <w:div w:id="403799352">
                  <w:marLeft w:val="0"/>
                  <w:marRight w:val="0"/>
                  <w:marTop w:val="0"/>
                  <w:marBottom w:val="0"/>
                  <w:divBdr>
                    <w:top w:val="none" w:sz="0" w:space="0" w:color="auto"/>
                    <w:left w:val="none" w:sz="0" w:space="0" w:color="auto"/>
                    <w:bottom w:val="none" w:sz="0" w:space="0" w:color="auto"/>
                    <w:right w:val="none" w:sz="0" w:space="0" w:color="auto"/>
                  </w:divBdr>
                  <w:divsChild>
                    <w:div w:id="190609053">
                      <w:marLeft w:val="0"/>
                      <w:marRight w:val="0"/>
                      <w:marTop w:val="0"/>
                      <w:marBottom w:val="0"/>
                      <w:divBdr>
                        <w:top w:val="none" w:sz="0" w:space="0" w:color="auto"/>
                        <w:left w:val="none" w:sz="0" w:space="0" w:color="auto"/>
                        <w:bottom w:val="none" w:sz="0" w:space="0" w:color="auto"/>
                        <w:right w:val="none" w:sz="0" w:space="0" w:color="auto"/>
                      </w:divBdr>
                    </w:div>
                  </w:divsChild>
                </w:div>
                <w:div w:id="1159151118">
                  <w:marLeft w:val="0"/>
                  <w:marRight w:val="0"/>
                  <w:marTop w:val="0"/>
                  <w:marBottom w:val="0"/>
                  <w:divBdr>
                    <w:top w:val="none" w:sz="0" w:space="0" w:color="auto"/>
                    <w:left w:val="none" w:sz="0" w:space="0" w:color="auto"/>
                    <w:bottom w:val="none" w:sz="0" w:space="0" w:color="auto"/>
                    <w:right w:val="none" w:sz="0" w:space="0" w:color="auto"/>
                  </w:divBdr>
                  <w:divsChild>
                    <w:div w:id="1834104174">
                      <w:marLeft w:val="0"/>
                      <w:marRight w:val="0"/>
                      <w:marTop w:val="0"/>
                      <w:marBottom w:val="0"/>
                      <w:divBdr>
                        <w:top w:val="none" w:sz="0" w:space="0" w:color="auto"/>
                        <w:left w:val="none" w:sz="0" w:space="0" w:color="auto"/>
                        <w:bottom w:val="none" w:sz="0" w:space="0" w:color="auto"/>
                        <w:right w:val="none" w:sz="0" w:space="0" w:color="auto"/>
                      </w:divBdr>
                    </w:div>
                  </w:divsChild>
                </w:div>
                <w:div w:id="1884096258">
                  <w:marLeft w:val="0"/>
                  <w:marRight w:val="0"/>
                  <w:marTop w:val="0"/>
                  <w:marBottom w:val="0"/>
                  <w:divBdr>
                    <w:top w:val="none" w:sz="0" w:space="0" w:color="auto"/>
                    <w:left w:val="none" w:sz="0" w:space="0" w:color="auto"/>
                    <w:bottom w:val="none" w:sz="0" w:space="0" w:color="auto"/>
                    <w:right w:val="none" w:sz="0" w:space="0" w:color="auto"/>
                  </w:divBdr>
                  <w:divsChild>
                    <w:div w:id="1239364104">
                      <w:marLeft w:val="0"/>
                      <w:marRight w:val="0"/>
                      <w:marTop w:val="0"/>
                      <w:marBottom w:val="0"/>
                      <w:divBdr>
                        <w:top w:val="none" w:sz="0" w:space="0" w:color="auto"/>
                        <w:left w:val="none" w:sz="0" w:space="0" w:color="auto"/>
                        <w:bottom w:val="none" w:sz="0" w:space="0" w:color="auto"/>
                        <w:right w:val="none" w:sz="0" w:space="0" w:color="auto"/>
                      </w:divBdr>
                    </w:div>
                  </w:divsChild>
                </w:div>
                <w:div w:id="746076781">
                  <w:marLeft w:val="0"/>
                  <w:marRight w:val="0"/>
                  <w:marTop w:val="0"/>
                  <w:marBottom w:val="0"/>
                  <w:divBdr>
                    <w:top w:val="none" w:sz="0" w:space="0" w:color="auto"/>
                    <w:left w:val="none" w:sz="0" w:space="0" w:color="auto"/>
                    <w:bottom w:val="none" w:sz="0" w:space="0" w:color="auto"/>
                    <w:right w:val="none" w:sz="0" w:space="0" w:color="auto"/>
                  </w:divBdr>
                  <w:divsChild>
                    <w:div w:id="1484665247">
                      <w:marLeft w:val="0"/>
                      <w:marRight w:val="0"/>
                      <w:marTop w:val="0"/>
                      <w:marBottom w:val="0"/>
                      <w:divBdr>
                        <w:top w:val="none" w:sz="0" w:space="0" w:color="auto"/>
                        <w:left w:val="none" w:sz="0" w:space="0" w:color="auto"/>
                        <w:bottom w:val="none" w:sz="0" w:space="0" w:color="auto"/>
                        <w:right w:val="none" w:sz="0" w:space="0" w:color="auto"/>
                      </w:divBdr>
                    </w:div>
                  </w:divsChild>
                </w:div>
                <w:div w:id="419908726">
                  <w:marLeft w:val="0"/>
                  <w:marRight w:val="0"/>
                  <w:marTop w:val="0"/>
                  <w:marBottom w:val="0"/>
                  <w:divBdr>
                    <w:top w:val="none" w:sz="0" w:space="0" w:color="auto"/>
                    <w:left w:val="none" w:sz="0" w:space="0" w:color="auto"/>
                    <w:bottom w:val="none" w:sz="0" w:space="0" w:color="auto"/>
                    <w:right w:val="none" w:sz="0" w:space="0" w:color="auto"/>
                  </w:divBdr>
                  <w:divsChild>
                    <w:div w:id="2052028068">
                      <w:marLeft w:val="0"/>
                      <w:marRight w:val="0"/>
                      <w:marTop w:val="0"/>
                      <w:marBottom w:val="0"/>
                      <w:divBdr>
                        <w:top w:val="none" w:sz="0" w:space="0" w:color="auto"/>
                        <w:left w:val="none" w:sz="0" w:space="0" w:color="auto"/>
                        <w:bottom w:val="none" w:sz="0" w:space="0" w:color="auto"/>
                        <w:right w:val="none" w:sz="0" w:space="0" w:color="auto"/>
                      </w:divBdr>
                    </w:div>
                  </w:divsChild>
                </w:div>
                <w:div w:id="1326202527">
                  <w:marLeft w:val="0"/>
                  <w:marRight w:val="0"/>
                  <w:marTop w:val="0"/>
                  <w:marBottom w:val="0"/>
                  <w:divBdr>
                    <w:top w:val="none" w:sz="0" w:space="0" w:color="auto"/>
                    <w:left w:val="none" w:sz="0" w:space="0" w:color="auto"/>
                    <w:bottom w:val="none" w:sz="0" w:space="0" w:color="auto"/>
                    <w:right w:val="none" w:sz="0" w:space="0" w:color="auto"/>
                  </w:divBdr>
                  <w:divsChild>
                    <w:div w:id="1767847101">
                      <w:marLeft w:val="0"/>
                      <w:marRight w:val="0"/>
                      <w:marTop w:val="0"/>
                      <w:marBottom w:val="0"/>
                      <w:divBdr>
                        <w:top w:val="none" w:sz="0" w:space="0" w:color="auto"/>
                        <w:left w:val="none" w:sz="0" w:space="0" w:color="auto"/>
                        <w:bottom w:val="none" w:sz="0" w:space="0" w:color="auto"/>
                        <w:right w:val="none" w:sz="0" w:space="0" w:color="auto"/>
                      </w:divBdr>
                    </w:div>
                  </w:divsChild>
                </w:div>
                <w:div w:id="399331064">
                  <w:marLeft w:val="0"/>
                  <w:marRight w:val="0"/>
                  <w:marTop w:val="0"/>
                  <w:marBottom w:val="0"/>
                  <w:divBdr>
                    <w:top w:val="none" w:sz="0" w:space="0" w:color="auto"/>
                    <w:left w:val="none" w:sz="0" w:space="0" w:color="auto"/>
                    <w:bottom w:val="none" w:sz="0" w:space="0" w:color="auto"/>
                    <w:right w:val="none" w:sz="0" w:space="0" w:color="auto"/>
                  </w:divBdr>
                  <w:divsChild>
                    <w:div w:id="126046965">
                      <w:marLeft w:val="0"/>
                      <w:marRight w:val="0"/>
                      <w:marTop w:val="0"/>
                      <w:marBottom w:val="0"/>
                      <w:divBdr>
                        <w:top w:val="none" w:sz="0" w:space="0" w:color="auto"/>
                        <w:left w:val="none" w:sz="0" w:space="0" w:color="auto"/>
                        <w:bottom w:val="none" w:sz="0" w:space="0" w:color="auto"/>
                        <w:right w:val="none" w:sz="0" w:space="0" w:color="auto"/>
                      </w:divBdr>
                    </w:div>
                  </w:divsChild>
                </w:div>
                <w:div w:id="323751662">
                  <w:marLeft w:val="0"/>
                  <w:marRight w:val="0"/>
                  <w:marTop w:val="0"/>
                  <w:marBottom w:val="0"/>
                  <w:divBdr>
                    <w:top w:val="none" w:sz="0" w:space="0" w:color="auto"/>
                    <w:left w:val="none" w:sz="0" w:space="0" w:color="auto"/>
                    <w:bottom w:val="none" w:sz="0" w:space="0" w:color="auto"/>
                    <w:right w:val="none" w:sz="0" w:space="0" w:color="auto"/>
                  </w:divBdr>
                  <w:divsChild>
                    <w:div w:id="221864817">
                      <w:marLeft w:val="0"/>
                      <w:marRight w:val="0"/>
                      <w:marTop w:val="0"/>
                      <w:marBottom w:val="0"/>
                      <w:divBdr>
                        <w:top w:val="none" w:sz="0" w:space="0" w:color="auto"/>
                        <w:left w:val="none" w:sz="0" w:space="0" w:color="auto"/>
                        <w:bottom w:val="none" w:sz="0" w:space="0" w:color="auto"/>
                        <w:right w:val="none" w:sz="0" w:space="0" w:color="auto"/>
                      </w:divBdr>
                    </w:div>
                  </w:divsChild>
                </w:div>
                <w:div w:id="1539390363">
                  <w:marLeft w:val="0"/>
                  <w:marRight w:val="0"/>
                  <w:marTop w:val="0"/>
                  <w:marBottom w:val="0"/>
                  <w:divBdr>
                    <w:top w:val="none" w:sz="0" w:space="0" w:color="auto"/>
                    <w:left w:val="none" w:sz="0" w:space="0" w:color="auto"/>
                    <w:bottom w:val="none" w:sz="0" w:space="0" w:color="auto"/>
                    <w:right w:val="none" w:sz="0" w:space="0" w:color="auto"/>
                  </w:divBdr>
                  <w:divsChild>
                    <w:div w:id="1178079509">
                      <w:marLeft w:val="0"/>
                      <w:marRight w:val="0"/>
                      <w:marTop w:val="0"/>
                      <w:marBottom w:val="0"/>
                      <w:divBdr>
                        <w:top w:val="none" w:sz="0" w:space="0" w:color="auto"/>
                        <w:left w:val="none" w:sz="0" w:space="0" w:color="auto"/>
                        <w:bottom w:val="none" w:sz="0" w:space="0" w:color="auto"/>
                        <w:right w:val="none" w:sz="0" w:space="0" w:color="auto"/>
                      </w:divBdr>
                    </w:div>
                  </w:divsChild>
                </w:div>
                <w:div w:id="131487177">
                  <w:marLeft w:val="0"/>
                  <w:marRight w:val="0"/>
                  <w:marTop w:val="0"/>
                  <w:marBottom w:val="0"/>
                  <w:divBdr>
                    <w:top w:val="none" w:sz="0" w:space="0" w:color="auto"/>
                    <w:left w:val="none" w:sz="0" w:space="0" w:color="auto"/>
                    <w:bottom w:val="none" w:sz="0" w:space="0" w:color="auto"/>
                    <w:right w:val="none" w:sz="0" w:space="0" w:color="auto"/>
                  </w:divBdr>
                  <w:divsChild>
                    <w:div w:id="1401561267">
                      <w:marLeft w:val="0"/>
                      <w:marRight w:val="0"/>
                      <w:marTop w:val="0"/>
                      <w:marBottom w:val="0"/>
                      <w:divBdr>
                        <w:top w:val="none" w:sz="0" w:space="0" w:color="auto"/>
                        <w:left w:val="none" w:sz="0" w:space="0" w:color="auto"/>
                        <w:bottom w:val="none" w:sz="0" w:space="0" w:color="auto"/>
                        <w:right w:val="none" w:sz="0" w:space="0" w:color="auto"/>
                      </w:divBdr>
                    </w:div>
                  </w:divsChild>
                </w:div>
                <w:div w:id="1711110464">
                  <w:marLeft w:val="0"/>
                  <w:marRight w:val="0"/>
                  <w:marTop w:val="0"/>
                  <w:marBottom w:val="0"/>
                  <w:divBdr>
                    <w:top w:val="none" w:sz="0" w:space="0" w:color="auto"/>
                    <w:left w:val="none" w:sz="0" w:space="0" w:color="auto"/>
                    <w:bottom w:val="none" w:sz="0" w:space="0" w:color="auto"/>
                    <w:right w:val="none" w:sz="0" w:space="0" w:color="auto"/>
                  </w:divBdr>
                  <w:divsChild>
                    <w:div w:id="311982044">
                      <w:marLeft w:val="0"/>
                      <w:marRight w:val="0"/>
                      <w:marTop w:val="0"/>
                      <w:marBottom w:val="0"/>
                      <w:divBdr>
                        <w:top w:val="none" w:sz="0" w:space="0" w:color="auto"/>
                        <w:left w:val="none" w:sz="0" w:space="0" w:color="auto"/>
                        <w:bottom w:val="none" w:sz="0" w:space="0" w:color="auto"/>
                        <w:right w:val="none" w:sz="0" w:space="0" w:color="auto"/>
                      </w:divBdr>
                    </w:div>
                  </w:divsChild>
                </w:div>
                <w:div w:id="1434125586">
                  <w:marLeft w:val="0"/>
                  <w:marRight w:val="0"/>
                  <w:marTop w:val="0"/>
                  <w:marBottom w:val="0"/>
                  <w:divBdr>
                    <w:top w:val="none" w:sz="0" w:space="0" w:color="auto"/>
                    <w:left w:val="none" w:sz="0" w:space="0" w:color="auto"/>
                    <w:bottom w:val="none" w:sz="0" w:space="0" w:color="auto"/>
                    <w:right w:val="none" w:sz="0" w:space="0" w:color="auto"/>
                  </w:divBdr>
                  <w:divsChild>
                    <w:div w:id="685905437">
                      <w:marLeft w:val="0"/>
                      <w:marRight w:val="0"/>
                      <w:marTop w:val="0"/>
                      <w:marBottom w:val="0"/>
                      <w:divBdr>
                        <w:top w:val="none" w:sz="0" w:space="0" w:color="auto"/>
                        <w:left w:val="none" w:sz="0" w:space="0" w:color="auto"/>
                        <w:bottom w:val="none" w:sz="0" w:space="0" w:color="auto"/>
                        <w:right w:val="none" w:sz="0" w:space="0" w:color="auto"/>
                      </w:divBdr>
                    </w:div>
                  </w:divsChild>
                </w:div>
                <w:div w:id="652760636">
                  <w:marLeft w:val="0"/>
                  <w:marRight w:val="0"/>
                  <w:marTop w:val="0"/>
                  <w:marBottom w:val="0"/>
                  <w:divBdr>
                    <w:top w:val="none" w:sz="0" w:space="0" w:color="auto"/>
                    <w:left w:val="none" w:sz="0" w:space="0" w:color="auto"/>
                    <w:bottom w:val="none" w:sz="0" w:space="0" w:color="auto"/>
                    <w:right w:val="none" w:sz="0" w:space="0" w:color="auto"/>
                  </w:divBdr>
                  <w:divsChild>
                    <w:div w:id="2074547399">
                      <w:marLeft w:val="0"/>
                      <w:marRight w:val="0"/>
                      <w:marTop w:val="0"/>
                      <w:marBottom w:val="0"/>
                      <w:divBdr>
                        <w:top w:val="none" w:sz="0" w:space="0" w:color="auto"/>
                        <w:left w:val="none" w:sz="0" w:space="0" w:color="auto"/>
                        <w:bottom w:val="none" w:sz="0" w:space="0" w:color="auto"/>
                        <w:right w:val="none" w:sz="0" w:space="0" w:color="auto"/>
                      </w:divBdr>
                    </w:div>
                  </w:divsChild>
                </w:div>
                <w:div w:id="1297568563">
                  <w:marLeft w:val="0"/>
                  <w:marRight w:val="0"/>
                  <w:marTop w:val="0"/>
                  <w:marBottom w:val="0"/>
                  <w:divBdr>
                    <w:top w:val="none" w:sz="0" w:space="0" w:color="auto"/>
                    <w:left w:val="none" w:sz="0" w:space="0" w:color="auto"/>
                    <w:bottom w:val="none" w:sz="0" w:space="0" w:color="auto"/>
                    <w:right w:val="none" w:sz="0" w:space="0" w:color="auto"/>
                  </w:divBdr>
                  <w:divsChild>
                    <w:div w:id="1542017682">
                      <w:marLeft w:val="0"/>
                      <w:marRight w:val="0"/>
                      <w:marTop w:val="0"/>
                      <w:marBottom w:val="0"/>
                      <w:divBdr>
                        <w:top w:val="none" w:sz="0" w:space="0" w:color="auto"/>
                        <w:left w:val="none" w:sz="0" w:space="0" w:color="auto"/>
                        <w:bottom w:val="none" w:sz="0" w:space="0" w:color="auto"/>
                        <w:right w:val="none" w:sz="0" w:space="0" w:color="auto"/>
                      </w:divBdr>
                    </w:div>
                  </w:divsChild>
                </w:div>
                <w:div w:id="2084988323">
                  <w:marLeft w:val="0"/>
                  <w:marRight w:val="0"/>
                  <w:marTop w:val="0"/>
                  <w:marBottom w:val="0"/>
                  <w:divBdr>
                    <w:top w:val="none" w:sz="0" w:space="0" w:color="auto"/>
                    <w:left w:val="none" w:sz="0" w:space="0" w:color="auto"/>
                    <w:bottom w:val="none" w:sz="0" w:space="0" w:color="auto"/>
                    <w:right w:val="none" w:sz="0" w:space="0" w:color="auto"/>
                  </w:divBdr>
                  <w:divsChild>
                    <w:div w:id="1564295029">
                      <w:marLeft w:val="0"/>
                      <w:marRight w:val="0"/>
                      <w:marTop w:val="0"/>
                      <w:marBottom w:val="0"/>
                      <w:divBdr>
                        <w:top w:val="none" w:sz="0" w:space="0" w:color="auto"/>
                        <w:left w:val="none" w:sz="0" w:space="0" w:color="auto"/>
                        <w:bottom w:val="none" w:sz="0" w:space="0" w:color="auto"/>
                        <w:right w:val="none" w:sz="0" w:space="0" w:color="auto"/>
                      </w:divBdr>
                    </w:div>
                  </w:divsChild>
                </w:div>
                <w:div w:id="1513177907">
                  <w:marLeft w:val="0"/>
                  <w:marRight w:val="0"/>
                  <w:marTop w:val="0"/>
                  <w:marBottom w:val="0"/>
                  <w:divBdr>
                    <w:top w:val="none" w:sz="0" w:space="0" w:color="auto"/>
                    <w:left w:val="none" w:sz="0" w:space="0" w:color="auto"/>
                    <w:bottom w:val="none" w:sz="0" w:space="0" w:color="auto"/>
                    <w:right w:val="none" w:sz="0" w:space="0" w:color="auto"/>
                  </w:divBdr>
                  <w:divsChild>
                    <w:div w:id="961424363">
                      <w:marLeft w:val="0"/>
                      <w:marRight w:val="0"/>
                      <w:marTop w:val="0"/>
                      <w:marBottom w:val="0"/>
                      <w:divBdr>
                        <w:top w:val="none" w:sz="0" w:space="0" w:color="auto"/>
                        <w:left w:val="none" w:sz="0" w:space="0" w:color="auto"/>
                        <w:bottom w:val="none" w:sz="0" w:space="0" w:color="auto"/>
                        <w:right w:val="none" w:sz="0" w:space="0" w:color="auto"/>
                      </w:divBdr>
                    </w:div>
                  </w:divsChild>
                </w:div>
                <w:div w:id="571283420">
                  <w:marLeft w:val="0"/>
                  <w:marRight w:val="0"/>
                  <w:marTop w:val="0"/>
                  <w:marBottom w:val="0"/>
                  <w:divBdr>
                    <w:top w:val="none" w:sz="0" w:space="0" w:color="auto"/>
                    <w:left w:val="none" w:sz="0" w:space="0" w:color="auto"/>
                    <w:bottom w:val="none" w:sz="0" w:space="0" w:color="auto"/>
                    <w:right w:val="none" w:sz="0" w:space="0" w:color="auto"/>
                  </w:divBdr>
                  <w:divsChild>
                    <w:div w:id="695157812">
                      <w:marLeft w:val="0"/>
                      <w:marRight w:val="0"/>
                      <w:marTop w:val="0"/>
                      <w:marBottom w:val="0"/>
                      <w:divBdr>
                        <w:top w:val="none" w:sz="0" w:space="0" w:color="auto"/>
                        <w:left w:val="none" w:sz="0" w:space="0" w:color="auto"/>
                        <w:bottom w:val="none" w:sz="0" w:space="0" w:color="auto"/>
                        <w:right w:val="none" w:sz="0" w:space="0" w:color="auto"/>
                      </w:divBdr>
                    </w:div>
                  </w:divsChild>
                </w:div>
                <w:div w:id="646588937">
                  <w:marLeft w:val="0"/>
                  <w:marRight w:val="0"/>
                  <w:marTop w:val="0"/>
                  <w:marBottom w:val="0"/>
                  <w:divBdr>
                    <w:top w:val="none" w:sz="0" w:space="0" w:color="auto"/>
                    <w:left w:val="none" w:sz="0" w:space="0" w:color="auto"/>
                    <w:bottom w:val="none" w:sz="0" w:space="0" w:color="auto"/>
                    <w:right w:val="none" w:sz="0" w:space="0" w:color="auto"/>
                  </w:divBdr>
                  <w:divsChild>
                    <w:div w:id="1544560229">
                      <w:marLeft w:val="0"/>
                      <w:marRight w:val="0"/>
                      <w:marTop w:val="0"/>
                      <w:marBottom w:val="0"/>
                      <w:divBdr>
                        <w:top w:val="none" w:sz="0" w:space="0" w:color="auto"/>
                        <w:left w:val="none" w:sz="0" w:space="0" w:color="auto"/>
                        <w:bottom w:val="none" w:sz="0" w:space="0" w:color="auto"/>
                        <w:right w:val="none" w:sz="0" w:space="0" w:color="auto"/>
                      </w:divBdr>
                    </w:div>
                  </w:divsChild>
                </w:div>
                <w:div w:id="1106273987">
                  <w:marLeft w:val="0"/>
                  <w:marRight w:val="0"/>
                  <w:marTop w:val="0"/>
                  <w:marBottom w:val="0"/>
                  <w:divBdr>
                    <w:top w:val="none" w:sz="0" w:space="0" w:color="auto"/>
                    <w:left w:val="none" w:sz="0" w:space="0" w:color="auto"/>
                    <w:bottom w:val="none" w:sz="0" w:space="0" w:color="auto"/>
                    <w:right w:val="none" w:sz="0" w:space="0" w:color="auto"/>
                  </w:divBdr>
                  <w:divsChild>
                    <w:div w:id="719595631">
                      <w:marLeft w:val="0"/>
                      <w:marRight w:val="0"/>
                      <w:marTop w:val="0"/>
                      <w:marBottom w:val="0"/>
                      <w:divBdr>
                        <w:top w:val="none" w:sz="0" w:space="0" w:color="auto"/>
                        <w:left w:val="none" w:sz="0" w:space="0" w:color="auto"/>
                        <w:bottom w:val="none" w:sz="0" w:space="0" w:color="auto"/>
                        <w:right w:val="none" w:sz="0" w:space="0" w:color="auto"/>
                      </w:divBdr>
                    </w:div>
                  </w:divsChild>
                </w:div>
                <w:div w:id="113253893">
                  <w:marLeft w:val="0"/>
                  <w:marRight w:val="0"/>
                  <w:marTop w:val="0"/>
                  <w:marBottom w:val="0"/>
                  <w:divBdr>
                    <w:top w:val="none" w:sz="0" w:space="0" w:color="auto"/>
                    <w:left w:val="none" w:sz="0" w:space="0" w:color="auto"/>
                    <w:bottom w:val="none" w:sz="0" w:space="0" w:color="auto"/>
                    <w:right w:val="none" w:sz="0" w:space="0" w:color="auto"/>
                  </w:divBdr>
                  <w:divsChild>
                    <w:div w:id="1797143820">
                      <w:marLeft w:val="0"/>
                      <w:marRight w:val="0"/>
                      <w:marTop w:val="0"/>
                      <w:marBottom w:val="0"/>
                      <w:divBdr>
                        <w:top w:val="none" w:sz="0" w:space="0" w:color="auto"/>
                        <w:left w:val="none" w:sz="0" w:space="0" w:color="auto"/>
                        <w:bottom w:val="none" w:sz="0" w:space="0" w:color="auto"/>
                        <w:right w:val="none" w:sz="0" w:space="0" w:color="auto"/>
                      </w:divBdr>
                    </w:div>
                  </w:divsChild>
                </w:div>
                <w:div w:id="1779181913">
                  <w:marLeft w:val="0"/>
                  <w:marRight w:val="0"/>
                  <w:marTop w:val="0"/>
                  <w:marBottom w:val="0"/>
                  <w:divBdr>
                    <w:top w:val="none" w:sz="0" w:space="0" w:color="auto"/>
                    <w:left w:val="none" w:sz="0" w:space="0" w:color="auto"/>
                    <w:bottom w:val="none" w:sz="0" w:space="0" w:color="auto"/>
                    <w:right w:val="none" w:sz="0" w:space="0" w:color="auto"/>
                  </w:divBdr>
                  <w:divsChild>
                    <w:div w:id="968970859">
                      <w:marLeft w:val="0"/>
                      <w:marRight w:val="0"/>
                      <w:marTop w:val="0"/>
                      <w:marBottom w:val="0"/>
                      <w:divBdr>
                        <w:top w:val="none" w:sz="0" w:space="0" w:color="auto"/>
                        <w:left w:val="none" w:sz="0" w:space="0" w:color="auto"/>
                        <w:bottom w:val="none" w:sz="0" w:space="0" w:color="auto"/>
                        <w:right w:val="none" w:sz="0" w:space="0" w:color="auto"/>
                      </w:divBdr>
                    </w:div>
                  </w:divsChild>
                </w:div>
                <w:div w:id="607935089">
                  <w:marLeft w:val="0"/>
                  <w:marRight w:val="0"/>
                  <w:marTop w:val="0"/>
                  <w:marBottom w:val="0"/>
                  <w:divBdr>
                    <w:top w:val="none" w:sz="0" w:space="0" w:color="auto"/>
                    <w:left w:val="none" w:sz="0" w:space="0" w:color="auto"/>
                    <w:bottom w:val="none" w:sz="0" w:space="0" w:color="auto"/>
                    <w:right w:val="none" w:sz="0" w:space="0" w:color="auto"/>
                  </w:divBdr>
                  <w:divsChild>
                    <w:div w:id="1400057567">
                      <w:marLeft w:val="0"/>
                      <w:marRight w:val="0"/>
                      <w:marTop w:val="0"/>
                      <w:marBottom w:val="0"/>
                      <w:divBdr>
                        <w:top w:val="none" w:sz="0" w:space="0" w:color="auto"/>
                        <w:left w:val="none" w:sz="0" w:space="0" w:color="auto"/>
                        <w:bottom w:val="none" w:sz="0" w:space="0" w:color="auto"/>
                        <w:right w:val="none" w:sz="0" w:space="0" w:color="auto"/>
                      </w:divBdr>
                    </w:div>
                  </w:divsChild>
                </w:div>
                <w:div w:id="281764674">
                  <w:marLeft w:val="0"/>
                  <w:marRight w:val="0"/>
                  <w:marTop w:val="0"/>
                  <w:marBottom w:val="0"/>
                  <w:divBdr>
                    <w:top w:val="none" w:sz="0" w:space="0" w:color="auto"/>
                    <w:left w:val="none" w:sz="0" w:space="0" w:color="auto"/>
                    <w:bottom w:val="none" w:sz="0" w:space="0" w:color="auto"/>
                    <w:right w:val="none" w:sz="0" w:space="0" w:color="auto"/>
                  </w:divBdr>
                  <w:divsChild>
                    <w:div w:id="1415661583">
                      <w:marLeft w:val="0"/>
                      <w:marRight w:val="0"/>
                      <w:marTop w:val="0"/>
                      <w:marBottom w:val="0"/>
                      <w:divBdr>
                        <w:top w:val="none" w:sz="0" w:space="0" w:color="auto"/>
                        <w:left w:val="none" w:sz="0" w:space="0" w:color="auto"/>
                        <w:bottom w:val="none" w:sz="0" w:space="0" w:color="auto"/>
                        <w:right w:val="none" w:sz="0" w:space="0" w:color="auto"/>
                      </w:divBdr>
                    </w:div>
                  </w:divsChild>
                </w:div>
                <w:div w:id="1473520990">
                  <w:marLeft w:val="0"/>
                  <w:marRight w:val="0"/>
                  <w:marTop w:val="0"/>
                  <w:marBottom w:val="0"/>
                  <w:divBdr>
                    <w:top w:val="none" w:sz="0" w:space="0" w:color="auto"/>
                    <w:left w:val="none" w:sz="0" w:space="0" w:color="auto"/>
                    <w:bottom w:val="none" w:sz="0" w:space="0" w:color="auto"/>
                    <w:right w:val="none" w:sz="0" w:space="0" w:color="auto"/>
                  </w:divBdr>
                  <w:divsChild>
                    <w:div w:id="241566312">
                      <w:marLeft w:val="0"/>
                      <w:marRight w:val="0"/>
                      <w:marTop w:val="0"/>
                      <w:marBottom w:val="0"/>
                      <w:divBdr>
                        <w:top w:val="none" w:sz="0" w:space="0" w:color="auto"/>
                        <w:left w:val="none" w:sz="0" w:space="0" w:color="auto"/>
                        <w:bottom w:val="none" w:sz="0" w:space="0" w:color="auto"/>
                        <w:right w:val="none" w:sz="0" w:space="0" w:color="auto"/>
                      </w:divBdr>
                    </w:div>
                  </w:divsChild>
                </w:div>
                <w:div w:id="1736779336">
                  <w:marLeft w:val="0"/>
                  <w:marRight w:val="0"/>
                  <w:marTop w:val="0"/>
                  <w:marBottom w:val="0"/>
                  <w:divBdr>
                    <w:top w:val="none" w:sz="0" w:space="0" w:color="auto"/>
                    <w:left w:val="none" w:sz="0" w:space="0" w:color="auto"/>
                    <w:bottom w:val="none" w:sz="0" w:space="0" w:color="auto"/>
                    <w:right w:val="none" w:sz="0" w:space="0" w:color="auto"/>
                  </w:divBdr>
                  <w:divsChild>
                    <w:div w:id="687604272">
                      <w:marLeft w:val="0"/>
                      <w:marRight w:val="0"/>
                      <w:marTop w:val="0"/>
                      <w:marBottom w:val="0"/>
                      <w:divBdr>
                        <w:top w:val="none" w:sz="0" w:space="0" w:color="auto"/>
                        <w:left w:val="none" w:sz="0" w:space="0" w:color="auto"/>
                        <w:bottom w:val="none" w:sz="0" w:space="0" w:color="auto"/>
                        <w:right w:val="none" w:sz="0" w:space="0" w:color="auto"/>
                      </w:divBdr>
                    </w:div>
                  </w:divsChild>
                </w:div>
                <w:div w:id="1380935832">
                  <w:marLeft w:val="0"/>
                  <w:marRight w:val="0"/>
                  <w:marTop w:val="0"/>
                  <w:marBottom w:val="0"/>
                  <w:divBdr>
                    <w:top w:val="none" w:sz="0" w:space="0" w:color="auto"/>
                    <w:left w:val="none" w:sz="0" w:space="0" w:color="auto"/>
                    <w:bottom w:val="none" w:sz="0" w:space="0" w:color="auto"/>
                    <w:right w:val="none" w:sz="0" w:space="0" w:color="auto"/>
                  </w:divBdr>
                  <w:divsChild>
                    <w:div w:id="655114663">
                      <w:marLeft w:val="0"/>
                      <w:marRight w:val="0"/>
                      <w:marTop w:val="0"/>
                      <w:marBottom w:val="0"/>
                      <w:divBdr>
                        <w:top w:val="none" w:sz="0" w:space="0" w:color="auto"/>
                        <w:left w:val="none" w:sz="0" w:space="0" w:color="auto"/>
                        <w:bottom w:val="none" w:sz="0" w:space="0" w:color="auto"/>
                        <w:right w:val="none" w:sz="0" w:space="0" w:color="auto"/>
                      </w:divBdr>
                    </w:div>
                  </w:divsChild>
                </w:div>
                <w:div w:id="1397044254">
                  <w:marLeft w:val="0"/>
                  <w:marRight w:val="0"/>
                  <w:marTop w:val="0"/>
                  <w:marBottom w:val="0"/>
                  <w:divBdr>
                    <w:top w:val="none" w:sz="0" w:space="0" w:color="auto"/>
                    <w:left w:val="none" w:sz="0" w:space="0" w:color="auto"/>
                    <w:bottom w:val="none" w:sz="0" w:space="0" w:color="auto"/>
                    <w:right w:val="none" w:sz="0" w:space="0" w:color="auto"/>
                  </w:divBdr>
                  <w:divsChild>
                    <w:div w:id="1017268765">
                      <w:marLeft w:val="0"/>
                      <w:marRight w:val="0"/>
                      <w:marTop w:val="0"/>
                      <w:marBottom w:val="0"/>
                      <w:divBdr>
                        <w:top w:val="none" w:sz="0" w:space="0" w:color="auto"/>
                        <w:left w:val="none" w:sz="0" w:space="0" w:color="auto"/>
                        <w:bottom w:val="none" w:sz="0" w:space="0" w:color="auto"/>
                        <w:right w:val="none" w:sz="0" w:space="0" w:color="auto"/>
                      </w:divBdr>
                    </w:div>
                  </w:divsChild>
                </w:div>
                <w:div w:id="1004675047">
                  <w:marLeft w:val="0"/>
                  <w:marRight w:val="0"/>
                  <w:marTop w:val="0"/>
                  <w:marBottom w:val="0"/>
                  <w:divBdr>
                    <w:top w:val="none" w:sz="0" w:space="0" w:color="auto"/>
                    <w:left w:val="none" w:sz="0" w:space="0" w:color="auto"/>
                    <w:bottom w:val="none" w:sz="0" w:space="0" w:color="auto"/>
                    <w:right w:val="none" w:sz="0" w:space="0" w:color="auto"/>
                  </w:divBdr>
                  <w:divsChild>
                    <w:div w:id="70734305">
                      <w:marLeft w:val="0"/>
                      <w:marRight w:val="0"/>
                      <w:marTop w:val="0"/>
                      <w:marBottom w:val="0"/>
                      <w:divBdr>
                        <w:top w:val="none" w:sz="0" w:space="0" w:color="auto"/>
                        <w:left w:val="none" w:sz="0" w:space="0" w:color="auto"/>
                        <w:bottom w:val="none" w:sz="0" w:space="0" w:color="auto"/>
                        <w:right w:val="none" w:sz="0" w:space="0" w:color="auto"/>
                      </w:divBdr>
                    </w:div>
                  </w:divsChild>
                </w:div>
                <w:div w:id="964850531">
                  <w:marLeft w:val="0"/>
                  <w:marRight w:val="0"/>
                  <w:marTop w:val="0"/>
                  <w:marBottom w:val="0"/>
                  <w:divBdr>
                    <w:top w:val="none" w:sz="0" w:space="0" w:color="auto"/>
                    <w:left w:val="none" w:sz="0" w:space="0" w:color="auto"/>
                    <w:bottom w:val="none" w:sz="0" w:space="0" w:color="auto"/>
                    <w:right w:val="none" w:sz="0" w:space="0" w:color="auto"/>
                  </w:divBdr>
                  <w:divsChild>
                    <w:div w:id="1983197429">
                      <w:marLeft w:val="0"/>
                      <w:marRight w:val="0"/>
                      <w:marTop w:val="0"/>
                      <w:marBottom w:val="0"/>
                      <w:divBdr>
                        <w:top w:val="none" w:sz="0" w:space="0" w:color="auto"/>
                        <w:left w:val="none" w:sz="0" w:space="0" w:color="auto"/>
                        <w:bottom w:val="none" w:sz="0" w:space="0" w:color="auto"/>
                        <w:right w:val="none" w:sz="0" w:space="0" w:color="auto"/>
                      </w:divBdr>
                    </w:div>
                  </w:divsChild>
                </w:div>
                <w:div w:id="1400861699">
                  <w:marLeft w:val="0"/>
                  <w:marRight w:val="0"/>
                  <w:marTop w:val="0"/>
                  <w:marBottom w:val="0"/>
                  <w:divBdr>
                    <w:top w:val="none" w:sz="0" w:space="0" w:color="auto"/>
                    <w:left w:val="none" w:sz="0" w:space="0" w:color="auto"/>
                    <w:bottom w:val="none" w:sz="0" w:space="0" w:color="auto"/>
                    <w:right w:val="none" w:sz="0" w:space="0" w:color="auto"/>
                  </w:divBdr>
                  <w:divsChild>
                    <w:div w:id="1123813265">
                      <w:marLeft w:val="0"/>
                      <w:marRight w:val="0"/>
                      <w:marTop w:val="0"/>
                      <w:marBottom w:val="0"/>
                      <w:divBdr>
                        <w:top w:val="none" w:sz="0" w:space="0" w:color="auto"/>
                        <w:left w:val="none" w:sz="0" w:space="0" w:color="auto"/>
                        <w:bottom w:val="none" w:sz="0" w:space="0" w:color="auto"/>
                        <w:right w:val="none" w:sz="0" w:space="0" w:color="auto"/>
                      </w:divBdr>
                    </w:div>
                  </w:divsChild>
                </w:div>
                <w:div w:id="1725332905">
                  <w:marLeft w:val="0"/>
                  <w:marRight w:val="0"/>
                  <w:marTop w:val="0"/>
                  <w:marBottom w:val="0"/>
                  <w:divBdr>
                    <w:top w:val="none" w:sz="0" w:space="0" w:color="auto"/>
                    <w:left w:val="none" w:sz="0" w:space="0" w:color="auto"/>
                    <w:bottom w:val="none" w:sz="0" w:space="0" w:color="auto"/>
                    <w:right w:val="none" w:sz="0" w:space="0" w:color="auto"/>
                  </w:divBdr>
                  <w:divsChild>
                    <w:div w:id="1196582558">
                      <w:marLeft w:val="0"/>
                      <w:marRight w:val="0"/>
                      <w:marTop w:val="0"/>
                      <w:marBottom w:val="0"/>
                      <w:divBdr>
                        <w:top w:val="none" w:sz="0" w:space="0" w:color="auto"/>
                        <w:left w:val="none" w:sz="0" w:space="0" w:color="auto"/>
                        <w:bottom w:val="none" w:sz="0" w:space="0" w:color="auto"/>
                        <w:right w:val="none" w:sz="0" w:space="0" w:color="auto"/>
                      </w:divBdr>
                    </w:div>
                  </w:divsChild>
                </w:div>
                <w:div w:id="396828697">
                  <w:marLeft w:val="0"/>
                  <w:marRight w:val="0"/>
                  <w:marTop w:val="0"/>
                  <w:marBottom w:val="0"/>
                  <w:divBdr>
                    <w:top w:val="none" w:sz="0" w:space="0" w:color="auto"/>
                    <w:left w:val="none" w:sz="0" w:space="0" w:color="auto"/>
                    <w:bottom w:val="none" w:sz="0" w:space="0" w:color="auto"/>
                    <w:right w:val="none" w:sz="0" w:space="0" w:color="auto"/>
                  </w:divBdr>
                  <w:divsChild>
                    <w:div w:id="1582326571">
                      <w:marLeft w:val="0"/>
                      <w:marRight w:val="0"/>
                      <w:marTop w:val="0"/>
                      <w:marBottom w:val="0"/>
                      <w:divBdr>
                        <w:top w:val="none" w:sz="0" w:space="0" w:color="auto"/>
                        <w:left w:val="none" w:sz="0" w:space="0" w:color="auto"/>
                        <w:bottom w:val="none" w:sz="0" w:space="0" w:color="auto"/>
                        <w:right w:val="none" w:sz="0" w:space="0" w:color="auto"/>
                      </w:divBdr>
                    </w:div>
                  </w:divsChild>
                </w:div>
                <w:div w:id="589123642">
                  <w:marLeft w:val="0"/>
                  <w:marRight w:val="0"/>
                  <w:marTop w:val="0"/>
                  <w:marBottom w:val="0"/>
                  <w:divBdr>
                    <w:top w:val="none" w:sz="0" w:space="0" w:color="auto"/>
                    <w:left w:val="none" w:sz="0" w:space="0" w:color="auto"/>
                    <w:bottom w:val="none" w:sz="0" w:space="0" w:color="auto"/>
                    <w:right w:val="none" w:sz="0" w:space="0" w:color="auto"/>
                  </w:divBdr>
                  <w:divsChild>
                    <w:div w:id="17437445">
                      <w:marLeft w:val="0"/>
                      <w:marRight w:val="0"/>
                      <w:marTop w:val="0"/>
                      <w:marBottom w:val="0"/>
                      <w:divBdr>
                        <w:top w:val="none" w:sz="0" w:space="0" w:color="auto"/>
                        <w:left w:val="none" w:sz="0" w:space="0" w:color="auto"/>
                        <w:bottom w:val="none" w:sz="0" w:space="0" w:color="auto"/>
                        <w:right w:val="none" w:sz="0" w:space="0" w:color="auto"/>
                      </w:divBdr>
                    </w:div>
                  </w:divsChild>
                </w:div>
                <w:div w:id="1740639746">
                  <w:marLeft w:val="0"/>
                  <w:marRight w:val="0"/>
                  <w:marTop w:val="0"/>
                  <w:marBottom w:val="0"/>
                  <w:divBdr>
                    <w:top w:val="none" w:sz="0" w:space="0" w:color="auto"/>
                    <w:left w:val="none" w:sz="0" w:space="0" w:color="auto"/>
                    <w:bottom w:val="none" w:sz="0" w:space="0" w:color="auto"/>
                    <w:right w:val="none" w:sz="0" w:space="0" w:color="auto"/>
                  </w:divBdr>
                  <w:divsChild>
                    <w:div w:id="1449272612">
                      <w:marLeft w:val="0"/>
                      <w:marRight w:val="0"/>
                      <w:marTop w:val="0"/>
                      <w:marBottom w:val="0"/>
                      <w:divBdr>
                        <w:top w:val="none" w:sz="0" w:space="0" w:color="auto"/>
                        <w:left w:val="none" w:sz="0" w:space="0" w:color="auto"/>
                        <w:bottom w:val="none" w:sz="0" w:space="0" w:color="auto"/>
                        <w:right w:val="none" w:sz="0" w:space="0" w:color="auto"/>
                      </w:divBdr>
                    </w:div>
                  </w:divsChild>
                </w:div>
                <w:div w:id="949551720">
                  <w:marLeft w:val="0"/>
                  <w:marRight w:val="0"/>
                  <w:marTop w:val="0"/>
                  <w:marBottom w:val="0"/>
                  <w:divBdr>
                    <w:top w:val="none" w:sz="0" w:space="0" w:color="auto"/>
                    <w:left w:val="none" w:sz="0" w:space="0" w:color="auto"/>
                    <w:bottom w:val="none" w:sz="0" w:space="0" w:color="auto"/>
                    <w:right w:val="none" w:sz="0" w:space="0" w:color="auto"/>
                  </w:divBdr>
                  <w:divsChild>
                    <w:div w:id="1626811006">
                      <w:marLeft w:val="0"/>
                      <w:marRight w:val="0"/>
                      <w:marTop w:val="0"/>
                      <w:marBottom w:val="0"/>
                      <w:divBdr>
                        <w:top w:val="none" w:sz="0" w:space="0" w:color="auto"/>
                        <w:left w:val="none" w:sz="0" w:space="0" w:color="auto"/>
                        <w:bottom w:val="none" w:sz="0" w:space="0" w:color="auto"/>
                        <w:right w:val="none" w:sz="0" w:space="0" w:color="auto"/>
                      </w:divBdr>
                    </w:div>
                  </w:divsChild>
                </w:div>
                <w:div w:id="449975076">
                  <w:marLeft w:val="0"/>
                  <w:marRight w:val="0"/>
                  <w:marTop w:val="0"/>
                  <w:marBottom w:val="0"/>
                  <w:divBdr>
                    <w:top w:val="none" w:sz="0" w:space="0" w:color="auto"/>
                    <w:left w:val="none" w:sz="0" w:space="0" w:color="auto"/>
                    <w:bottom w:val="none" w:sz="0" w:space="0" w:color="auto"/>
                    <w:right w:val="none" w:sz="0" w:space="0" w:color="auto"/>
                  </w:divBdr>
                  <w:divsChild>
                    <w:div w:id="1361054431">
                      <w:marLeft w:val="0"/>
                      <w:marRight w:val="0"/>
                      <w:marTop w:val="0"/>
                      <w:marBottom w:val="0"/>
                      <w:divBdr>
                        <w:top w:val="none" w:sz="0" w:space="0" w:color="auto"/>
                        <w:left w:val="none" w:sz="0" w:space="0" w:color="auto"/>
                        <w:bottom w:val="none" w:sz="0" w:space="0" w:color="auto"/>
                        <w:right w:val="none" w:sz="0" w:space="0" w:color="auto"/>
                      </w:divBdr>
                    </w:div>
                  </w:divsChild>
                </w:div>
                <w:div w:id="971251771">
                  <w:marLeft w:val="0"/>
                  <w:marRight w:val="0"/>
                  <w:marTop w:val="0"/>
                  <w:marBottom w:val="0"/>
                  <w:divBdr>
                    <w:top w:val="none" w:sz="0" w:space="0" w:color="auto"/>
                    <w:left w:val="none" w:sz="0" w:space="0" w:color="auto"/>
                    <w:bottom w:val="none" w:sz="0" w:space="0" w:color="auto"/>
                    <w:right w:val="none" w:sz="0" w:space="0" w:color="auto"/>
                  </w:divBdr>
                  <w:divsChild>
                    <w:div w:id="1241793979">
                      <w:marLeft w:val="0"/>
                      <w:marRight w:val="0"/>
                      <w:marTop w:val="0"/>
                      <w:marBottom w:val="0"/>
                      <w:divBdr>
                        <w:top w:val="none" w:sz="0" w:space="0" w:color="auto"/>
                        <w:left w:val="none" w:sz="0" w:space="0" w:color="auto"/>
                        <w:bottom w:val="none" w:sz="0" w:space="0" w:color="auto"/>
                        <w:right w:val="none" w:sz="0" w:space="0" w:color="auto"/>
                      </w:divBdr>
                    </w:div>
                  </w:divsChild>
                </w:div>
                <w:div w:id="1923559771">
                  <w:marLeft w:val="0"/>
                  <w:marRight w:val="0"/>
                  <w:marTop w:val="0"/>
                  <w:marBottom w:val="0"/>
                  <w:divBdr>
                    <w:top w:val="none" w:sz="0" w:space="0" w:color="auto"/>
                    <w:left w:val="none" w:sz="0" w:space="0" w:color="auto"/>
                    <w:bottom w:val="none" w:sz="0" w:space="0" w:color="auto"/>
                    <w:right w:val="none" w:sz="0" w:space="0" w:color="auto"/>
                  </w:divBdr>
                  <w:divsChild>
                    <w:div w:id="402030464">
                      <w:marLeft w:val="0"/>
                      <w:marRight w:val="0"/>
                      <w:marTop w:val="0"/>
                      <w:marBottom w:val="0"/>
                      <w:divBdr>
                        <w:top w:val="none" w:sz="0" w:space="0" w:color="auto"/>
                        <w:left w:val="none" w:sz="0" w:space="0" w:color="auto"/>
                        <w:bottom w:val="none" w:sz="0" w:space="0" w:color="auto"/>
                        <w:right w:val="none" w:sz="0" w:space="0" w:color="auto"/>
                      </w:divBdr>
                    </w:div>
                  </w:divsChild>
                </w:div>
                <w:div w:id="1681202027">
                  <w:marLeft w:val="0"/>
                  <w:marRight w:val="0"/>
                  <w:marTop w:val="0"/>
                  <w:marBottom w:val="0"/>
                  <w:divBdr>
                    <w:top w:val="none" w:sz="0" w:space="0" w:color="auto"/>
                    <w:left w:val="none" w:sz="0" w:space="0" w:color="auto"/>
                    <w:bottom w:val="none" w:sz="0" w:space="0" w:color="auto"/>
                    <w:right w:val="none" w:sz="0" w:space="0" w:color="auto"/>
                  </w:divBdr>
                  <w:divsChild>
                    <w:div w:id="212426915">
                      <w:marLeft w:val="0"/>
                      <w:marRight w:val="0"/>
                      <w:marTop w:val="0"/>
                      <w:marBottom w:val="0"/>
                      <w:divBdr>
                        <w:top w:val="none" w:sz="0" w:space="0" w:color="auto"/>
                        <w:left w:val="none" w:sz="0" w:space="0" w:color="auto"/>
                        <w:bottom w:val="none" w:sz="0" w:space="0" w:color="auto"/>
                        <w:right w:val="none" w:sz="0" w:space="0" w:color="auto"/>
                      </w:divBdr>
                    </w:div>
                  </w:divsChild>
                </w:div>
                <w:div w:id="431321373">
                  <w:marLeft w:val="0"/>
                  <w:marRight w:val="0"/>
                  <w:marTop w:val="0"/>
                  <w:marBottom w:val="0"/>
                  <w:divBdr>
                    <w:top w:val="none" w:sz="0" w:space="0" w:color="auto"/>
                    <w:left w:val="none" w:sz="0" w:space="0" w:color="auto"/>
                    <w:bottom w:val="none" w:sz="0" w:space="0" w:color="auto"/>
                    <w:right w:val="none" w:sz="0" w:space="0" w:color="auto"/>
                  </w:divBdr>
                  <w:divsChild>
                    <w:div w:id="1614315443">
                      <w:marLeft w:val="0"/>
                      <w:marRight w:val="0"/>
                      <w:marTop w:val="0"/>
                      <w:marBottom w:val="0"/>
                      <w:divBdr>
                        <w:top w:val="none" w:sz="0" w:space="0" w:color="auto"/>
                        <w:left w:val="none" w:sz="0" w:space="0" w:color="auto"/>
                        <w:bottom w:val="none" w:sz="0" w:space="0" w:color="auto"/>
                        <w:right w:val="none" w:sz="0" w:space="0" w:color="auto"/>
                      </w:divBdr>
                    </w:div>
                  </w:divsChild>
                </w:div>
                <w:div w:id="1508134778">
                  <w:marLeft w:val="0"/>
                  <w:marRight w:val="0"/>
                  <w:marTop w:val="0"/>
                  <w:marBottom w:val="0"/>
                  <w:divBdr>
                    <w:top w:val="none" w:sz="0" w:space="0" w:color="auto"/>
                    <w:left w:val="none" w:sz="0" w:space="0" w:color="auto"/>
                    <w:bottom w:val="none" w:sz="0" w:space="0" w:color="auto"/>
                    <w:right w:val="none" w:sz="0" w:space="0" w:color="auto"/>
                  </w:divBdr>
                  <w:divsChild>
                    <w:div w:id="100564616">
                      <w:marLeft w:val="0"/>
                      <w:marRight w:val="0"/>
                      <w:marTop w:val="0"/>
                      <w:marBottom w:val="0"/>
                      <w:divBdr>
                        <w:top w:val="none" w:sz="0" w:space="0" w:color="auto"/>
                        <w:left w:val="none" w:sz="0" w:space="0" w:color="auto"/>
                        <w:bottom w:val="none" w:sz="0" w:space="0" w:color="auto"/>
                        <w:right w:val="none" w:sz="0" w:space="0" w:color="auto"/>
                      </w:divBdr>
                    </w:div>
                  </w:divsChild>
                </w:div>
                <w:div w:id="726222896">
                  <w:marLeft w:val="0"/>
                  <w:marRight w:val="0"/>
                  <w:marTop w:val="0"/>
                  <w:marBottom w:val="0"/>
                  <w:divBdr>
                    <w:top w:val="none" w:sz="0" w:space="0" w:color="auto"/>
                    <w:left w:val="none" w:sz="0" w:space="0" w:color="auto"/>
                    <w:bottom w:val="none" w:sz="0" w:space="0" w:color="auto"/>
                    <w:right w:val="none" w:sz="0" w:space="0" w:color="auto"/>
                  </w:divBdr>
                  <w:divsChild>
                    <w:div w:id="134758098">
                      <w:marLeft w:val="0"/>
                      <w:marRight w:val="0"/>
                      <w:marTop w:val="0"/>
                      <w:marBottom w:val="0"/>
                      <w:divBdr>
                        <w:top w:val="none" w:sz="0" w:space="0" w:color="auto"/>
                        <w:left w:val="none" w:sz="0" w:space="0" w:color="auto"/>
                        <w:bottom w:val="none" w:sz="0" w:space="0" w:color="auto"/>
                        <w:right w:val="none" w:sz="0" w:space="0" w:color="auto"/>
                      </w:divBdr>
                    </w:div>
                  </w:divsChild>
                </w:div>
                <w:div w:id="1175455508">
                  <w:marLeft w:val="0"/>
                  <w:marRight w:val="0"/>
                  <w:marTop w:val="0"/>
                  <w:marBottom w:val="0"/>
                  <w:divBdr>
                    <w:top w:val="none" w:sz="0" w:space="0" w:color="auto"/>
                    <w:left w:val="none" w:sz="0" w:space="0" w:color="auto"/>
                    <w:bottom w:val="none" w:sz="0" w:space="0" w:color="auto"/>
                    <w:right w:val="none" w:sz="0" w:space="0" w:color="auto"/>
                  </w:divBdr>
                  <w:divsChild>
                    <w:div w:id="1911112183">
                      <w:marLeft w:val="0"/>
                      <w:marRight w:val="0"/>
                      <w:marTop w:val="0"/>
                      <w:marBottom w:val="0"/>
                      <w:divBdr>
                        <w:top w:val="none" w:sz="0" w:space="0" w:color="auto"/>
                        <w:left w:val="none" w:sz="0" w:space="0" w:color="auto"/>
                        <w:bottom w:val="none" w:sz="0" w:space="0" w:color="auto"/>
                        <w:right w:val="none" w:sz="0" w:space="0" w:color="auto"/>
                      </w:divBdr>
                    </w:div>
                  </w:divsChild>
                </w:div>
                <w:div w:id="2009479171">
                  <w:marLeft w:val="0"/>
                  <w:marRight w:val="0"/>
                  <w:marTop w:val="0"/>
                  <w:marBottom w:val="0"/>
                  <w:divBdr>
                    <w:top w:val="none" w:sz="0" w:space="0" w:color="auto"/>
                    <w:left w:val="none" w:sz="0" w:space="0" w:color="auto"/>
                    <w:bottom w:val="none" w:sz="0" w:space="0" w:color="auto"/>
                    <w:right w:val="none" w:sz="0" w:space="0" w:color="auto"/>
                  </w:divBdr>
                  <w:divsChild>
                    <w:div w:id="596257601">
                      <w:marLeft w:val="0"/>
                      <w:marRight w:val="0"/>
                      <w:marTop w:val="0"/>
                      <w:marBottom w:val="0"/>
                      <w:divBdr>
                        <w:top w:val="none" w:sz="0" w:space="0" w:color="auto"/>
                        <w:left w:val="none" w:sz="0" w:space="0" w:color="auto"/>
                        <w:bottom w:val="none" w:sz="0" w:space="0" w:color="auto"/>
                        <w:right w:val="none" w:sz="0" w:space="0" w:color="auto"/>
                      </w:divBdr>
                    </w:div>
                  </w:divsChild>
                </w:div>
                <w:div w:id="723676267">
                  <w:marLeft w:val="0"/>
                  <w:marRight w:val="0"/>
                  <w:marTop w:val="0"/>
                  <w:marBottom w:val="0"/>
                  <w:divBdr>
                    <w:top w:val="none" w:sz="0" w:space="0" w:color="auto"/>
                    <w:left w:val="none" w:sz="0" w:space="0" w:color="auto"/>
                    <w:bottom w:val="none" w:sz="0" w:space="0" w:color="auto"/>
                    <w:right w:val="none" w:sz="0" w:space="0" w:color="auto"/>
                  </w:divBdr>
                  <w:divsChild>
                    <w:div w:id="1458832562">
                      <w:marLeft w:val="0"/>
                      <w:marRight w:val="0"/>
                      <w:marTop w:val="0"/>
                      <w:marBottom w:val="0"/>
                      <w:divBdr>
                        <w:top w:val="none" w:sz="0" w:space="0" w:color="auto"/>
                        <w:left w:val="none" w:sz="0" w:space="0" w:color="auto"/>
                        <w:bottom w:val="none" w:sz="0" w:space="0" w:color="auto"/>
                        <w:right w:val="none" w:sz="0" w:space="0" w:color="auto"/>
                      </w:divBdr>
                    </w:div>
                  </w:divsChild>
                </w:div>
                <w:div w:id="1516068766">
                  <w:marLeft w:val="0"/>
                  <w:marRight w:val="0"/>
                  <w:marTop w:val="0"/>
                  <w:marBottom w:val="0"/>
                  <w:divBdr>
                    <w:top w:val="none" w:sz="0" w:space="0" w:color="auto"/>
                    <w:left w:val="none" w:sz="0" w:space="0" w:color="auto"/>
                    <w:bottom w:val="none" w:sz="0" w:space="0" w:color="auto"/>
                    <w:right w:val="none" w:sz="0" w:space="0" w:color="auto"/>
                  </w:divBdr>
                  <w:divsChild>
                    <w:div w:id="1958368564">
                      <w:marLeft w:val="0"/>
                      <w:marRight w:val="0"/>
                      <w:marTop w:val="0"/>
                      <w:marBottom w:val="0"/>
                      <w:divBdr>
                        <w:top w:val="none" w:sz="0" w:space="0" w:color="auto"/>
                        <w:left w:val="none" w:sz="0" w:space="0" w:color="auto"/>
                        <w:bottom w:val="none" w:sz="0" w:space="0" w:color="auto"/>
                        <w:right w:val="none" w:sz="0" w:space="0" w:color="auto"/>
                      </w:divBdr>
                    </w:div>
                  </w:divsChild>
                </w:div>
                <w:div w:id="1775204592">
                  <w:marLeft w:val="0"/>
                  <w:marRight w:val="0"/>
                  <w:marTop w:val="0"/>
                  <w:marBottom w:val="0"/>
                  <w:divBdr>
                    <w:top w:val="none" w:sz="0" w:space="0" w:color="auto"/>
                    <w:left w:val="none" w:sz="0" w:space="0" w:color="auto"/>
                    <w:bottom w:val="none" w:sz="0" w:space="0" w:color="auto"/>
                    <w:right w:val="none" w:sz="0" w:space="0" w:color="auto"/>
                  </w:divBdr>
                  <w:divsChild>
                    <w:div w:id="1522743102">
                      <w:marLeft w:val="0"/>
                      <w:marRight w:val="0"/>
                      <w:marTop w:val="0"/>
                      <w:marBottom w:val="0"/>
                      <w:divBdr>
                        <w:top w:val="none" w:sz="0" w:space="0" w:color="auto"/>
                        <w:left w:val="none" w:sz="0" w:space="0" w:color="auto"/>
                        <w:bottom w:val="none" w:sz="0" w:space="0" w:color="auto"/>
                        <w:right w:val="none" w:sz="0" w:space="0" w:color="auto"/>
                      </w:divBdr>
                    </w:div>
                  </w:divsChild>
                </w:div>
                <w:div w:id="1245530112">
                  <w:marLeft w:val="0"/>
                  <w:marRight w:val="0"/>
                  <w:marTop w:val="0"/>
                  <w:marBottom w:val="0"/>
                  <w:divBdr>
                    <w:top w:val="none" w:sz="0" w:space="0" w:color="auto"/>
                    <w:left w:val="none" w:sz="0" w:space="0" w:color="auto"/>
                    <w:bottom w:val="none" w:sz="0" w:space="0" w:color="auto"/>
                    <w:right w:val="none" w:sz="0" w:space="0" w:color="auto"/>
                  </w:divBdr>
                  <w:divsChild>
                    <w:div w:id="1052509390">
                      <w:marLeft w:val="0"/>
                      <w:marRight w:val="0"/>
                      <w:marTop w:val="0"/>
                      <w:marBottom w:val="0"/>
                      <w:divBdr>
                        <w:top w:val="none" w:sz="0" w:space="0" w:color="auto"/>
                        <w:left w:val="none" w:sz="0" w:space="0" w:color="auto"/>
                        <w:bottom w:val="none" w:sz="0" w:space="0" w:color="auto"/>
                        <w:right w:val="none" w:sz="0" w:space="0" w:color="auto"/>
                      </w:divBdr>
                    </w:div>
                  </w:divsChild>
                </w:div>
                <w:div w:id="925192093">
                  <w:marLeft w:val="0"/>
                  <w:marRight w:val="0"/>
                  <w:marTop w:val="0"/>
                  <w:marBottom w:val="0"/>
                  <w:divBdr>
                    <w:top w:val="none" w:sz="0" w:space="0" w:color="auto"/>
                    <w:left w:val="none" w:sz="0" w:space="0" w:color="auto"/>
                    <w:bottom w:val="none" w:sz="0" w:space="0" w:color="auto"/>
                    <w:right w:val="none" w:sz="0" w:space="0" w:color="auto"/>
                  </w:divBdr>
                  <w:divsChild>
                    <w:div w:id="916398457">
                      <w:marLeft w:val="0"/>
                      <w:marRight w:val="0"/>
                      <w:marTop w:val="0"/>
                      <w:marBottom w:val="0"/>
                      <w:divBdr>
                        <w:top w:val="none" w:sz="0" w:space="0" w:color="auto"/>
                        <w:left w:val="none" w:sz="0" w:space="0" w:color="auto"/>
                        <w:bottom w:val="none" w:sz="0" w:space="0" w:color="auto"/>
                        <w:right w:val="none" w:sz="0" w:space="0" w:color="auto"/>
                      </w:divBdr>
                    </w:div>
                  </w:divsChild>
                </w:div>
                <w:div w:id="530647458">
                  <w:marLeft w:val="0"/>
                  <w:marRight w:val="0"/>
                  <w:marTop w:val="0"/>
                  <w:marBottom w:val="0"/>
                  <w:divBdr>
                    <w:top w:val="none" w:sz="0" w:space="0" w:color="auto"/>
                    <w:left w:val="none" w:sz="0" w:space="0" w:color="auto"/>
                    <w:bottom w:val="none" w:sz="0" w:space="0" w:color="auto"/>
                    <w:right w:val="none" w:sz="0" w:space="0" w:color="auto"/>
                  </w:divBdr>
                  <w:divsChild>
                    <w:div w:id="1792557271">
                      <w:marLeft w:val="0"/>
                      <w:marRight w:val="0"/>
                      <w:marTop w:val="0"/>
                      <w:marBottom w:val="0"/>
                      <w:divBdr>
                        <w:top w:val="none" w:sz="0" w:space="0" w:color="auto"/>
                        <w:left w:val="none" w:sz="0" w:space="0" w:color="auto"/>
                        <w:bottom w:val="none" w:sz="0" w:space="0" w:color="auto"/>
                        <w:right w:val="none" w:sz="0" w:space="0" w:color="auto"/>
                      </w:divBdr>
                    </w:div>
                  </w:divsChild>
                </w:div>
                <w:div w:id="858085388">
                  <w:marLeft w:val="0"/>
                  <w:marRight w:val="0"/>
                  <w:marTop w:val="0"/>
                  <w:marBottom w:val="0"/>
                  <w:divBdr>
                    <w:top w:val="none" w:sz="0" w:space="0" w:color="auto"/>
                    <w:left w:val="none" w:sz="0" w:space="0" w:color="auto"/>
                    <w:bottom w:val="none" w:sz="0" w:space="0" w:color="auto"/>
                    <w:right w:val="none" w:sz="0" w:space="0" w:color="auto"/>
                  </w:divBdr>
                  <w:divsChild>
                    <w:div w:id="176895358">
                      <w:marLeft w:val="0"/>
                      <w:marRight w:val="0"/>
                      <w:marTop w:val="0"/>
                      <w:marBottom w:val="0"/>
                      <w:divBdr>
                        <w:top w:val="none" w:sz="0" w:space="0" w:color="auto"/>
                        <w:left w:val="none" w:sz="0" w:space="0" w:color="auto"/>
                        <w:bottom w:val="none" w:sz="0" w:space="0" w:color="auto"/>
                        <w:right w:val="none" w:sz="0" w:space="0" w:color="auto"/>
                      </w:divBdr>
                    </w:div>
                  </w:divsChild>
                </w:div>
                <w:div w:id="702437104">
                  <w:marLeft w:val="0"/>
                  <w:marRight w:val="0"/>
                  <w:marTop w:val="0"/>
                  <w:marBottom w:val="0"/>
                  <w:divBdr>
                    <w:top w:val="none" w:sz="0" w:space="0" w:color="auto"/>
                    <w:left w:val="none" w:sz="0" w:space="0" w:color="auto"/>
                    <w:bottom w:val="none" w:sz="0" w:space="0" w:color="auto"/>
                    <w:right w:val="none" w:sz="0" w:space="0" w:color="auto"/>
                  </w:divBdr>
                  <w:divsChild>
                    <w:div w:id="1806238931">
                      <w:marLeft w:val="0"/>
                      <w:marRight w:val="0"/>
                      <w:marTop w:val="0"/>
                      <w:marBottom w:val="0"/>
                      <w:divBdr>
                        <w:top w:val="none" w:sz="0" w:space="0" w:color="auto"/>
                        <w:left w:val="none" w:sz="0" w:space="0" w:color="auto"/>
                        <w:bottom w:val="none" w:sz="0" w:space="0" w:color="auto"/>
                        <w:right w:val="none" w:sz="0" w:space="0" w:color="auto"/>
                      </w:divBdr>
                    </w:div>
                  </w:divsChild>
                </w:div>
                <w:div w:id="1802190003">
                  <w:marLeft w:val="0"/>
                  <w:marRight w:val="0"/>
                  <w:marTop w:val="0"/>
                  <w:marBottom w:val="0"/>
                  <w:divBdr>
                    <w:top w:val="none" w:sz="0" w:space="0" w:color="auto"/>
                    <w:left w:val="none" w:sz="0" w:space="0" w:color="auto"/>
                    <w:bottom w:val="none" w:sz="0" w:space="0" w:color="auto"/>
                    <w:right w:val="none" w:sz="0" w:space="0" w:color="auto"/>
                  </w:divBdr>
                  <w:divsChild>
                    <w:div w:id="1165781339">
                      <w:marLeft w:val="0"/>
                      <w:marRight w:val="0"/>
                      <w:marTop w:val="0"/>
                      <w:marBottom w:val="0"/>
                      <w:divBdr>
                        <w:top w:val="none" w:sz="0" w:space="0" w:color="auto"/>
                        <w:left w:val="none" w:sz="0" w:space="0" w:color="auto"/>
                        <w:bottom w:val="none" w:sz="0" w:space="0" w:color="auto"/>
                        <w:right w:val="none" w:sz="0" w:space="0" w:color="auto"/>
                      </w:divBdr>
                    </w:div>
                  </w:divsChild>
                </w:div>
                <w:div w:id="1936092826">
                  <w:marLeft w:val="0"/>
                  <w:marRight w:val="0"/>
                  <w:marTop w:val="0"/>
                  <w:marBottom w:val="0"/>
                  <w:divBdr>
                    <w:top w:val="none" w:sz="0" w:space="0" w:color="auto"/>
                    <w:left w:val="none" w:sz="0" w:space="0" w:color="auto"/>
                    <w:bottom w:val="none" w:sz="0" w:space="0" w:color="auto"/>
                    <w:right w:val="none" w:sz="0" w:space="0" w:color="auto"/>
                  </w:divBdr>
                  <w:divsChild>
                    <w:div w:id="1181163095">
                      <w:marLeft w:val="0"/>
                      <w:marRight w:val="0"/>
                      <w:marTop w:val="0"/>
                      <w:marBottom w:val="0"/>
                      <w:divBdr>
                        <w:top w:val="none" w:sz="0" w:space="0" w:color="auto"/>
                        <w:left w:val="none" w:sz="0" w:space="0" w:color="auto"/>
                        <w:bottom w:val="none" w:sz="0" w:space="0" w:color="auto"/>
                        <w:right w:val="none" w:sz="0" w:space="0" w:color="auto"/>
                      </w:divBdr>
                    </w:div>
                  </w:divsChild>
                </w:div>
                <w:div w:id="1280527012">
                  <w:marLeft w:val="0"/>
                  <w:marRight w:val="0"/>
                  <w:marTop w:val="0"/>
                  <w:marBottom w:val="0"/>
                  <w:divBdr>
                    <w:top w:val="none" w:sz="0" w:space="0" w:color="auto"/>
                    <w:left w:val="none" w:sz="0" w:space="0" w:color="auto"/>
                    <w:bottom w:val="none" w:sz="0" w:space="0" w:color="auto"/>
                    <w:right w:val="none" w:sz="0" w:space="0" w:color="auto"/>
                  </w:divBdr>
                  <w:divsChild>
                    <w:div w:id="557785896">
                      <w:marLeft w:val="0"/>
                      <w:marRight w:val="0"/>
                      <w:marTop w:val="0"/>
                      <w:marBottom w:val="0"/>
                      <w:divBdr>
                        <w:top w:val="none" w:sz="0" w:space="0" w:color="auto"/>
                        <w:left w:val="none" w:sz="0" w:space="0" w:color="auto"/>
                        <w:bottom w:val="none" w:sz="0" w:space="0" w:color="auto"/>
                        <w:right w:val="none" w:sz="0" w:space="0" w:color="auto"/>
                      </w:divBdr>
                    </w:div>
                  </w:divsChild>
                </w:div>
                <w:div w:id="929659293">
                  <w:marLeft w:val="0"/>
                  <w:marRight w:val="0"/>
                  <w:marTop w:val="0"/>
                  <w:marBottom w:val="0"/>
                  <w:divBdr>
                    <w:top w:val="none" w:sz="0" w:space="0" w:color="auto"/>
                    <w:left w:val="none" w:sz="0" w:space="0" w:color="auto"/>
                    <w:bottom w:val="none" w:sz="0" w:space="0" w:color="auto"/>
                    <w:right w:val="none" w:sz="0" w:space="0" w:color="auto"/>
                  </w:divBdr>
                  <w:divsChild>
                    <w:div w:id="265112850">
                      <w:marLeft w:val="0"/>
                      <w:marRight w:val="0"/>
                      <w:marTop w:val="0"/>
                      <w:marBottom w:val="0"/>
                      <w:divBdr>
                        <w:top w:val="none" w:sz="0" w:space="0" w:color="auto"/>
                        <w:left w:val="none" w:sz="0" w:space="0" w:color="auto"/>
                        <w:bottom w:val="none" w:sz="0" w:space="0" w:color="auto"/>
                        <w:right w:val="none" w:sz="0" w:space="0" w:color="auto"/>
                      </w:divBdr>
                    </w:div>
                  </w:divsChild>
                </w:div>
                <w:div w:id="93671160">
                  <w:marLeft w:val="0"/>
                  <w:marRight w:val="0"/>
                  <w:marTop w:val="0"/>
                  <w:marBottom w:val="0"/>
                  <w:divBdr>
                    <w:top w:val="none" w:sz="0" w:space="0" w:color="auto"/>
                    <w:left w:val="none" w:sz="0" w:space="0" w:color="auto"/>
                    <w:bottom w:val="none" w:sz="0" w:space="0" w:color="auto"/>
                    <w:right w:val="none" w:sz="0" w:space="0" w:color="auto"/>
                  </w:divBdr>
                  <w:divsChild>
                    <w:div w:id="504589893">
                      <w:marLeft w:val="0"/>
                      <w:marRight w:val="0"/>
                      <w:marTop w:val="0"/>
                      <w:marBottom w:val="0"/>
                      <w:divBdr>
                        <w:top w:val="none" w:sz="0" w:space="0" w:color="auto"/>
                        <w:left w:val="none" w:sz="0" w:space="0" w:color="auto"/>
                        <w:bottom w:val="none" w:sz="0" w:space="0" w:color="auto"/>
                        <w:right w:val="none" w:sz="0" w:space="0" w:color="auto"/>
                      </w:divBdr>
                    </w:div>
                  </w:divsChild>
                </w:div>
                <w:div w:id="688333840">
                  <w:marLeft w:val="0"/>
                  <w:marRight w:val="0"/>
                  <w:marTop w:val="0"/>
                  <w:marBottom w:val="0"/>
                  <w:divBdr>
                    <w:top w:val="none" w:sz="0" w:space="0" w:color="auto"/>
                    <w:left w:val="none" w:sz="0" w:space="0" w:color="auto"/>
                    <w:bottom w:val="none" w:sz="0" w:space="0" w:color="auto"/>
                    <w:right w:val="none" w:sz="0" w:space="0" w:color="auto"/>
                  </w:divBdr>
                  <w:divsChild>
                    <w:div w:id="706640752">
                      <w:marLeft w:val="0"/>
                      <w:marRight w:val="0"/>
                      <w:marTop w:val="0"/>
                      <w:marBottom w:val="0"/>
                      <w:divBdr>
                        <w:top w:val="none" w:sz="0" w:space="0" w:color="auto"/>
                        <w:left w:val="none" w:sz="0" w:space="0" w:color="auto"/>
                        <w:bottom w:val="none" w:sz="0" w:space="0" w:color="auto"/>
                        <w:right w:val="none" w:sz="0" w:space="0" w:color="auto"/>
                      </w:divBdr>
                    </w:div>
                  </w:divsChild>
                </w:div>
                <w:div w:id="854459893">
                  <w:marLeft w:val="0"/>
                  <w:marRight w:val="0"/>
                  <w:marTop w:val="0"/>
                  <w:marBottom w:val="0"/>
                  <w:divBdr>
                    <w:top w:val="none" w:sz="0" w:space="0" w:color="auto"/>
                    <w:left w:val="none" w:sz="0" w:space="0" w:color="auto"/>
                    <w:bottom w:val="none" w:sz="0" w:space="0" w:color="auto"/>
                    <w:right w:val="none" w:sz="0" w:space="0" w:color="auto"/>
                  </w:divBdr>
                  <w:divsChild>
                    <w:div w:id="287400047">
                      <w:marLeft w:val="0"/>
                      <w:marRight w:val="0"/>
                      <w:marTop w:val="0"/>
                      <w:marBottom w:val="0"/>
                      <w:divBdr>
                        <w:top w:val="none" w:sz="0" w:space="0" w:color="auto"/>
                        <w:left w:val="none" w:sz="0" w:space="0" w:color="auto"/>
                        <w:bottom w:val="none" w:sz="0" w:space="0" w:color="auto"/>
                        <w:right w:val="none" w:sz="0" w:space="0" w:color="auto"/>
                      </w:divBdr>
                    </w:div>
                  </w:divsChild>
                </w:div>
                <w:div w:id="1281182203">
                  <w:marLeft w:val="0"/>
                  <w:marRight w:val="0"/>
                  <w:marTop w:val="0"/>
                  <w:marBottom w:val="0"/>
                  <w:divBdr>
                    <w:top w:val="none" w:sz="0" w:space="0" w:color="auto"/>
                    <w:left w:val="none" w:sz="0" w:space="0" w:color="auto"/>
                    <w:bottom w:val="none" w:sz="0" w:space="0" w:color="auto"/>
                    <w:right w:val="none" w:sz="0" w:space="0" w:color="auto"/>
                  </w:divBdr>
                  <w:divsChild>
                    <w:div w:id="546839392">
                      <w:marLeft w:val="0"/>
                      <w:marRight w:val="0"/>
                      <w:marTop w:val="0"/>
                      <w:marBottom w:val="0"/>
                      <w:divBdr>
                        <w:top w:val="none" w:sz="0" w:space="0" w:color="auto"/>
                        <w:left w:val="none" w:sz="0" w:space="0" w:color="auto"/>
                        <w:bottom w:val="none" w:sz="0" w:space="0" w:color="auto"/>
                        <w:right w:val="none" w:sz="0" w:space="0" w:color="auto"/>
                      </w:divBdr>
                    </w:div>
                  </w:divsChild>
                </w:div>
                <w:div w:id="1165782995">
                  <w:marLeft w:val="0"/>
                  <w:marRight w:val="0"/>
                  <w:marTop w:val="0"/>
                  <w:marBottom w:val="0"/>
                  <w:divBdr>
                    <w:top w:val="none" w:sz="0" w:space="0" w:color="auto"/>
                    <w:left w:val="none" w:sz="0" w:space="0" w:color="auto"/>
                    <w:bottom w:val="none" w:sz="0" w:space="0" w:color="auto"/>
                    <w:right w:val="none" w:sz="0" w:space="0" w:color="auto"/>
                  </w:divBdr>
                  <w:divsChild>
                    <w:div w:id="1316911962">
                      <w:marLeft w:val="0"/>
                      <w:marRight w:val="0"/>
                      <w:marTop w:val="0"/>
                      <w:marBottom w:val="0"/>
                      <w:divBdr>
                        <w:top w:val="none" w:sz="0" w:space="0" w:color="auto"/>
                        <w:left w:val="none" w:sz="0" w:space="0" w:color="auto"/>
                        <w:bottom w:val="none" w:sz="0" w:space="0" w:color="auto"/>
                        <w:right w:val="none" w:sz="0" w:space="0" w:color="auto"/>
                      </w:divBdr>
                    </w:div>
                  </w:divsChild>
                </w:div>
                <w:div w:id="1175338612">
                  <w:marLeft w:val="0"/>
                  <w:marRight w:val="0"/>
                  <w:marTop w:val="0"/>
                  <w:marBottom w:val="0"/>
                  <w:divBdr>
                    <w:top w:val="none" w:sz="0" w:space="0" w:color="auto"/>
                    <w:left w:val="none" w:sz="0" w:space="0" w:color="auto"/>
                    <w:bottom w:val="none" w:sz="0" w:space="0" w:color="auto"/>
                    <w:right w:val="none" w:sz="0" w:space="0" w:color="auto"/>
                  </w:divBdr>
                  <w:divsChild>
                    <w:div w:id="458962743">
                      <w:marLeft w:val="0"/>
                      <w:marRight w:val="0"/>
                      <w:marTop w:val="0"/>
                      <w:marBottom w:val="0"/>
                      <w:divBdr>
                        <w:top w:val="none" w:sz="0" w:space="0" w:color="auto"/>
                        <w:left w:val="none" w:sz="0" w:space="0" w:color="auto"/>
                        <w:bottom w:val="none" w:sz="0" w:space="0" w:color="auto"/>
                        <w:right w:val="none" w:sz="0" w:space="0" w:color="auto"/>
                      </w:divBdr>
                    </w:div>
                  </w:divsChild>
                </w:div>
                <w:div w:id="306517200">
                  <w:marLeft w:val="0"/>
                  <w:marRight w:val="0"/>
                  <w:marTop w:val="0"/>
                  <w:marBottom w:val="0"/>
                  <w:divBdr>
                    <w:top w:val="none" w:sz="0" w:space="0" w:color="auto"/>
                    <w:left w:val="none" w:sz="0" w:space="0" w:color="auto"/>
                    <w:bottom w:val="none" w:sz="0" w:space="0" w:color="auto"/>
                    <w:right w:val="none" w:sz="0" w:space="0" w:color="auto"/>
                  </w:divBdr>
                  <w:divsChild>
                    <w:div w:id="1927570406">
                      <w:marLeft w:val="0"/>
                      <w:marRight w:val="0"/>
                      <w:marTop w:val="0"/>
                      <w:marBottom w:val="0"/>
                      <w:divBdr>
                        <w:top w:val="none" w:sz="0" w:space="0" w:color="auto"/>
                        <w:left w:val="none" w:sz="0" w:space="0" w:color="auto"/>
                        <w:bottom w:val="none" w:sz="0" w:space="0" w:color="auto"/>
                        <w:right w:val="none" w:sz="0" w:space="0" w:color="auto"/>
                      </w:divBdr>
                    </w:div>
                  </w:divsChild>
                </w:div>
                <w:div w:id="1461074532">
                  <w:marLeft w:val="0"/>
                  <w:marRight w:val="0"/>
                  <w:marTop w:val="0"/>
                  <w:marBottom w:val="0"/>
                  <w:divBdr>
                    <w:top w:val="none" w:sz="0" w:space="0" w:color="auto"/>
                    <w:left w:val="none" w:sz="0" w:space="0" w:color="auto"/>
                    <w:bottom w:val="none" w:sz="0" w:space="0" w:color="auto"/>
                    <w:right w:val="none" w:sz="0" w:space="0" w:color="auto"/>
                  </w:divBdr>
                  <w:divsChild>
                    <w:div w:id="1839081087">
                      <w:marLeft w:val="0"/>
                      <w:marRight w:val="0"/>
                      <w:marTop w:val="0"/>
                      <w:marBottom w:val="0"/>
                      <w:divBdr>
                        <w:top w:val="none" w:sz="0" w:space="0" w:color="auto"/>
                        <w:left w:val="none" w:sz="0" w:space="0" w:color="auto"/>
                        <w:bottom w:val="none" w:sz="0" w:space="0" w:color="auto"/>
                        <w:right w:val="none" w:sz="0" w:space="0" w:color="auto"/>
                      </w:divBdr>
                    </w:div>
                  </w:divsChild>
                </w:div>
                <w:div w:id="1584483506">
                  <w:marLeft w:val="0"/>
                  <w:marRight w:val="0"/>
                  <w:marTop w:val="0"/>
                  <w:marBottom w:val="0"/>
                  <w:divBdr>
                    <w:top w:val="none" w:sz="0" w:space="0" w:color="auto"/>
                    <w:left w:val="none" w:sz="0" w:space="0" w:color="auto"/>
                    <w:bottom w:val="none" w:sz="0" w:space="0" w:color="auto"/>
                    <w:right w:val="none" w:sz="0" w:space="0" w:color="auto"/>
                  </w:divBdr>
                  <w:divsChild>
                    <w:div w:id="487287074">
                      <w:marLeft w:val="0"/>
                      <w:marRight w:val="0"/>
                      <w:marTop w:val="0"/>
                      <w:marBottom w:val="0"/>
                      <w:divBdr>
                        <w:top w:val="none" w:sz="0" w:space="0" w:color="auto"/>
                        <w:left w:val="none" w:sz="0" w:space="0" w:color="auto"/>
                        <w:bottom w:val="none" w:sz="0" w:space="0" w:color="auto"/>
                        <w:right w:val="none" w:sz="0" w:space="0" w:color="auto"/>
                      </w:divBdr>
                    </w:div>
                  </w:divsChild>
                </w:div>
                <w:div w:id="1956984147">
                  <w:marLeft w:val="0"/>
                  <w:marRight w:val="0"/>
                  <w:marTop w:val="0"/>
                  <w:marBottom w:val="0"/>
                  <w:divBdr>
                    <w:top w:val="none" w:sz="0" w:space="0" w:color="auto"/>
                    <w:left w:val="none" w:sz="0" w:space="0" w:color="auto"/>
                    <w:bottom w:val="none" w:sz="0" w:space="0" w:color="auto"/>
                    <w:right w:val="none" w:sz="0" w:space="0" w:color="auto"/>
                  </w:divBdr>
                  <w:divsChild>
                    <w:div w:id="1632782974">
                      <w:marLeft w:val="0"/>
                      <w:marRight w:val="0"/>
                      <w:marTop w:val="0"/>
                      <w:marBottom w:val="0"/>
                      <w:divBdr>
                        <w:top w:val="none" w:sz="0" w:space="0" w:color="auto"/>
                        <w:left w:val="none" w:sz="0" w:space="0" w:color="auto"/>
                        <w:bottom w:val="none" w:sz="0" w:space="0" w:color="auto"/>
                        <w:right w:val="none" w:sz="0" w:space="0" w:color="auto"/>
                      </w:divBdr>
                    </w:div>
                  </w:divsChild>
                </w:div>
                <w:div w:id="532815255">
                  <w:marLeft w:val="0"/>
                  <w:marRight w:val="0"/>
                  <w:marTop w:val="0"/>
                  <w:marBottom w:val="0"/>
                  <w:divBdr>
                    <w:top w:val="none" w:sz="0" w:space="0" w:color="auto"/>
                    <w:left w:val="none" w:sz="0" w:space="0" w:color="auto"/>
                    <w:bottom w:val="none" w:sz="0" w:space="0" w:color="auto"/>
                    <w:right w:val="none" w:sz="0" w:space="0" w:color="auto"/>
                  </w:divBdr>
                  <w:divsChild>
                    <w:div w:id="1271158380">
                      <w:marLeft w:val="0"/>
                      <w:marRight w:val="0"/>
                      <w:marTop w:val="0"/>
                      <w:marBottom w:val="0"/>
                      <w:divBdr>
                        <w:top w:val="none" w:sz="0" w:space="0" w:color="auto"/>
                        <w:left w:val="none" w:sz="0" w:space="0" w:color="auto"/>
                        <w:bottom w:val="none" w:sz="0" w:space="0" w:color="auto"/>
                        <w:right w:val="none" w:sz="0" w:space="0" w:color="auto"/>
                      </w:divBdr>
                    </w:div>
                  </w:divsChild>
                </w:div>
                <w:div w:id="825707534">
                  <w:marLeft w:val="0"/>
                  <w:marRight w:val="0"/>
                  <w:marTop w:val="0"/>
                  <w:marBottom w:val="0"/>
                  <w:divBdr>
                    <w:top w:val="none" w:sz="0" w:space="0" w:color="auto"/>
                    <w:left w:val="none" w:sz="0" w:space="0" w:color="auto"/>
                    <w:bottom w:val="none" w:sz="0" w:space="0" w:color="auto"/>
                    <w:right w:val="none" w:sz="0" w:space="0" w:color="auto"/>
                  </w:divBdr>
                  <w:divsChild>
                    <w:div w:id="1046373691">
                      <w:marLeft w:val="0"/>
                      <w:marRight w:val="0"/>
                      <w:marTop w:val="0"/>
                      <w:marBottom w:val="0"/>
                      <w:divBdr>
                        <w:top w:val="none" w:sz="0" w:space="0" w:color="auto"/>
                        <w:left w:val="none" w:sz="0" w:space="0" w:color="auto"/>
                        <w:bottom w:val="none" w:sz="0" w:space="0" w:color="auto"/>
                        <w:right w:val="none" w:sz="0" w:space="0" w:color="auto"/>
                      </w:divBdr>
                    </w:div>
                  </w:divsChild>
                </w:div>
                <w:div w:id="486214218">
                  <w:marLeft w:val="0"/>
                  <w:marRight w:val="0"/>
                  <w:marTop w:val="0"/>
                  <w:marBottom w:val="0"/>
                  <w:divBdr>
                    <w:top w:val="none" w:sz="0" w:space="0" w:color="auto"/>
                    <w:left w:val="none" w:sz="0" w:space="0" w:color="auto"/>
                    <w:bottom w:val="none" w:sz="0" w:space="0" w:color="auto"/>
                    <w:right w:val="none" w:sz="0" w:space="0" w:color="auto"/>
                  </w:divBdr>
                  <w:divsChild>
                    <w:div w:id="1523741228">
                      <w:marLeft w:val="0"/>
                      <w:marRight w:val="0"/>
                      <w:marTop w:val="0"/>
                      <w:marBottom w:val="0"/>
                      <w:divBdr>
                        <w:top w:val="none" w:sz="0" w:space="0" w:color="auto"/>
                        <w:left w:val="none" w:sz="0" w:space="0" w:color="auto"/>
                        <w:bottom w:val="none" w:sz="0" w:space="0" w:color="auto"/>
                        <w:right w:val="none" w:sz="0" w:space="0" w:color="auto"/>
                      </w:divBdr>
                    </w:div>
                  </w:divsChild>
                </w:div>
                <w:div w:id="784232060">
                  <w:marLeft w:val="0"/>
                  <w:marRight w:val="0"/>
                  <w:marTop w:val="0"/>
                  <w:marBottom w:val="0"/>
                  <w:divBdr>
                    <w:top w:val="none" w:sz="0" w:space="0" w:color="auto"/>
                    <w:left w:val="none" w:sz="0" w:space="0" w:color="auto"/>
                    <w:bottom w:val="none" w:sz="0" w:space="0" w:color="auto"/>
                    <w:right w:val="none" w:sz="0" w:space="0" w:color="auto"/>
                  </w:divBdr>
                  <w:divsChild>
                    <w:div w:id="1289051480">
                      <w:marLeft w:val="0"/>
                      <w:marRight w:val="0"/>
                      <w:marTop w:val="0"/>
                      <w:marBottom w:val="0"/>
                      <w:divBdr>
                        <w:top w:val="none" w:sz="0" w:space="0" w:color="auto"/>
                        <w:left w:val="none" w:sz="0" w:space="0" w:color="auto"/>
                        <w:bottom w:val="none" w:sz="0" w:space="0" w:color="auto"/>
                        <w:right w:val="none" w:sz="0" w:space="0" w:color="auto"/>
                      </w:divBdr>
                    </w:div>
                  </w:divsChild>
                </w:div>
                <w:div w:id="560094821">
                  <w:marLeft w:val="0"/>
                  <w:marRight w:val="0"/>
                  <w:marTop w:val="0"/>
                  <w:marBottom w:val="0"/>
                  <w:divBdr>
                    <w:top w:val="none" w:sz="0" w:space="0" w:color="auto"/>
                    <w:left w:val="none" w:sz="0" w:space="0" w:color="auto"/>
                    <w:bottom w:val="none" w:sz="0" w:space="0" w:color="auto"/>
                    <w:right w:val="none" w:sz="0" w:space="0" w:color="auto"/>
                  </w:divBdr>
                  <w:divsChild>
                    <w:div w:id="681443402">
                      <w:marLeft w:val="0"/>
                      <w:marRight w:val="0"/>
                      <w:marTop w:val="0"/>
                      <w:marBottom w:val="0"/>
                      <w:divBdr>
                        <w:top w:val="none" w:sz="0" w:space="0" w:color="auto"/>
                        <w:left w:val="none" w:sz="0" w:space="0" w:color="auto"/>
                        <w:bottom w:val="none" w:sz="0" w:space="0" w:color="auto"/>
                        <w:right w:val="none" w:sz="0" w:space="0" w:color="auto"/>
                      </w:divBdr>
                    </w:div>
                  </w:divsChild>
                </w:div>
                <w:div w:id="1046443562">
                  <w:marLeft w:val="0"/>
                  <w:marRight w:val="0"/>
                  <w:marTop w:val="0"/>
                  <w:marBottom w:val="0"/>
                  <w:divBdr>
                    <w:top w:val="none" w:sz="0" w:space="0" w:color="auto"/>
                    <w:left w:val="none" w:sz="0" w:space="0" w:color="auto"/>
                    <w:bottom w:val="none" w:sz="0" w:space="0" w:color="auto"/>
                    <w:right w:val="none" w:sz="0" w:space="0" w:color="auto"/>
                  </w:divBdr>
                  <w:divsChild>
                    <w:div w:id="1516848728">
                      <w:marLeft w:val="0"/>
                      <w:marRight w:val="0"/>
                      <w:marTop w:val="0"/>
                      <w:marBottom w:val="0"/>
                      <w:divBdr>
                        <w:top w:val="none" w:sz="0" w:space="0" w:color="auto"/>
                        <w:left w:val="none" w:sz="0" w:space="0" w:color="auto"/>
                        <w:bottom w:val="none" w:sz="0" w:space="0" w:color="auto"/>
                        <w:right w:val="none" w:sz="0" w:space="0" w:color="auto"/>
                      </w:divBdr>
                    </w:div>
                  </w:divsChild>
                </w:div>
                <w:div w:id="1883057833">
                  <w:marLeft w:val="0"/>
                  <w:marRight w:val="0"/>
                  <w:marTop w:val="0"/>
                  <w:marBottom w:val="0"/>
                  <w:divBdr>
                    <w:top w:val="none" w:sz="0" w:space="0" w:color="auto"/>
                    <w:left w:val="none" w:sz="0" w:space="0" w:color="auto"/>
                    <w:bottom w:val="none" w:sz="0" w:space="0" w:color="auto"/>
                    <w:right w:val="none" w:sz="0" w:space="0" w:color="auto"/>
                  </w:divBdr>
                  <w:divsChild>
                    <w:div w:id="1478956900">
                      <w:marLeft w:val="0"/>
                      <w:marRight w:val="0"/>
                      <w:marTop w:val="0"/>
                      <w:marBottom w:val="0"/>
                      <w:divBdr>
                        <w:top w:val="none" w:sz="0" w:space="0" w:color="auto"/>
                        <w:left w:val="none" w:sz="0" w:space="0" w:color="auto"/>
                        <w:bottom w:val="none" w:sz="0" w:space="0" w:color="auto"/>
                        <w:right w:val="none" w:sz="0" w:space="0" w:color="auto"/>
                      </w:divBdr>
                    </w:div>
                  </w:divsChild>
                </w:div>
                <w:div w:id="728768335">
                  <w:marLeft w:val="0"/>
                  <w:marRight w:val="0"/>
                  <w:marTop w:val="0"/>
                  <w:marBottom w:val="0"/>
                  <w:divBdr>
                    <w:top w:val="none" w:sz="0" w:space="0" w:color="auto"/>
                    <w:left w:val="none" w:sz="0" w:space="0" w:color="auto"/>
                    <w:bottom w:val="none" w:sz="0" w:space="0" w:color="auto"/>
                    <w:right w:val="none" w:sz="0" w:space="0" w:color="auto"/>
                  </w:divBdr>
                  <w:divsChild>
                    <w:div w:id="436800584">
                      <w:marLeft w:val="0"/>
                      <w:marRight w:val="0"/>
                      <w:marTop w:val="0"/>
                      <w:marBottom w:val="0"/>
                      <w:divBdr>
                        <w:top w:val="none" w:sz="0" w:space="0" w:color="auto"/>
                        <w:left w:val="none" w:sz="0" w:space="0" w:color="auto"/>
                        <w:bottom w:val="none" w:sz="0" w:space="0" w:color="auto"/>
                        <w:right w:val="none" w:sz="0" w:space="0" w:color="auto"/>
                      </w:divBdr>
                    </w:div>
                  </w:divsChild>
                </w:div>
                <w:div w:id="974799099">
                  <w:marLeft w:val="0"/>
                  <w:marRight w:val="0"/>
                  <w:marTop w:val="0"/>
                  <w:marBottom w:val="0"/>
                  <w:divBdr>
                    <w:top w:val="none" w:sz="0" w:space="0" w:color="auto"/>
                    <w:left w:val="none" w:sz="0" w:space="0" w:color="auto"/>
                    <w:bottom w:val="none" w:sz="0" w:space="0" w:color="auto"/>
                    <w:right w:val="none" w:sz="0" w:space="0" w:color="auto"/>
                  </w:divBdr>
                  <w:divsChild>
                    <w:div w:id="755831567">
                      <w:marLeft w:val="0"/>
                      <w:marRight w:val="0"/>
                      <w:marTop w:val="0"/>
                      <w:marBottom w:val="0"/>
                      <w:divBdr>
                        <w:top w:val="none" w:sz="0" w:space="0" w:color="auto"/>
                        <w:left w:val="none" w:sz="0" w:space="0" w:color="auto"/>
                        <w:bottom w:val="none" w:sz="0" w:space="0" w:color="auto"/>
                        <w:right w:val="none" w:sz="0" w:space="0" w:color="auto"/>
                      </w:divBdr>
                    </w:div>
                  </w:divsChild>
                </w:div>
                <w:div w:id="795491624">
                  <w:marLeft w:val="0"/>
                  <w:marRight w:val="0"/>
                  <w:marTop w:val="0"/>
                  <w:marBottom w:val="0"/>
                  <w:divBdr>
                    <w:top w:val="none" w:sz="0" w:space="0" w:color="auto"/>
                    <w:left w:val="none" w:sz="0" w:space="0" w:color="auto"/>
                    <w:bottom w:val="none" w:sz="0" w:space="0" w:color="auto"/>
                    <w:right w:val="none" w:sz="0" w:space="0" w:color="auto"/>
                  </w:divBdr>
                  <w:divsChild>
                    <w:div w:id="1731809380">
                      <w:marLeft w:val="0"/>
                      <w:marRight w:val="0"/>
                      <w:marTop w:val="0"/>
                      <w:marBottom w:val="0"/>
                      <w:divBdr>
                        <w:top w:val="none" w:sz="0" w:space="0" w:color="auto"/>
                        <w:left w:val="none" w:sz="0" w:space="0" w:color="auto"/>
                        <w:bottom w:val="none" w:sz="0" w:space="0" w:color="auto"/>
                        <w:right w:val="none" w:sz="0" w:space="0" w:color="auto"/>
                      </w:divBdr>
                    </w:div>
                  </w:divsChild>
                </w:div>
                <w:div w:id="1583367078">
                  <w:marLeft w:val="0"/>
                  <w:marRight w:val="0"/>
                  <w:marTop w:val="0"/>
                  <w:marBottom w:val="0"/>
                  <w:divBdr>
                    <w:top w:val="none" w:sz="0" w:space="0" w:color="auto"/>
                    <w:left w:val="none" w:sz="0" w:space="0" w:color="auto"/>
                    <w:bottom w:val="none" w:sz="0" w:space="0" w:color="auto"/>
                    <w:right w:val="none" w:sz="0" w:space="0" w:color="auto"/>
                  </w:divBdr>
                  <w:divsChild>
                    <w:div w:id="945885131">
                      <w:marLeft w:val="0"/>
                      <w:marRight w:val="0"/>
                      <w:marTop w:val="0"/>
                      <w:marBottom w:val="0"/>
                      <w:divBdr>
                        <w:top w:val="none" w:sz="0" w:space="0" w:color="auto"/>
                        <w:left w:val="none" w:sz="0" w:space="0" w:color="auto"/>
                        <w:bottom w:val="none" w:sz="0" w:space="0" w:color="auto"/>
                        <w:right w:val="none" w:sz="0" w:space="0" w:color="auto"/>
                      </w:divBdr>
                    </w:div>
                  </w:divsChild>
                </w:div>
                <w:div w:id="1343362595">
                  <w:marLeft w:val="0"/>
                  <w:marRight w:val="0"/>
                  <w:marTop w:val="0"/>
                  <w:marBottom w:val="0"/>
                  <w:divBdr>
                    <w:top w:val="none" w:sz="0" w:space="0" w:color="auto"/>
                    <w:left w:val="none" w:sz="0" w:space="0" w:color="auto"/>
                    <w:bottom w:val="none" w:sz="0" w:space="0" w:color="auto"/>
                    <w:right w:val="none" w:sz="0" w:space="0" w:color="auto"/>
                  </w:divBdr>
                  <w:divsChild>
                    <w:div w:id="1171065518">
                      <w:marLeft w:val="0"/>
                      <w:marRight w:val="0"/>
                      <w:marTop w:val="0"/>
                      <w:marBottom w:val="0"/>
                      <w:divBdr>
                        <w:top w:val="none" w:sz="0" w:space="0" w:color="auto"/>
                        <w:left w:val="none" w:sz="0" w:space="0" w:color="auto"/>
                        <w:bottom w:val="none" w:sz="0" w:space="0" w:color="auto"/>
                        <w:right w:val="none" w:sz="0" w:space="0" w:color="auto"/>
                      </w:divBdr>
                    </w:div>
                  </w:divsChild>
                </w:div>
                <w:div w:id="1333491410">
                  <w:marLeft w:val="0"/>
                  <w:marRight w:val="0"/>
                  <w:marTop w:val="0"/>
                  <w:marBottom w:val="0"/>
                  <w:divBdr>
                    <w:top w:val="none" w:sz="0" w:space="0" w:color="auto"/>
                    <w:left w:val="none" w:sz="0" w:space="0" w:color="auto"/>
                    <w:bottom w:val="none" w:sz="0" w:space="0" w:color="auto"/>
                    <w:right w:val="none" w:sz="0" w:space="0" w:color="auto"/>
                  </w:divBdr>
                  <w:divsChild>
                    <w:div w:id="1564172600">
                      <w:marLeft w:val="0"/>
                      <w:marRight w:val="0"/>
                      <w:marTop w:val="0"/>
                      <w:marBottom w:val="0"/>
                      <w:divBdr>
                        <w:top w:val="none" w:sz="0" w:space="0" w:color="auto"/>
                        <w:left w:val="none" w:sz="0" w:space="0" w:color="auto"/>
                        <w:bottom w:val="none" w:sz="0" w:space="0" w:color="auto"/>
                        <w:right w:val="none" w:sz="0" w:space="0" w:color="auto"/>
                      </w:divBdr>
                    </w:div>
                  </w:divsChild>
                </w:div>
                <w:div w:id="29381840">
                  <w:marLeft w:val="0"/>
                  <w:marRight w:val="0"/>
                  <w:marTop w:val="0"/>
                  <w:marBottom w:val="0"/>
                  <w:divBdr>
                    <w:top w:val="none" w:sz="0" w:space="0" w:color="auto"/>
                    <w:left w:val="none" w:sz="0" w:space="0" w:color="auto"/>
                    <w:bottom w:val="none" w:sz="0" w:space="0" w:color="auto"/>
                    <w:right w:val="none" w:sz="0" w:space="0" w:color="auto"/>
                  </w:divBdr>
                  <w:divsChild>
                    <w:div w:id="260140950">
                      <w:marLeft w:val="0"/>
                      <w:marRight w:val="0"/>
                      <w:marTop w:val="0"/>
                      <w:marBottom w:val="0"/>
                      <w:divBdr>
                        <w:top w:val="none" w:sz="0" w:space="0" w:color="auto"/>
                        <w:left w:val="none" w:sz="0" w:space="0" w:color="auto"/>
                        <w:bottom w:val="none" w:sz="0" w:space="0" w:color="auto"/>
                        <w:right w:val="none" w:sz="0" w:space="0" w:color="auto"/>
                      </w:divBdr>
                    </w:div>
                  </w:divsChild>
                </w:div>
                <w:div w:id="77944291">
                  <w:marLeft w:val="0"/>
                  <w:marRight w:val="0"/>
                  <w:marTop w:val="0"/>
                  <w:marBottom w:val="0"/>
                  <w:divBdr>
                    <w:top w:val="none" w:sz="0" w:space="0" w:color="auto"/>
                    <w:left w:val="none" w:sz="0" w:space="0" w:color="auto"/>
                    <w:bottom w:val="none" w:sz="0" w:space="0" w:color="auto"/>
                    <w:right w:val="none" w:sz="0" w:space="0" w:color="auto"/>
                  </w:divBdr>
                  <w:divsChild>
                    <w:div w:id="1640921417">
                      <w:marLeft w:val="0"/>
                      <w:marRight w:val="0"/>
                      <w:marTop w:val="0"/>
                      <w:marBottom w:val="0"/>
                      <w:divBdr>
                        <w:top w:val="none" w:sz="0" w:space="0" w:color="auto"/>
                        <w:left w:val="none" w:sz="0" w:space="0" w:color="auto"/>
                        <w:bottom w:val="none" w:sz="0" w:space="0" w:color="auto"/>
                        <w:right w:val="none" w:sz="0" w:space="0" w:color="auto"/>
                      </w:divBdr>
                    </w:div>
                  </w:divsChild>
                </w:div>
                <w:div w:id="475420689">
                  <w:marLeft w:val="0"/>
                  <w:marRight w:val="0"/>
                  <w:marTop w:val="0"/>
                  <w:marBottom w:val="0"/>
                  <w:divBdr>
                    <w:top w:val="none" w:sz="0" w:space="0" w:color="auto"/>
                    <w:left w:val="none" w:sz="0" w:space="0" w:color="auto"/>
                    <w:bottom w:val="none" w:sz="0" w:space="0" w:color="auto"/>
                    <w:right w:val="none" w:sz="0" w:space="0" w:color="auto"/>
                  </w:divBdr>
                  <w:divsChild>
                    <w:div w:id="214510382">
                      <w:marLeft w:val="0"/>
                      <w:marRight w:val="0"/>
                      <w:marTop w:val="0"/>
                      <w:marBottom w:val="0"/>
                      <w:divBdr>
                        <w:top w:val="none" w:sz="0" w:space="0" w:color="auto"/>
                        <w:left w:val="none" w:sz="0" w:space="0" w:color="auto"/>
                        <w:bottom w:val="none" w:sz="0" w:space="0" w:color="auto"/>
                        <w:right w:val="none" w:sz="0" w:space="0" w:color="auto"/>
                      </w:divBdr>
                    </w:div>
                  </w:divsChild>
                </w:div>
                <w:div w:id="1880897605">
                  <w:marLeft w:val="0"/>
                  <w:marRight w:val="0"/>
                  <w:marTop w:val="0"/>
                  <w:marBottom w:val="0"/>
                  <w:divBdr>
                    <w:top w:val="none" w:sz="0" w:space="0" w:color="auto"/>
                    <w:left w:val="none" w:sz="0" w:space="0" w:color="auto"/>
                    <w:bottom w:val="none" w:sz="0" w:space="0" w:color="auto"/>
                    <w:right w:val="none" w:sz="0" w:space="0" w:color="auto"/>
                  </w:divBdr>
                  <w:divsChild>
                    <w:div w:id="376928654">
                      <w:marLeft w:val="0"/>
                      <w:marRight w:val="0"/>
                      <w:marTop w:val="0"/>
                      <w:marBottom w:val="0"/>
                      <w:divBdr>
                        <w:top w:val="none" w:sz="0" w:space="0" w:color="auto"/>
                        <w:left w:val="none" w:sz="0" w:space="0" w:color="auto"/>
                        <w:bottom w:val="none" w:sz="0" w:space="0" w:color="auto"/>
                        <w:right w:val="none" w:sz="0" w:space="0" w:color="auto"/>
                      </w:divBdr>
                    </w:div>
                  </w:divsChild>
                </w:div>
                <w:div w:id="281350477">
                  <w:marLeft w:val="0"/>
                  <w:marRight w:val="0"/>
                  <w:marTop w:val="0"/>
                  <w:marBottom w:val="0"/>
                  <w:divBdr>
                    <w:top w:val="none" w:sz="0" w:space="0" w:color="auto"/>
                    <w:left w:val="none" w:sz="0" w:space="0" w:color="auto"/>
                    <w:bottom w:val="none" w:sz="0" w:space="0" w:color="auto"/>
                    <w:right w:val="none" w:sz="0" w:space="0" w:color="auto"/>
                  </w:divBdr>
                  <w:divsChild>
                    <w:div w:id="902764096">
                      <w:marLeft w:val="0"/>
                      <w:marRight w:val="0"/>
                      <w:marTop w:val="0"/>
                      <w:marBottom w:val="0"/>
                      <w:divBdr>
                        <w:top w:val="none" w:sz="0" w:space="0" w:color="auto"/>
                        <w:left w:val="none" w:sz="0" w:space="0" w:color="auto"/>
                        <w:bottom w:val="none" w:sz="0" w:space="0" w:color="auto"/>
                        <w:right w:val="none" w:sz="0" w:space="0" w:color="auto"/>
                      </w:divBdr>
                    </w:div>
                  </w:divsChild>
                </w:div>
                <w:div w:id="766733038">
                  <w:marLeft w:val="0"/>
                  <w:marRight w:val="0"/>
                  <w:marTop w:val="0"/>
                  <w:marBottom w:val="0"/>
                  <w:divBdr>
                    <w:top w:val="none" w:sz="0" w:space="0" w:color="auto"/>
                    <w:left w:val="none" w:sz="0" w:space="0" w:color="auto"/>
                    <w:bottom w:val="none" w:sz="0" w:space="0" w:color="auto"/>
                    <w:right w:val="none" w:sz="0" w:space="0" w:color="auto"/>
                  </w:divBdr>
                  <w:divsChild>
                    <w:div w:id="1135829263">
                      <w:marLeft w:val="0"/>
                      <w:marRight w:val="0"/>
                      <w:marTop w:val="0"/>
                      <w:marBottom w:val="0"/>
                      <w:divBdr>
                        <w:top w:val="none" w:sz="0" w:space="0" w:color="auto"/>
                        <w:left w:val="none" w:sz="0" w:space="0" w:color="auto"/>
                        <w:bottom w:val="none" w:sz="0" w:space="0" w:color="auto"/>
                        <w:right w:val="none" w:sz="0" w:space="0" w:color="auto"/>
                      </w:divBdr>
                    </w:div>
                  </w:divsChild>
                </w:div>
                <w:div w:id="2049258271">
                  <w:marLeft w:val="0"/>
                  <w:marRight w:val="0"/>
                  <w:marTop w:val="0"/>
                  <w:marBottom w:val="0"/>
                  <w:divBdr>
                    <w:top w:val="none" w:sz="0" w:space="0" w:color="auto"/>
                    <w:left w:val="none" w:sz="0" w:space="0" w:color="auto"/>
                    <w:bottom w:val="none" w:sz="0" w:space="0" w:color="auto"/>
                    <w:right w:val="none" w:sz="0" w:space="0" w:color="auto"/>
                  </w:divBdr>
                  <w:divsChild>
                    <w:div w:id="1147282137">
                      <w:marLeft w:val="0"/>
                      <w:marRight w:val="0"/>
                      <w:marTop w:val="0"/>
                      <w:marBottom w:val="0"/>
                      <w:divBdr>
                        <w:top w:val="none" w:sz="0" w:space="0" w:color="auto"/>
                        <w:left w:val="none" w:sz="0" w:space="0" w:color="auto"/>
                        <w:bottom w:val="none" w:sz="0" w:space="0" w:color="auto"/>
                        <w:right w:val="none" w:sz="0" w:space="0" w:color="auto"/>
                      </w:divBdr>
                    </w:div>
                  </w:divsChild>
                </w:div>
                <w:div w:id="234632186">
                  <w:marLeft w:val="0"/>
                  <w:marRight w:val="0"/>
                  <w:marTop w:val="0"/>
                  <w:marBottom w:val="0"/>
                  <w:divBdr>
                    <w:top w:val="none" w:sz="0" w:space="0" w:color="auto"/>
                    <w:left w:val="none" w:sz="0" w:space="0" w:color="auto"/>
                    <w:bottom w:val="none" w:sz="0" w:space="0" w:color="auto"/>
                    <w:right w:val="none" w:sz="0" w:space="0" w:color="auto"/>
                  </w:divBdr>
                  <w:divsChild>
                    <w:div w:id="1169636810">
                      <w:marLeft w:val="0"/>
                      <w:marRight w:val="0"/>
                      <w:marTop w:val="0"/>
                      <w:marBottom w:val="0"/>
                      <w:divBdr>
                        <w:top w:val="none" w:sz="0" w:space="0" w:color="auto"/>
                        <w:left w:val="none" w:sz="0" w:space="0" w:color="auto"/>
                        <w:bottom w:val="none" w:sz="0" w:space="0" w:color="auto"/>
                        <w:right w:val="none" w:sz="0" w:space="0" w:color="auto"/>
                      </w:divBdr>
                    </w:div>
                  </w:divsChild>
                </w:div>
                <w:div w:id="1212956964">
                  <w:marLeft w:val="0"/>
                  <w:marRight w:val="0"/>
                  <w:marTop w:val="0"/>
                  <w:marBottom w:val="0"/>
                  <w:divBdr>
                    <w:top w:val="none" w:sz="0" w:space="0" w:color="auto"/>
                    <w:left w:val="none" w:sz="0" w:space="0" w:color="auto"/>
                    <w:bottom w:val="none" w:sz="0" w:space="0" w:color="auto"/>
                    <w:right w:val="none" w:sz="0" w:space="0" w:color="auto"/>
                  </w:divBdr>
                  <w:divsChild>
                    <w:div w:id="128671572">
                      <w:marLeft w:val="0"/>
                      <w:marRight w:val="0"/>
                      <w:marTop w:val="0"/>
                      <w:marBottom w:val="0"/>
                      <w:divBdr>
                        <w:top w:val="none" w:sz="0" w:space="0" w:color="auto"/>
                        <w:left w:val="none" w:sz="0" w:space="0" w:color="auto"/>
                        <w:bottom w:val="none" w:sz="0" w:space="0" w:color="auto"/>
                        <w:right w:val="none" w:sz="0" w:space="0" w:color="auto"/>
                      </w:divBdr>
                    </w:div>
                  </w:divsChild>
                </w:div>
                <w:div w:id="511842582">
                  <w:marLeft w:val="0"/>
                  <w:marRight w:val="0"/>
                  <w:marTop w:val="0"/>
                  <w:marBottom w:val="0"/>
                  <w:divBdr>
                    <w:top w:val="none" w:sz="0" w:space="0" w:color="auto"/>
                    <w:left w:val="none" w:sz="0" w:space="0" w:color="auto"/>
                    <w:bottom w:val="none" w:sz="0" w:space="0" w:color="auto"/>
                    <w:right w:val="none" w:sz="0" w:space="0" w:color="auto"/>
                  </w:divBdr>
                  <w:divsChild>
                    <w:div w:id="436676408">
                      <w:marLeft w:val="0"/>
                      <w:marRight w:val="0"/>
                      <w:marTop w:val="0"/>
                      <w:marBottom w:val="0"/>
                      <w:divBdr>
                        <w:top w:val="none" w:sz="0" w:space="0" w:color="auto"/>
                        <w:left w:val="none" w:sz="0" w:space="0" w:color="auto"/>
                        <w:bottom w:val="none" w:sz="0" w:space="0" w:color="auto"/>
                        <w:right w:val="none" w:sz="0" w:space="0" w:color="auto"/>
                      </w:divBdr>
                    </w:div>
                  </w:divsChild>
                </w:div>
                <w:div w:id="694157546">
                  <w:marLeft w:val="0"/>
                  <w:marRight w:val="0"/>
                  <w:marTop w:val="0"/>
                  <w:marBottom w:val="0"/>
                  <w:divBdr>
                    <w:top w:val="none" w:sz="0" w:space="0" w:color="auto"/>
                    <w:left w:val="none" w:sz="0" w:space="0" w:color="auto"/>
                    <w:bottom w:val="none" w:sz="0" w:space="0" w:color="auto"/>
                    <w:right w:val="none" w:sz="0" w:space="0" w:color="auto"/>
                  </w:divBdr>
                  <w:divsChild>
                    <w:div w:id="1772503286">
                      <w:marLeft w:val="0"/>
                      <w:marRight w:val="0"/>
                      <w:marTop w:val="0"/>
                      <w:marBottom w:val="0"/>
                      <w:divBdr>
                        <w:top w:val="none" w:sz="0" w:space="0" w:color="auto"/>
                        <w:left w:val="none" w:sz="0" w:space="0" w:color="auto"/>
                        <w:bottom w:val="none" w:sz="0" w:space="0" w:color="auto"/>
                        <w:right w:val="none" w:sz="0" w:space="0" w:color="auto"/>
                      </w:divBdr>
                    </w:div>
                  </w:divsChild>
                </w:div>
                <w:div w:id="687870477">
                  <w:marLeft w:val="0"/>
                  <w:marRight w:val="0"/>
                  <w:marTop w:val="0"/>
                  <w:marBottom w:val="0"/>
                  <w:divBdr>
                    <w:top w:val="none" w:sz="0" w:space="0" w:color="auto"/>
                    <w:left w:val="none" w:sz="0" w:space="0" w:color="auto"/>
                    <w:bottom w:val="none" w:sz="0" w:space="0" w:color="auto"/>
                    <w:right w:val="none" w:sz="0" w:space="0" w:color="auto"/>
                  </w:divBdr>
                  <w:divsChild>
                    <w:div w:id="463473399">
                      <w:marLeft w:val="0"/>
                      <w:marRight w:val="0"/>
                      <w:marTop w:val="0"/>
                      <w:marBottom w:val="0"/>
                      <w:divBdr>
                        <w:top w:val="none" w:sz="0" w:space="0" w:color="auto"/>
                        <w:left w:val="none" w:sz="0" w:space="0" w:color="auto"/>
                        <w:bottom w:val="none" w:sz="0" w:space="0" w:color="auto"/>
                        <w:right w:val="none" w:sz="0" w:space="0" w:color="auto"/>
                      </w:divBdr>
                    </w:div>
                  </w:divsChild>
                </w:div>
                <w:div w:id="1528516948">
                  <w:marLeft w:val="0"/>
                  <w:marRight w:val="0"/>
                  <w:marTop w:val="0"/>
                  <w:marBottom w:val="0"/>
                  <w:divBdr>
                    <w:top w:val="none" w:sz="0" w:space="0" w:color="auto"/>
                    <w:left w:val="none" w:sz="0" w:space="0" w:color="auto"/>
                    <w:bottom w:val="none" w:sz="0" w:space="0" w:color="auto"/>
                    <w:right w:val="none" w:sz="0" w:space="0" w:color="auto"/>
                  </w:divBdr>
                  <w:divsChild>
                    <w:div w:id="382757204">
                      <w:marLeft w:val="0"/>
                      <w:marRight w:val="0"/>
                      <w:marTop w:val="0"/>
                      <w:marBottom w:val="0"/>
                      <w:divBdr>
                        <w:top w:val="none" w:sz="0" w:space="0" w:color="auto"/>
                        <w:left w:val="none" w:sz="0" w:space="0" w:color="auto"/>
                        <w:bottom w:val="none" w:sz="0" w:space="0" w:color="auto"/>
                        <w:right w:val="none" w:sz="0" w:space="0" w:color="auto"/>
                      </w:divBdr>
                    </w:div>
                  </w:divsChild>
                </w:div>
                <w:div w:id="925962836">
                  <w:marLeft w:val="0"/>
                  <w:marRight w:val="0"/>
                  <w:marTop w:val="0"/>
                  <w:marBottom w:val="0"/>
                  <w:divBdr>
                    <w:top w:val="none" w:sz="0" w:space="0" w:color="auto"/>
                    <w:left w:val="none" w:sz="0" w:space="0" w:color="auto"/>
                    <w:bottom w:val="none" w:sz="0" w:space="0" w:color="auto"/>
                    <w:right w:val="none" w:sz="0" w:space="0" w:color="auto"/>
                  </w:divBdr>
                  <w:divsChild>
                    <w:div w:id="888033567">
                      <w:marLeft w:val="0"/>
                      <w:marRight w:val="0"/>
                      <w:marTop w:val="0"/>
                      <w:marBottom w:val="0"/>
                      <w:divBdr>
                        <w:top w:val="none" w:sz="0" w:space="0" w:color="auto"/>
                        <w:left w:val="none" w:sz="0" w:space="0" w:color="auto"/>
                        <w:bottom w:val="none" w:sz="0" w:space="0" w:color="auto"/>
                        <w:right w:val="none" w:sz="0" w:space="0" w:color="auto"/>
                      </w:divBdr>
                    </w:div>
                  </w:divsChild>
                </w:div>
                <w:div w:id="363674039">
                  <w:marLeft w:val="0"/>
                  <w:marRight w:val="0"/>
                  <w:marTop w:val="0"/>
                  <w:marBottom w:val="0"/>
                  <w:divBdr>
                    <w:top w:val="none" w:sz="0" w:space="0" w:color="auto"/>
                    <w:left w:val="none" w:sz="0" w:space="0" w:color="auto"/>
                    <w:bottom w:val="none" w:sz="0" w:space="0" w:color="auto"/>
                    <w:right w:val="none" w:sz="0" w:space="0" w:color="auto"/>
                  </w:divBdr>
                  <w:divsChild>
                    <w:div w:id="632322684">
                      <w:marLeft w:val="0"/>
                      <w:marRight w:val="0"/>
                      <w:marTop w:val="0"/>
                      <w:marBottom w:val="0"/>
                      <w:divBdr>
                        <w:top w:val="none" w:sz="0" w:space="0" w:color="auto"/>
                        <w:left w:val="none" w:sz="0" w:space="0" w:color="auto"/>
                        <w:bottom w:val="none" w:sz="0" w:space="0" w:color="auto"/>
                        <w:right w:val="none" w:sz="0" w:space="0" w:color="auto"/>
                      </w:divBdr>
                    </w:div>
                  </w:divsChild>
                </w:div>
                <w:div w:id="1537156109">
                  <w:marLeft w:val="0"/>
                  <w:marRight w:val="0"/>
                  <w:marTop w:val="0"/>
                  <w:marBottom w:val="0"/>
                  <w:divBdr>
                    <w:top w:val="none" w:sz="0" w:space="0" w:color="auto"/>
                    <w:left w:val="none" w:sz="0" w:space="0" w:color="auto"/>
                    <w:bottom w:val="none" w:sz="0" w:space="0" w:color="auto"/>
                    <w:right w:val="none" w:sz="0" w:space="0" w:color="auto"/>
                  </w:divBdr>
                  <w:divsChild>
                    <w:div w:id="1123621815">
                      <w:marLeft w:val="0"/>
                      <w:marRight w:val="0"/>
                      <w:marTop w:val="0"/>
                      <w:marBottom w:val="0"/>
                      <w:divBdr>
                        <w:top w:val="none" w:sz="0" w:space="0" w:color="auto"/>
                        <w:left w:val="none" w:sz="0" w:space="0" w:color="auto"/>
                        <w:bottom w:val="none" w:sz="0" w:space="0" w:color="auto"/>
                        <w:right w:val="none" w:sz="0" w:space="0" w:color="auto"/>
                      </w:divBdr>
                    </w:div>
                  </w:divsChild>
                </w:div>
                <w:div w:id="1034574094">
                  <w:marLeft w:val="0"/>
                  <w:marRight w:val="0"/>
                  <w:marTop w:val="0"/>
                  <w:marBottom w:val="0"/>
                  <w:divBdr>
                    <w:top w:val="none" w:sz="0" w:space="0" w:color="auto"/>
                    <w:left w:val="none" w:sz="0" w:space="0" w:color="auto"/>
                    <w:bottom w:val="none" w:sz="0" w:space="0" w:color="auto"/>
                    <w:right w:val="none" w:sz="0" w:space="0" w:color="auto"/>
                  </w:divBdr>
                  <w:divsChild>
                    <w:div w:id="435030131">
                      <w:marLeft w:val="0"/>
                      <w:marRight w:val="0"/>
                      <w:marTop w:val="0"/>
                      <w:marBottom w:val="0"/>
                      <w:divBdr>
                        <w:top w:val="none" w:sz="0" w:space="0" w:color="auto"/>
                        <w:left w:val="none" w:sz="0" w:space="0" w:color="auto"/>
                        <w:bottom w:val="none" w:sz="0" w:space="0" w:color="auto"/>
                        <w:right w:val="none" w:sz="0" w:space="0" w:color="auto"/>
                      </w:divBdr>
                    </w:div>
                  </w:divsChild>
                </w:div>
                <w:div w:id="1630211078">
                  <w:marLeft w:val="0"/>
                  <w:marRight w:val="0"/>
                  <w:marTop w:val="0"/>
                  <w:marBottom w:val="0"/>
                  <w:divBdr>
                    <w:top w:val="none" w:sz="0" w:space="0" w:color="auto"/>
                    <w:left w:val="none" w:sz="0" w:space="0" w:color="auto"/>
                    <w:bottom w:val="none" w:sz="0" w:space="0" w:color="auto"/>
                    <w:right w:val="none" w:sz="0" w:space="0" w:color="auto"/>
                  </w:divBdr>
                  <w:divsChild>
                    <w:div w:id="223217800">
                      <w:marLeft w:val="0"/>
                      <w:marRight w:val="0"/>
                      <w:marTop w:val="0"/>
                      <w:marBottom w:val="0"/>
                      <w:divBdr>
                        <w:top w:val="none" w:sz="0" w:space="0" w:color="auto"/>
                        <w:left w:val="none" w:sz="0" w:space="0" w:color="auto"/>
                        <w:bottom w:val="none" w:sz="0" w:space="0" w:color="auto"/>
                        <w:right w:val="none" w:sz="0" w:space="0" w:color="auto"/>
                      </w:divBdr>
                    </w:div>
                  </w:divsChild>
                </w:div>
                <w:div w:id="1553498009">
                  <w:marLeft w:val="0"/>
                  <w:marRight w:val="0"/>
                  <w:marTop w:val="0"/>
                  <w:marBottom w:val="0"/>
                  <w:divBdr>
                    <w:top w:val="none" w:sz="0" w:space="0" w:color="auto"/>
                    <w:left w:val="none" w:sz="0" w:space="0" w:color="auto"/>
                    <w:bottom w:val="none" w:sz="0" w:space="0" w:color="auto"/>
                    <w:right w:val="none" w:sz="0" w:space="0" w:color="auto"/>
                  </w:divBdr>
                  <w:divsChild>
                    <w:div w:id="1429425994">
                      <w:marLeft w:val="0"/>
                      <w:marRight w:val="0"/>
                      <w:marTop w:val="0"/>
                      <w:marBottom w:val="0"/>
                      <w:divBdr>
                        <w:top w:val="none" w:sz="0" w:space="0" w:color="auto"/>
                        <w:left w:val="none" w:sz="0" w:space="0" w:color="auto"/>
                        <w:bottom w:val="none" w:sz="0" w:space="0" w:color="auto"/>
                        <w:right w:val="none" w:sz="0" w:space="0" w:color="auto"/>
                      </w:divBdr>
                    </w:div>
                  </w:divsChild>
                </w:div>
                <w:div w:id="270165625">
                  <w:marLeft w:val="0"/>
                  <w:marRight w:val="0"/>
                  <w:marTop w:val="0"/>
                  <w:marBottom w:val="0"/>
                  <w:divBdr>
                    <w:top w:val="none" w:sz="0" w:space="0" w:color="auto"/>
                    <w:left w:val="none" w:sz="0" w:space="0" w:color="auto"/>
                    <w:bottom w:val="none" w:sz="0" w:space="0" w:color="auto"/>
                    <w:right w:val="none" w:sz="0" w:space="0" w:color="auto"/>
                  </w:divBdr>
                  <w:divsChild>
                    <w:div w:id="1226601837">
                      <w:marLeft w:val="0"/>
                      <w:marRight w:val="0"/>
                      <w:marTop w:val="0"/>
                      <w:marBottom w:val="0"/>
                      <w:divBdr>
                        <w:top w:val="none" w:sz="0" w:space="0" w:color="auto"/>
                        <w:left w:val="none" w:sz="0" w:space="0" w:color="auto"/>
                        <w:bottom w:val="none" w:sz="0" w:space="0" w:color="auto"/>
                        <w:right w:val="none" w:sz="0" w:space="0" w:color="auto"/>
                      </w:divBdr>
                    </w:div>
                  </w:divsChild>
                </w:div>
                <w:div w:id="231744121">
                  <w:marLeft w:val="0"/>
                  <w:marRight w:val="0"/>
                  <w:marTop w:val="0"/>
                  <w:marBottom w:val="0"/>
                  <w:divBdr>
                    <w:top w:val="none" w:sz="0" w:space="0" w:color="auto"/>
                    <w:left w:val="none" w:sz="0" w:space="0" w:color="auto"/>
                    <w:bottom w:val="none" w:sz="0" w:space="0" w:color="auto"/>
                    <w:right w:val="none" w:sz="0" w:space="0" w:color="auto"/>
                  </w:divBdr>
                  <w:divsChild>
                    <w:div w:id="1509516922">
                      <w:marLeft w:val="0"/>
                      <w:marRight w:val="0"/>
                      <w:marTop w:val="0"/>
                      <w:marBottom w:val="0"/>
                      <w:divBdr>
                        <w:top w:val="none" w:sz="0" w:space="0" w:color="auto"/>
                        <w:left w:val="none" w:sz="0" w:space="0" w:color="auto"/>
                        <w:bottom w:val="none" w:sz="0" w:space="0" w:color="auto"/>
                        <w:right w:val="none" w:sz="0" w:space="0" w:color="auto"/>
                      </w:divBdr>
                    </w:div>
                  </w:divsChild>
                </w:div>
                <w:div w:id="611014404">
                  <w:marLeft w:val="0"/>
                  <w:marRight w:val="0"/>
                  <w:marTop w:val="0"/>
                  <w:marBottom w:val="0"/>
                  <w:divBdr>
                    <w:top w:val="none" w:sz="0" w:space="0" w:color="auto"/>
                    <w:left w:val="none" w:sz="0" w:space="0" w:color="auto"/>
                    <w:bottom w:val="none" w:sz="0" w:space="0" w:color="auto"/>
                    <w:right w:val="none" w:sz="0" w:space="0" w:color="auto"/>
                  </w:divBdr>
                  <w:divsChild>
                    <w:div w:id="352270598">
                      <w:marLeft w:val="0"/>
                      <w:marRight w:val="0"/>
                      <w:marTop w:val="0"/>
                      <w:marBottom w:val="0"/>
                      <w:divBdr>
                        <w:top w:val="none" w:sz="0" w:space="0" w:color="auto"/>
                        <w:left w:val="none" w:sz="0" w:space="0" w:color="auto"/>
                        <w:bottom w:val="none" w:sz="0" w:space="0" w:color="auto"/>
                        <w:right w:val="none" w:sz="0" w:space="0" w:color="auto"/>
                      </w:divBdr>
                    </w:div>
                  </w:divsChild>
                </w:div>
                <w:div w:id="1043555677">
                  <w:marLeft w:val="0"/>
                  <w:marRight w:val="0"/>
                  <w:marTop w:val="0"/>
                  <w:marBottom w:val="0"/>
                  <w:divBdr>
                    <w:top w:val="none" w:sz="0" w:space="0" w:color="auto"/>
                    <w:left w:val="none" w:sz="0" w:space="0" w:color="auto"/>
                    <w:bottom w:val="none" w:sz="0" w:space="0" w:color="auto"/>
                    <w:right w:val="none" w:sz="0" w:space="0" w:color="auto"/>
                  </w:divBdr>
                  <w:divsChild>
                    <w:div w:id="1415931636">
                      <w:marLeft w:val="0"/>
                      <w:marRight w:val="0"/>
                      <w:marTop w:val="0"/>
                      <w:marBottom w:val="0"/>
                      <w:divBdr>
                        <w:top w:val="none" w:sz="0" w:space="0" w:color="auto"/>
                        <w:left w:val="none" w:sz="0" w:space="0" w:color="auto"/>
                        <w:bottom w:val="none" w:sz="0" w:space="0" w:color="auto"/>
                        <w:right w:val="none" w:sz="0" w:space="0" w:color="auto"/>
                      </w:divBdr>
                    </w:div>
                  </w:divsChild>
                </w:div>
                <w:div w:id="72090325">
                  <w:marLeft w:val="0"/>
                  <w:marRight w:val="0"/>
                  <w:marTop w:val="0"/>
                  <w:marBottom w:val="0"/>
                  <w:divBdr>
                    <w:top w:val="none" w:sz="0" w:space="0" w:color="auto"/>
                    <w:left w:val="none" w:sz="0" w:space="0" w:color="auto"/>
                    <w:bottom w:val="none" w:sz="0" w:space="0" w:color="auto"/>
                    <w:right w:val="none" w:sz="0" w:space="0" w:color="auto"/>
                  </w:divBdr>
                  <w:divsChild>
                    <w:div w:id="1170676428">
                      <w:marLeft w:val="0"/>
                      <w:marRight w:val="0"/>
                      <w:marTop w:val="0"/>
                      <w:marBottom w:val="0"/>
                      <w:divBdr>
                        <w:top w:val="none" w:sz="0" w:space="0" w:color="auto"/>
                        <w:left w:val="none" w:sz="0" w:space="0" w:color="auto"/>
                        <w:bottom w:val="none" w:sz="0" w:space="0" w:color="auto"/>
                        <w:right w:val="none" w:sz="0" w:space="0" w:color="auto"/>
                      </w:divBdr>
                    </w:div>
                  </w:divsChild>
                </w:div>
                <w:div w:id="1747458157">
                  <w:marLeft w:val="0"/>
                  <w:marRight w:val="0"/>
                  <w:marTop w:val="0"/>
                  <w:marBottom w:val="0"/>
                  <w:divBdr>
                    <w:top w:val="none" w:sz="0" w:space="0" w:color="auto"/>
                    <w:left w:val="none" w:sz="0" w:space="0" w:color="auto"/>
                    <w:bottom w:val="none" w:sz="0" w:space="0" w:color="auto"/>
                    <w:right w:val="none" w:sz="0" w:space="0" w:color="auto"/>
                  </w:divBdr>
                  <w:divsChild>
                    <w:div w:id="1035959027">
                      <w:marLeft w:val="0"/>
                      <w:marRight w:val="0"/>
                      <w:marTop w:val="0"/>
                      <w:marBottom w:val="0"/>
                      <w:divBdr>
                        <w:top w:val="none" w:sz="0" w:space="0" w:color="auto"/>
                        <w:left w:val="none" w:sz="0" w:space="0" w:color="auto"/>
                        <w:bottom w:val="none" w:sz="0" w:space="0" w:color="auto"/>
                        <w:right w:val="none" w:sz="0" w:space="0" w:color="auto"/>
                      </w:divBdr>
                    </w:div>
                  </w:divsChild>
                </w:div>
                <w:div w:id="1291787396">
                  <w:marLeft w:val="0"/>
                  <w:marRight w:val="0"/>
                  <w:marTop w:val="0"/>
                  <w:marBottom w:val="0"/>
                  <w:divBdr>
                    <w:top w:val="none" w:sz="0" w:space="0" w:color="auto"/>
                    <w:left w:val="none" w:sz="0" w:space="0" w:color="auto"/>
                    <w:bottom w:val="none" w:sz="0" w:space="0" w:color="auto"/>
                    <w:right w:val="none" w:sz="0" w:space="0" w:color="auto"/>
                  </w:divBdr>
                  <w:divsChild>
                    <w:div w:id="719205982">
                      <w:marLeft w:val="0"/>
                      <w:marRight w:val="0"/>
                      <w:marTop w:val="0"/>
                      <w:marBottom w:val="0"/>
                      <w:divBdr>
                        <w:top w:val="none" w:sz="0" w:space="0" w:color="auto"/>
                        <w:left w:val="none" w:sz="0" w:space="0" w:color="auto"/>
                        <w:bottom w:val="none" w:sz="0" w:space="0" w:color="auto"/>
                        <w:right w:val="none" w:sz="0" w:space="0" w:color="auto"/>
                      </w:divBdr>
                    </w:div>
                  </w:divsChild>
                </w:div>
                <w:div w:id="1255675506">
                  <w:marLeft w:val="0"/>
                  <w:marRight w:val="0"/>
                  <w:marTop w:val="0"/>
                  <w:marBottom w:val="0"/>
                  <w:divBdr>
                    <w:top w:val="none" w:sz="0" w:space="0" w:color="auto"/>
                    <w:left w:val="none" w:sz="0" w:space="0" w:color="auto"/>
                    <w:bottom w:val="none" w:sz="0" w:space="0" w:color="auto"/>
                    <w:right w:val="none" w:sz="0" w:space="0" w:color="auto"/>
                  </w:divBdr>
                  <w:divsChild>
                    <w:div w:id="1975981393">
                      <w:marLeft w:val="0"/>
                      <w:marRight w:val="0"/>
                      <w:marTop w:val="0"/>
                      <w:marBottom w:val="0"/>
                      <w:divBdr>
                        <w:top w:val="none" w:sz="0" w:space="0" w:color="auto"/>
                        <w:left w:val="none" w:sz="0" w:space="0" w:color="auto"/>
                        <w:bottom w:val="none" w:sz="0" w:space="0" w:color="auto"/>
                        <w:right w:val="none" w:sz="0" w:space="0" w:color="auto"/>
                      </w:divBdr>
                    </w:div>
                  </w:divsChild>
                </w:div>
                <w:div w:id="258030728">
                  <w:marLeft w:val="0"/>
                  <w:marRight w:val="0"/>
                  <w:marTop w:val="0"/>
                  <w:marBottom w:val="0"/>
                  <w:divBdr>
                    <w:top w:val="none" w:sz="0" w:space="0" w:color="auto"/>
                    <w:left w:val="none" w:sz="0" w:space="0" w:color="auto"/>
                    <w:bottom w:val="none" w:sz="0" w:space="0" w:color="auto"/>
                    <w:right w:val="none" w:sz="0" w:space="0" w:color="auto"/>
                  </w:divBdr>
                  <w:divsChild>
                    <w:div w:id="405685563">
                      <w:marLeft w:val="0"/>
                      <w:marRight w:val="0"/>
                      <w:marTop w:val="0"/>
                      <w:marBottom w:val="0"/>
                      <w:divBdr>
                        <w:top w:val="none" w:sz="0" w:space="0" w:color="auto"/>
                        <w:left w:val="none" w:sz="0" w:space="0" w:color="auto"/>
                        <w:bottom w:val="none" w:sz="0" w:space="0" w:color="auto"/>
                        <w:right w:val="none" w:sz="0" w:space="0" w:color="auto"/>
                      </w:divBdr>
                    </w:div>
                  </w:divsChild>
                </w:div>
                <w:div w:id="698819382">
                  <w:marLeft w:val="0"/>
                  <w:marRight w:val="0"/>
                  <w:marTop w:val="0"/>
                  <w:marBottom w:val="0"/>
                  <w:divBdr>
                    <w:top w:val="none" w:sz="0" w:space="0" w:color="auto"/>
                    <w:left w:val="none" w:sz="0" w:space="0" w:color="auto"/>
                    <w:bottom w:val="none" w:sz="0" w:space="0" w:color="auto"/>
                    <w:right w:val="none" w:sz="0" w:space="0" w:color="auto"/>
                  </w:divBdr>
                  <w:divsChild>
                    <w:div w:id="914165161">
                      <w:marLeft w:val="0"/>
                      <w:marRight w:val="0"/>
                      <w:marTop w:val="0"/>
                      <w:marBottom w:val="0"/>
                      <w:divBdr>
                        <w:top w:val="none" w:sz="0" w:space="0" w:color="auto"/>
                        <w:left w:val="none" w:sz="0" w:space="0" w:color="auto"/>
                        <w:bottom w:val="none" w:sz="0" w:space="0" w:color="auto"/>
                        <w:right w:val="none" w:sz="0" w:space="0" w:color="auto"/>
                      </w:divBdr>
                    </w:div>
                  </w:divsChild>
                </w:div>
                <w:div w:id="911087654">
                  <w:marLeft w:val="0"/>
                  <w:marRight w:val="0"/>
                  <w:marTop w:val="0"/>
                  <w:marBottom w:val="0"/>
                  <w:divBdr>
                    <w:top w:val="none" w:sz="0" w:space="0" w:color="auto"/>
                    <w:left w:val="none" w:sz="0" w:space="0" w:color="auto"/>
                    <w:bottom w:val="none" w:sz="0" w:space="0" w:color="auto"/>
                    <w:right w:val="none" w:sz="0" w:space="0" w:color="auto"/>
                  </w:divBdr>
                  <w:divsChild>
                    <w:div w:id="1704289218">
                      <w:marLeft w:val="0"/>
                      <w:marRight w:val="0"/>
                      <w:marTop w:val="0"/>
                      <w:marBottom w:val="0"/>
                      <w:divBdr>
                        <w:top w:val="none" w:sz="0" w:space="0" w:color="auto"/>
                        <w:left w:val="none" w:sz="0" w:space="0" w:color="auto"/>
                        <w:bottom w:val="none" w:sz="0" w:space="0" w:color="auto"/>
                        <w:right w:val="none" w:sz="0" w:space="0" w:color="auto"/>
                      </w:divBdr>
                    </w:div>
                  </w:divsChild>
                </w:div>
                <w:div w:id="1704406648">
                  <w:marLeft w:val="0"/>
                  <w:marRight w:val="0"/>
                  <w:marTop w:val="0"/>
                  <w:marBottom w:val="0"/>
                  <w:divBdr>
                    <w:top w:val="none" w:sz="0" w:space="0" w:color="auto"/>
                    <w:left w:val="none" w:sz="0" w:space="0" w:color="auto"/>
                    <w:bottom w:val="none" w:sz="0" w:space="0" w:color="auto"/>
                    <w:right w:val="none" w:sz="0" w:space="0" w:color="auto"/>
                  </w:divBdr>
                  <w:divsChild>
                    <w:div w:id="2070834486">
                      <w:marLeft w:val="0"/>
                      <w:marRight w:val="0"/>
                      <w:marTop w:val="0"/>
                      <w:marBottom w:val="0"/>
                      <w:divBdr>
                        <w:top w:val="none" w:sz="0" w:space="0" w:color="auto"/>
                        <w:left w:val="none" w:sz="0" w:space="0" w:color="auto"/>
                        <w:bottom w:val="none" w:sz="0" w:space="0" w:color="auto"/>
                        <w:right w:val="none" w:sz="0" w:space="0" w:color="auto"/>
                      </w:divBdr>
                    </w:div>
                  </w:divsChild>
                </w:div>
                <w:div w:id="1822769363">
                  <w:marLeft w:val="0"/>
                  <w:marRight w:val="0"/>
                  <w:marTop w:val="0"/>
                  <w:marBottom w:val="0"/>
                  <w:divBdr>
                    <w:top w:val="none" w:sz="0" w:space="0" w:color="auto"/>
                    <w:left w:val="none" w:sz="0" w:space="0" w:color="auto"/>
                    <w:bottom w:val="none" w:sz="0" w:space="0" w:color="auto"/>
                    <w:right w:val="none" w:sz="0" w:space="0" w:color="auto"/>
                  </w:divBdr>
                  <w:divsChild>
                    <w:div w:id="937441377">
                      <w:marLeft w:val="0"/>
                      <w:marRight w:val="0"/>
                      <w:marTop w:val="0"/>
                      <w:marBottom w:val="0"/>
                      <w:divBdr>
                        <w:top w:val="none" w:sz="0" w:space="0" w:color="auto"/>
                        <w:left w:val="none" w:sz="0" w:space="0" w:color="auto"/>
                        <w:bottom w:val="none" w:sz="0" w:space="0" w:color="auto"/>
                        <w:right w:val="none" w:sz="0" w:space="0" w:color="auto"/>
                      </w:divBdr>
                    </w:div>
                  </w:divsChild>
                </w:div>
                <w:div w:id="1159081568">
                  <w:marLeft w:val="0"/>
                  <w:marRight w:val="0"/>
                  <w:marTop w:val="0"/>
                  <w:marBottom w:val="0"/>
                  <w:divBdr>
                    <w:top w:val="none" w:sz="0" w:space="0" w:color="auto"/>
                    <w:left w:val="none" w:sz="0" w:space="0" w:color="auto"/>
                    <w:bottom w:val="none" w:sz="0" w:space="0" w:color="auto"/>
                    <w:right w:val="none" w:sz="0" w:space="0" w:color="auto"/>
                  </w:divBdr>
                  <w:divsChild>
                    <w:div w:id="182090889">
                      <w:marLeft w:val="0"/>
                      <w:marRight w:val="0"/>
                      <w:marTop w:val="0"/>
                      <w:marBottom w:val="0"/>
                      <w:divBdr>
                        <w:top w:val="none" w:sz="0" w:space="0" w:color="auto"/>
                        <w:left w:val="none" w:sz="0" w:space="0" w:color="auto"/>
                        <w:bottom w:val="none" w:sz="0" w:space="0" w:color="auto"/>
                        <w:right w:val="none" w:sz="0" w:space="0" w:color="auto"/>
                      </w:divBdr>
                    </w:div>
                  </w:divsChild>
                </w:div>
                <w:div w:id="2074692925">
                  <w:marLeft w:val="0"/>
                  <w:marRight w:val="0"/>
                  <w:marTop w:val="0"/>
                  <w:marBottom w:val="0"/>
                  <w:divBdr>
                    <w:top w:val="none" w:sz="0" w:space="0" w:color="auto"/>
                    <w:left w:val="none" w:sz="0" w:space="0" w:color="auto"/>
                    <w:bottom w:val="none" w:sz="0" w:space="0" w:color="auto"/>
                    <w:right w:val="none" w:sz="0" w:space="0" w:color="auto"/>
                  </w:divBdr>
                  <w:divsChild>
                    <w:div w:id="707334802">
                      <w:marLeft w:val="0"/>
                      <w:marRight w:val="0"/>
                      <w:marTop w:val="0"/>
                      <w:marBottom w:val="0"/>
                      <w:divBdr>
                        <w:top w:val="none" w:sz="0" w:space="0" w:color="auto"/>
                        <w:left w:val="none" w:sz="0" w:space="0" w:color="auto"/>
                        <w:bottom w:val="none" w:sz="0" w:space="0" w:color="auto"/>
                        <w:right w:val="none" w:sz="0" w:space="0" w:color="auto"/>
                      </w:divBdr>
                    </w:div>
                  </w:divsChild>
                </w:div>
                <w:div w:id="359015959">
                  <w:marLeft w:val="0"/>
                  <w:marRight w:val="0"/>
                  <w:marTop w:val="0"/>
                  <w:marBottom w:val="0"/>
                  <w:divBdr>
                    <w:top w:val="none" w:sz="0" w:space="0" w:color="auto"/>
                    <w:left w:val="none" w:sz="0" w:space="0" w:color="auto"/>
                    <w:bottom w:val="none" w:sz="0" w:space="0" w:color="auto"/>
                    <w:right w:val="none" w:sz="0" w:space="0" w:color="auto"/>
                  </w:divBdr>
                  <w:divsChild>
                    <w:div w:id="1261642561">
                      <w:marLeft w:val="0"/>
                      <w:marRight w:val="0"/>
                      <w:marTop w:val="0"/>
                      <w:marBottom w:val="0"/>
                      <w:divBdr>
                        <w:top w:val="none" w:sz="0" w:space="0" w:color="auto"/>
                        <w:left w:val="none" w:sz="0" w:space="0" w:color="auto"/>
                        <w:bottom w:val="none" w:sz="0" w:space="0" w:color="auto"/>
                        <w:right w:val="none" w:sz="0" w:space="0" w:color="auto"/>
                      </w:divBdr>
                    </w:div>
                  </w:divsChild>
                </w:div>
                <w:div w:id="568006879">
                  <w:marLeft w:val="0"/>
                  <w:marRight w:val="0"/>
                  <w:marTop w:val="0"/>
                  <w:marBottom w:val="0"/>
                  <w:divBdr>
                    <w:top w:val="none" w:sz="0" w:space="0" w:color="auto"/>
                    <w:left w:val="none" w:sz="0" w:space="0" w:color="auto"/>
                    <w:bottom w:val="none" w:sz="0" w:space="0" w:color="auto"/>
                    <w:right w:val="none" w:sz="0" w:space="0" w:color="auto"/>
                  </w:divBdr>
                  <w:divsChild>
                    <w:div w:id="1126658437">
                      <w:marLeft w:val="0"/>
                      <w:marRight w:val="0"/>
                      <w:marTop w:val="0"/>
                      <w:marBottom w:val="0"/>
                      <w:divBdr>
                        <w:top w:val="none" w:sz="0" w:space="0" w:color="auto"/>
                        <w:left w:val="none" w:sz="0" w:space="0" w:color="auto"/>
                        <w:bottom w:val="none" w:sz="0" w:space="0" w:color="auto"/>
                        <w:right w:val="none" w:sz="0" w:space="0" w:color="auto"/>
                      </w:divBdr>
                    </w:div>
                  </w:divsChild>
                </w:div>
                <w:div w:id="460423020">
                  <w:marLeft w:val="0"/>
                  <w:marRight w:val="0"/>
                  <w:marTop w:val="0"/>
                  <w:marBottom w:val="0"/>
                  <w:divBdr>
                    <w:top w:val="none" w:sz="0" w:space="0" w:color="auto"/>
                    <w:left w:val="none" w:sz="0" w:space="0" w:color="auto"/>
                    <w:bottom w:val="none" w:sz="0" w:space="0" w:color="auto"/>
                    <w:right w:val="none" w:sz="0" w:space="0" w:color="auto"/>
                  </w:divBdr>
                  <w:divsChild>
                    <w:div w:id="934751232">
                      <w:marLeft w:val="0"/>
                      <w:marRight w:val="0"/>
                      <w:marTop w:val="0"/>
                      <w:marBottom w:val="0"/>
                      <w:divBdr>
                        <w:top w:val="none" w:sz="0" w:space="0" w:color="auto"/>
                        <w:left w:val="none" w:sz="0" w:space="0" w:color="auto"/>
                        <w:bottom w:val="none" w:sz="0" w:space="0" w:color="auto"/>
                        <w:right w:val="none" w:sz="0" w:space="0" w:color="auto"/>
                      </w:divBdr>
                    </w:div>
                  </w:divsChild>
                </w:div>
                <w:div w:id="2013296220">
                  <w:marLeft w:val="0"/>
                  <w:marRight w:val="0"/>
                  <w:marTop w:val="0"/>
                  <w:marBottom w:val="0"/>
                  <w:divBdr>
                    <w:top w:val="none" w:sz="0" w:space="0" w:color="auto"/>
                    <w:left w:val="none" w:sz="0" w:space="0" w:color="auto"/>
                    <w:bottom w:val="none" w:sz="0" w:space="0" w:color="auto"/>
                    <w:right w:val="none" w:sz="0" w:space="0" w:color="auto"/>
                  </w:divBdr>
                  <w:divsChild>
                    <w:div w:id="1991134350">
                      <w:marLeft w:val="0"/>
                      <w:marRight w:val="0"/>
                      <w:marTop w:val="0"/>
                      <w:marBottom w:val="0"/>
                      <w:divBdr>
                        <w:top w:val="none" w:sz="0" w:space="0" w:color="auto"/>
                        <w:left w:val="none" w:sz="0" w:space="0" w:color="auto"/>
                        <w:bottom w:val="none" w:sz="0" w:space="0" w:color="auto"/>
                        <w:right w:val="none" w:sz="0" w:space="0" w:color="auto"/>
                      </w:divBdr>
                    </w:div>
                  </w:divsChild>
                </w:div>
                <w:div w:id="462772838">
                  <w:marLeft w:val="0"/>
                  <w:marRight w:val="0"/>
                  <w:marTop w:val="0"/>
                  <w:marBottom w:val="0"/>
                  <w:divBdr>
                    <w:top w:val="none" w:sz="0" w:space="0" w:color="auto"/>
                    <w:left w:val="none" w:sz="0" w:space="0" w:color="auto"/>
                    <w:bottom w:val="none" w:sz="0" w:space="0" w:color="auto"/>
                    <w:right w:val="none" w:sz="0" w:space="0" w:color="auto"/>
                  </w:divBdr>
                  <w:divsChild>
                    <w:div w:id="1469514629">
                      <w:marLeft w:val="0"/>
                      <w:marRight w:val="0"/>
                      <w:marTop w:val="0"/>
                      <w:marBottom w:val="0"/>
                      <w:divBdr>
                        <w:top w:val="none" w:sz="0" w:space="0" w:color="auto"/>
                        <w:left w:val="none" w:sz="0" w:space="0" w:color="auto"/>
                        <w:bottom w:val="none" w:sz="0" w:space="0" w:color="auto"/>
                        <w:right w:val="none" w:sz="0" w:space="0" w:color="auto"/>
                      </w:divBdr>
                    </w:div>
                  </w:divsChild>
                </w:div>
                <w:div w:id="1042438975">
                  <w:marLeft w:val="0"/>
                  <w:marRight w:val="0"/>
                  <w:marTop w:val="0"/>
                  <w:marBottom w:val="0"/>
                  <w:divBdr>
                    <w:top w:val="none" w:sz="0" w:space="0" w:color="auto"/>
                    <w:left w:val="none" w:sz="0" w:space="0" w:color="auto"/>
                    <w:bottom w:val="none" w:sz="0" w:space="0" w:color="auto"/>
                    <w:right w:val="none" w:sz="0" w:space="0" w:color="auto"/>
                  </w:divBdr>
                  <w:divsChild>
                    <w:div w:id="250239214">
                      <w:marLeft w:val="0"/>
                      <w:marRight w:val="0"/>
                      <w:marTop w:val="0"/>
                      <w:marBottom w:val="0"/>
                      <w:divBdr>
                        <w:top w:val="none" w:sz="0" w:space="0" w:color="auto"/>
                        <w:left w:val="none" w:sz="0" w:space="0" w:color="auto"/>
                        <w:bottom w:val="none" w:sz="0" w:space="0" w:color="auto"/>
                        <w:right w:val="none" w:sz="0" w:space="0" w:color="auto"/>
                      </w:divBdr>
                    </w:div>
                  </w:divsChild>
                </w:div>
                <w:div w:id="1910263728">
                  <w:marLeft w:val="0"/>
                  <w:marRight w:val="0"/>
                  <w:marTop w:val="0"/>
                  <w:marBottom w:val="0"/>
                  <w:divBdr>
                    <w:top w:val="none" w:sz="0" w:space="0" w:color="auto"/>
                    <w:left w:val="none" w:sz="0" w:space="0" w:color="auto"/>
                    <w:bottom w:val="none" w:sz="0" w:space="0" w:color="auto"/>
                    <w:right w:val="none" w:sz="0" w:space="0" w:color="auto"/>
                  </w:divBdr>
                  <w:divsChild>
                    <w:div w:id="633369221">
                      <w:marLeft w:val="0"/>
                      <w:marRight w:val="0"/>
                      <w:marTop w:val="0"/>
                      <w:marBottom w:val="0"/>
                      <w:divBdr>
                        <w:top w:val="none" w:sz="0" w:space="0" w:color="auto"/>
                        <w:left w:val="none" w:sz="0" w:space="0" w:color="auto"/>
                        <w:bottom w:val="none" w:sz="0" w:space="0" w:color="auto"/>
                        <w:right w:val="none" w:sz="0" w:space="0" w:color="auto"/>
                      </w:divBdr>
                    </w:div>
                  </w:divsChild>
                </w:div>
                <w:div w:id="1357191932">
                  <w:marLeft w:val="0"/>
                  <w:marRight w:val="0"/>
                  <w:marTop w:val="0"/>
                  <w:marBottom w:val="0"/>
                  <w:divBdr>
                    <w:top w:val="none" w:sz="0" w:space="0" w:color="auto"/>
                    <w:left w:val="none" w:sz="0" w:space="0" w:color="auto"/>
                    <w:bottom w:val="none" w:sz="0" w:space="0" w:color="auto"/>
                    <w:right w:val="none" w:sz="0" w:space="0" w:color="auto"/>
                  </w:divBdr>
                  <w:divsChild>
                    <w:div w:id="659504778">
                      <w:marLeft w:val="0"/>
                      <w:marRight w:val="0"/>
                      <w:marTop w:val="0"/>
                      <w:marBottom w:val="0"/>
                      <w:divBdr>
                        <w:top w:val="none" w:sz="0" w:space="0" w:color="auto"/>
                        <w:left w:val="none" w:sz="0" w:space="0" w:color="auto"/>
                        <w:bottom w:val="none" w:sz="0" w:space="0" w:color="auto"/>
                        <w:right w:val="none" w:sz="0" w:space="0" w:color="auto"/>
                      </w:divBdr>
                    </w:div>
                  </w:divsChild>
                </w:div>
                <w:div w:id="1037241808">
                  <w:marLeft w:val="0"/>
                  <w:marRight w:val="0"/>
                  <w:marTop w:val="0"/>
                  <w:marBottom w:val="0"/>
                  <w:divBdr>
                    <w:top w:val="none" w:sz="0" w:space="0" w:color="auto"/>
                    <w:left w:val="none" w:sz="0" w:space="0" w:color="auto"/>
                    <w:bottom w:val="none" w:sz="0" w:space="0" w:color="auto"/>
                    <w:right w:val="none" w:sz="0" w:space="0" w:color="auto"/>
                  </w:divBdr>
                  <w:divsChild>
                    <w:div w:id="1026442910">
                      <w:marLeft w:val="0"/>
                      <w:marRight w:val="0"/>
                      <w:marTop w:val="0"/>
                      <w:marBottom w:val="0"/>
                      <w:divBdr>
                        <w:top w:val="none" w:sz="0" w:space="0" w:color="auto"/>
                        <w:left w:val="none" w:sz="0" w:space="0" w:color="auto"/>
                        <w:bottom w:val="none" w:sz="0" w:space="0" w:color="auto"/>
                        <w:right w:val="none" w:sz="0" w:space="0" w:color="auto"/>
                      </w:divBdr>
                    </w:div>
                  </w:divsChild>
                </w:div>
                <w:div w:id="1927229676">
                  <w:marLeft w:val="0"/>
                  <w:marRight w:val="0"/>
                  <w:marTop w:val="0"/>
                  <w:marBottom w:val="0"/>
                  <w:divBdr>
                    <w:top w:val="none" w:sz="0" w:space="0" w:color="auto"/>
                    <w:left w:val="none" w:sz="0" w:space="0" w:color="auto"/>
                    <w:bottom w:val="none" w:sz="0" w:space="0" w:color="auto"/>
                    <w:right w:val="none" w:sz="0" w:space="0" w:color="auto"/>
                  </w:divBdr>
                  <w:divsChild>
                    <w:div w:id="1976328642">
                      <w:marLeft w:val="0"/>
                      <w:marRight w:val="0"/>
                      <w:marTop w:val="0"/>
                      <w:marBottom w:val="0"/>
                      <w:divBdr>
                        <w:top w:val="none" w:sz="0" w:space="0" w:color="auto"/>
                        <w:left w:val="none" w:sz="0" w:space="0" w:color="auto"/>
                        <w:bottom w:val="none" w:sz="0" w:space="0" w:color="auto"/>
                        <w:right w:val="none" w:sz="0" w:space="0" w:color="auto"/>
                      </w:divBdr>
                    </w:div>
                  </w:divsChild>
                </w:div>
                <w:div w:id="174225322">
                  <w:marLeft w:val="0"/>
                  <w:marRight w:val="0"/>
                  <w:marTop w:val="0"/>
                  <w:marBottom w:val="0"/>
                  <w:divBdr>
                    <w:top w:val="none" w:sz="0" w:space="0" w:color="auto"/>
                    <w:left w:val="none" w:sz="0" w:space="0" w:color="auto"/>
                    <w:bottom w:val="none" w:sz="0" w:space="0" w:color="auto"/>
                    <w:right w:val="none" w:sz="0" w:space="0" w:color="auto"/>
                  </w:divBdr>
                  <w:divsChild>
                    <w:div w:id="1737892293">
                      <w:marLeft w:val="0"/>
                      <w:marRight w:val="0"/>
                      <w:marTop w:val="0"/>
                      <w:marBottom w:val="0"/>
                      <w:divBdr>
                        <w:top w:val="none" w:sz="0" w:space="0" w:color="auto"/>
                        <w:left w:val="none" w:sz="0" w:space="0" w:color="auto"/>
                        <w:bottom w:val="none" w:sz="0" w:space="0" w:color="auto"/>
                        <w:right w:val="none" w:sz="0" w:space="0" w:color="auto"/>
                      </w:divBdr>
                    </w:div>
                  </w:divsChild>
                </w:div>
                <w:div w:id="433482855">
                  <w:marLeft w:val="0"/>
                  <w:marRight w:val="0"/>
                  <w:marTop w:val="0"/>
                  <w:marBottom w:val="0"/>
                  <w:divBdr>
                    <w:top w:val="none" w:sz="0" w:space="0" w:color="auto"/>
                    <w:left w:val="none" w:sz="0" w:space="0" w:color="auto"/>
                    <w:bottom w:val="none" w:sz="0" w:space="0" w:color="auto"/>
                    <w:right w:val="none" w:sz="0" w:space="0" w:color="auto"/>
                  </w:divBdr>
                  <w:divsChild>
                    <w:div w:id="1447240040">
                      <w:marLeft w:val="0"/>
                      <w:marRight w:val="0"/>
                      <w:marTop w:val="0"/>
                      <w:marBottom w:val="0"/>
                      <w:divBdr>
                        <w:top w:val="none" w:sz="0" w:space="0" w:color="auto"/>
                        <w:left w:val="none" w:sz="0" w:space="0" w:color="auto"/>
                        <w:bottom w:val="none" w:sz="0" w:space="0" w:color="auto"/>
                        <w:right w:val="none" w:sz="0" w:space="0" w:color="auto"/>
                      </w:divBdr>
                    </w:div>
                  </w:divsChild>
                </w:div>
                <w:div w:id="1244298022">
                  <w:marLeft w:val="0"/>
                  <w:marRight w:val="0"/>
                  <w:marTop w:val="0"/>
                  <w:marBottom w:val="0"/>
                  <w:divBdr>
                    <w:top w:val="none" w:sz="0" w:space="0" w:color="auto"/>
                    <w:left w:val="none" w:sz="0" w:space="0" w:color="auto"/>
                    <w:bottom w:val="none" w:sz="0" w:space="0" w:color="auto"/>
                    <w:right w:val="none" w:sz="0" w:space="0" w:color="auto"/>
                  </w:divBdr>
                  <w:divsChild>
                    <w:div w:id="1305044961">
                      <w:marLeft w:val="0"/>
                      <w:marRight w:val="0"/>
                      <w:marTop w:val="0"/>
                      <w:marBottom w:val="0"/>
                      <w:divBdr>
                        <w:top w:val="none" w:sz="0" w:space="0" w:color="auto"/>
                        <w:left w:val="none" w:sz="0" w:space="0" w:color="auto"/>
                        <w:bottom w:val="none" w:sz="0" w:space="0" w:color="auto"/>
                        <w:right w:val="none" w:sz="0" w:space="0" w:color="auto"/>
                      </w:divBdr>
                    </w:div>
                  </w:divsChild>
                </w:div>
                <w:div w:id="1282879073">
                  <w:marLeft w:val="0"/>
                  <w:marRight w:val="0"/>
                  <w:marTop w:val="0"/>
                  <w:marBottom w:val="0"/>
                  <w:divBdr>
                    <w:top w:val="none" w:sz="0" w:space="0" w:color="auto"/>
                    <w:left w:val="none" w:sz="0" w:space="0" w:color="auto"/>
                    <w:bottom w:val="none" w:sz="0" w:space="0" w:color="auto"/>
                    <w:right w:val="none" w:sz="0" w:space="0" w:color="auto"/>
                  </w:divBdr>
                  <w:divsChild>
                    <w:div w:id="2076199633">
                      <w:marLeft w:val="0"/>
                      <w:marRight w:val="0"/>
                      <w:marTop w:val="0"/>
                      <w:marBottom w:val="0"/>
                      <w:divBdr>
                        <w:top w:val="none" w:sz="0" w:space="0" w:color="auto"/>
                        <w:left w:val="none" w:sz="0" w:space="0" w:color="auto"/>
                        <w:bottom w:val="none" w:sz="0" w:space="0" w:color="auto"/>
                        <w:right w:val="none" w:sz="0" w:space="0" w:color="auto"/>
                      </w:divBdr>
                    </w:div>
                  </w:divsChild>
                </w:div>
                <w:div w:id="1500851829">
                  <w:marLeft w:val="0"/>
                  <w:marRight w:val="0"/>
                  <w:marTop w:val="0"/>
                  <w:marBottom w:val="0"/>
                  <w:divBdr>
                    <w:top w:val="none" w:sz="0" w:space="0" w:color="auto"/>
                    <w:left w:val="none" w:sz="0" w:space="0" w:color="auto"/>
                    <w:bottom w:val="none" w:sz="0" w:space="0" w:color="auto"/>
                    <w:right w:val="none" w:sz="0" w:space="0" w:color="auto"/>
                  </w:divBdr>
                  <w:divsChild>
                    <w:div w:id="1446387459">
                      <w:marLeft w:val="0"/>
                      <w:marRight w:val="0"/>
                      <w:marTop w:val="0"/>
                      <w:marBottom w:val="0"/>
                      <w:divBdr>
                        <w:top w:val="none" w:sz="0" w:space="0" w:color="auto"/>
                        <w:left w:val="none" w:sz="0" w:space="0" w:color="auto"/>
                        <w:bottom w:val="none" w:sz="0" w:space="0" w:color="auto"/>
                        <w:right w:val="none" w:sz="0" w:space="0" w:color="auto"/>
                      </w:divBdr>
                    </w:div>
                  </w:divsChild>
                </w:div>
                <w:div w:id="531891481">
                  <w:marLeft w:val="0"/>
                  <w:marRight w:val="0"/>
                  <w:marTop w:val="0"/>
                  <w:marBottom w:val="0"/>
                  <w:divBdr>
                    <w:top w:val="none" w:sz="0" w:space="0" w:color="auto"/>
                    <w:left w:val="none" w:sz="0" w:space="0" w:color="auto"/>
                    <w:bottom w:val="none" w:sz="0" w:space="0" w:color="auto"/>
                    <w:right w:val="none" w:sz="0" w:space="0" w:color="auto"/>
                  </w:divBdr>
                  <w:divsChild>
                    <w:div w:id="1530534538">
                      <w:marLeft w:val="0"/>
                      <w:marRight w:val="0"/>
                      <w:marTop w:val="0"/>
                      <w:marBottom w:val="0"/>
                      <w:divBdr>
                        <w:top w:val="none" w:sz="0" w:space="0" w:color="auto"/>
                        <w:left w:val="none" w:sz="0" w:space="0" w:color="auto"/>
                        <w:bottom w:val="none" w:sz="0" w:space="0" w:color="auto"/>
                        <w:right w:val="none" w:sz="0" w:space="0" w:color="auto"/>
                      </w:divBdr>
                    </w:div>
                  </w:divsChild>
                </w:div>
                <w:div w:id="999230125">
                  <w:marLeft w:val="0"/>
                  <w:marRight w:val="0"/>
                  <w:marTop w:val="0"/>
                  <w:marBottom w:val="0"/>
                  <w:divBdr>
                    <w:top w:val="none" w:sz="0" w:space="0" w:color="auto"/>
                    <w:left w:val="none" w:sz="0" w:space="0" w:color="auto"/>
                    <w:bottom w:val="none" w:sz="0" w:space="0" w:color="auto"/>
                    <w:right w:val="none" w:sz="0" w:space="0" w:color="auto"/>
                  </w:divBdr>
                  <w:divsChild>
                    <w:div w:id="682321482">
                      <w:marLeft w:val="0"/>
                      <w:marRight w:val="0"/>
                      <w:marTop w:val="0"/>
                      <w:marBottom w:val="0"/>
                      <w:divBdr>
                        <w:top w:val="none" w:sz="0" w:space="0" w:color="auto"/>
                        <w:left w:val="none" w:sz="0" w:space="0" w:color="auto"/>
                        <w:bottom w:val="none" w:sz="0" w:space="0" w:color="auto"/>
                        <w:right w:val="none" w:sz="0" w:space="0" w:color="auto"/>
                      </w:divBdr>
                    </w:div>
                  </w:divsChild>
                </w:div>
                <w:div w:id="1405447130">
                  <w:marLeft w:val="0"/>
                  <w:marRight w:val="0"/>
                  <w:marTop w:val="0"/>
                  <w:marBottom w:val="0"/>
                  <w:divBdr>
                    <w:top w:val="none" w:sz="0" w:space="0" w:color="auto"/>
                    <w:left w:val="none" w:sz="0" w:space="0" w:color="auto"/>
                    <w:bottom w:val="none" w:sz="0" w:space="0" w:color="auto"/>
                    <w:right w:val="none" w:sz="0" w:space="0" w:color="auto"/>
                  </w:divBdr>
                  <w:divsChild>
                    <w:div w:id="308677948">
                      <w:marLeft w:val="0"/>
                      <w:marRight w:val="0"/>
                      <w:marTop w:val="0"/>
                      <w:marBottom w:val="0"/>
                      <w:divBdr>
                        <w:top w:val="none" w:sz="0" w:space="0" w:color="auto"/>
                        <w:left w:val="none" w:sz="0" w:space="0" w:color="auto"/>
                        <w:bottom w:val="none" w:sz="0" w:space="0" w:color="auto"/>
                        <w:right w:val="none" w:sz="0" w:space="0" w:color="auto"/>
                      </w:divBdr>
                    </w:div>
                  </w:divsChild>
                </w:div>
                <w:div w:id="1825194415">
                  <w:marLeft w:val="0"/>
                  <w:marRight w:val="0"/>
                  <w:marTop w:val="0"/>
                  <w:marBottom w:val="0"/>
                  <w:divBdr>
                    <w:top w:val="none" w:sz="0" w:space="0" w:color="auto"/>
                    <w:left w:val="none" w:sz="0" w:space="0" w:color="auto"/>
                    <w:bottom w:val="none" w:sz="0" w:space="0" w:color="auto"/>
                    <w:right w:val="none" w:sz="0" w:space="0" w:color="auto"/>
                  </w:divBdr>
                  <w:divsChild>
                    <w:div w:id="1135172107">
                      <w:marLeft w:val="0"/>
                      <w:marRight w:val="0"/>
                      <w:marTop w:val="0"/>
                      <w:marBottom w:val="0"/>
                      <w:divBdr>
                        <w:top w:val="none" w:sz="0" w:space="0" w:color="auto"/>
                        <w:left w:val="none" w:sz="0" w:space="0" w:color="auto"/>
                        <w:bottom w:val="none" w:sz="0" w:space="0" w:color="auto"/>
                        <w:right w:val="none" w:sz="0" w:space="0" w:color="auto"/>
                      </w:divBdr>
                    </w:div>
                  </w:divsChild>
                </w:div>
                <w:div w:id="1852990775">
                  <w:marLeft w:val="0"/>
                  <w:marRight w:val="0"/>
                  <w:marTop w:val="0"/>
                  <w:marBottom w:val="0"/>
                  <w:divBdr>
                    <w:top w:val="none" w:sz="0" w:space="0" w:color="auto"/>
                    <w:left w:val="none" w:sz="0" w:space="0" w:color="auto"/>
                    <w:bottom w:val="none" w:sz="0" w:space="0" w:color="auto"/>
                    <w:right w:val="none" w:sz="0" w:space="0" w:color="auto"/>
                  </w:divBdr>
                  <w:divsChild>
                    <w:div w:id="1813869432">
                      <w:marLeft w:val="0"/>
                      <w:marRight w:val="0"/>
                      <w:marTop w:val="0"/>
                      <w:marBottom w:val="0"/>
                      <w:divBdr>
                        <w:top w:val="none" w:sz="0" w:space="0" w:color="auto"/>
                        <w:left w:val="none" w:sz="0" w:space="0" w:color="auto"/>
                        <w:bottom w:val="none" w:sz="0" w:space="0" w:color="auto"/>
                        <w:right w:val="none" w:sz="0" w:space="0" w:color="auto"/>
                      </w:divBdr>
                    </w:div>
                  </w:divsChild>
                </w:div>
                <w:div w:id="2057198738">
                  <w:marLeft w:val="0"/>
                  <w:marRight w:val="0"/>
                  <w:marTop w:val="0"/>
                  <w:marBottom w:val="0"/>
                  <w:divBdr>
                    <w:top w:val="none" w:sz="0" w:space="0" w:color="auto"/>
                    <w:left w:val="none" w:sz="0" w:space="0" w:color="auto"/>
                    <w:bottom w:val="none" w:sz="0" w:space="0" w:color="auto"/>
                    <w:right w:val="none" w:sz="0" w:space="0" w:color="auto"/>
                  </w:divBdr>
                  <w:divsChild>
                    <w:div w:id="351146622">
                      <w:marLeft w:val="0"/>
                      <w:marRight w:val="0"/>
                      <w:marTop w:val="0"/>
                      <w:marBottom w:val="0"/>
                      <w:divBdr>
                        <w:top w:val="none" w:sz="0" w:space="0" w:color="auto"/>
                        <w:left w:val="none" w:sz="0" w:space="0" w:color="auto"/>
                        <w:bottom w:val="none" w:sz="0" w:space="0" w:color="auto"/>
                        <w:right w:val="none" w:sz="0" w:space="0" w:color="auto"/>
                      </w:divBdr>
                    </w:div>
                  </w:divsChild>
                </w:div>
                <w:div w:id="262812033">
                  <w:marLeft w:val="0"/>
                  <w:marRight w:val="0"/>
                  <w:marTop w:val="0"/>
                  <w:marBottom w:val="0"/>
                  <w:divBdr>
                    <w:top w:val="none" w:sz="0" w:space="0" w:color="auto"/>
                    <w:left w:val="none" w:sz="0" w:space="0" w:color="auto"/>
                    <w:bottom w:val="none" w:sz="0" w:space="0" w:color="auto"/>
                    <w:right w:val="none" w:sz="0" w:space="0" w:color="auto"/>
                  </w:divBdr>
                  <w:divsChild>
                    <w:div w:id="1825730568">
                      <w:marLeft w:val="0"/>
                      <w:marRight w:val="0"/>
                      <w:marTop w:val="0"/>
                      <w:marBottom w:val="0"/>
                      <w:divBdr>
                        <w:top w:val="none" w:sz="0" w:space="0" w:color="auto"/>
                        <w:left w:val="none" w:sz="0" w:space="0" w:color="auto"/>
                        <w:bottom w:val="none" w:sz="0" w:space="0" w:color="auto"/>
                        <w:right w:val="none" w:sz="0" w:space="0" w:color="auto"/>
                      </w:divBdr>
                    </w:div>
                  </w:divsChild>
                </w:div>
                <w:div w:id="794635638">
                  <w:marLeft w:val="0"/>
                  <w:marRight w:val="0"/>
                  <w:marTop w:val="0"/>
                  <w:marBottom w:val="0"/>
                  <w:divBdr>
                    <w:top w:val="none" w:sz="0" w:space="0" w:color="auto"/>
                    <w:left w:val="none" w:sz="0" w:space="0" w:color="auto"/>
                    <w:bottom w:val="none" w:sz="0" w:space="0" w:color="auto"/>
                    <w:right w:val="none" w:sz="0" w:space="0" w:color="auto"/>
                  </w:divBdr>
                  <w:divsChild>
                    <w:div w:id="893545834">
                      <w:marLeft w:val="0"/>
                      <w:marRight w:val="0"/>
                      <w:marTop w:val="0"/>
                      <w:marBottom w:val="0"/>
                      <w:divBdr>
                        <w:top w:val="none" w:sz="0" w:space="0" w:color="auto"/>
                        <w:left w:val="none" w:sz="0" w:space="0" w:color="auto"/>
                        <w:bottom w:val="none" w:sz="0" w:space="0" w:color="auto"/>
                        <w:right w:val="none" w:sz="0" w:space="0" w:color="auto"/>
                      </w:divBdr>
                    </w:div>
                  </w:divsChild>
                </w:div>
                <w:div w:id="349453542">
                  <w:marLeft w:val="0"/>
                  <w:marRight w:val="0"/>
                  <w:marTop w:val="0"/>
                  <w:marBottom w:val="0"/>
                  <w:divBdr>
                    <w:top w:val="none" w:sz="0" w:space="0" w:color="auto"/>
                    <w:left w:val="none" w:sz="0" w:space="0" w:color="auto"/>
                    <w:bottom w:val="none" w:sz="0" w:space="0" w:color="auto"/>
                    <w:right w:val="none" w:sz="0" w:space="0" w:color="auto"/>
                  </w:divBdr>
                  <w:divsChild>
                    <w:div w:id="402148164">
                      <w:marLeft w:val="0"/>
                      <w:marRight w:val="0"/>
                      <w:marTop w:val="0"/>
                      <w:marBottom w:val="0"/>
                      <w:divBdr>
                        <w:top w:val="none" w:sz="0" w:space="0" w:color="auto"/>
                        <w:left w:val="none" w:sz="0" w:space="0" w:color="auto"/>
                        <w:bottom w:val="none" w:sz="0" w:space="0" w:color="auto"/>
                        <w:right w:val="none" w:sz="0" w:space="0" w:color="auto"/>
                      </w:divBdr>
                    </w:div>
                  </w:divsChild>
                </w:div>
                <w:div w:id="311062674">
                  <w:marLeft w:val="0"/>
                  <w:marRight w:val="0"/>
                  <w:marTop w:val="0"/>
                  <w:marBottom w:val="0"/>
                  <w:divBdr>
                    <w:top w:val="none" w:sz="0" w:space="0" w:color="auto"/>
                    <w:left w:val="none" w:sz="0" w:space="0" w:color="auto"/>
                    <w:bottom w:val="none" w:sz="0" w:space="0" w:color="auto"/>
                    <w:right w:val="none" w:sz="0" w:space="0" w:color="auto"/>
                  </w:divBdr>
                  <w:divsChild>
                    <w:div w:id="1283919817">
                      <w:marLeft w:val="0"/>
                      <w:marRight w:val="0"/>
                      <w:marTop w:val="0"/>
                      <w:marBottom w:val="0"/>
                      <w:divBdr>
                        <w:top w:val="none" w:sz="0" w:space="0" w:color="auto"/>
                        <w:left w:val="none" w:sz="0" w:space="0" w:color="auto"/>
                        <w:bottom w:val="none" w:sz="0" w:space="0" w:color="auto"/>
                        <w:right w:val="none" w:sz="0" w:space="0" w:color="auto"/>
                      </w:divBdr>
                    </w:div>
                  </w:divsChild>
                </w:div>
                <w:div w:id="992217988">
                  <w:marLeft w:val="0"/>
                  <w:marRight w:val="0"/>
                  <w:marTop w:val="0"/>
                  <w:marBottom w:val="0"/>
                  <w:divBdr>
                    <w:top w:val="none" w:sz="0" w:space="0" w:color="auto"/>
                    <w:left w:val="none" w:sz="0" w:space="0" w:color="auto"/>
                    <w:bottom w:val="none" w:sz="0" w:space="0" w:color="auto"/>
                    <w:right w:val="none" w:sz="0" w:space="0" w:color="auto"/>
                  </w:divBdr>
                  <w:divsChild>
                    <w:div w:id="820731528">
                      <w:marLeft w:val="0"/>
                      <w:marRight w:val="0"/>
                      <w:marTop w:val="0"/>
                      <w:marBottom w:val="0"/>
                      <w:divBdr>
                        <w:top w:val="none" w:sz="0" w:space="0" w:color="auto"/>
                        <w:left w:val="none" w:sz="0" w:space="0" w:color="auto"/>
                        <w:bottom w:val="none" w:sz="0" w:space="0" w:color="auto"/>
                        <w:right w:val="none" w:sz="0" w:space="0" w:color="auto"/>
                      </w:divBdr>
                    </w:div>
                  </w:divsChild>
                </w:div>
                <w:div w:id="1929730655">
                  <w:marLeft w:val="0"/>
                  <w:marRight w:val="0"/>
                  <w:marTop w:val="0"/>
                  <w:marBottom w:val="0"/>
                  <w:divBdr>
                    <w:top w:val="none" w:sz="0" w:space="0" w:color="auto"/>
                    <w:left w:val="none" w:sz="0" w:space="0" w:color="auto"/>
                    <w:bottom w:val="none" w:sz="0" w:space="0" w:color="auto"/>
                    <w:right w:val="none" w:sz="0" w:space="0" w:color="auto"/>
                  </w:divBdr>
                  <w:divsChild>
                    <w:div w:id="1577473680">
                      <w:marLeft w:val="0"/>
                      <w:marRight w:val="0"/>
                      <w:marTop w:val="0"/>
                      <w:marBottom w:val="0"/>
                      <w:divBdr>
                        <w:top w:val="none" w:sz="0" w:space="0" w:color="auto"/>
                        <w:left w:val="none" w:sz="0" w:space="0" w:color="auto"/>
                        <w:bottom w:val="none" w:sz="0" w:space="0" w:color="auto"/>
                        <w:right w:val="none" w:sz="0" w:space="0" w:color="auto"/>
                      </w:divBdr>
                    </w:div>
                  </w:divsChild>
                </w:div>
                <w:div w:id="377048053">
                  <w:marLeft w:val="0"/>
                  <w:marRight w:val="0"/>
                  <w:marTop w:val="0"/>
                  <w:marBottom w:val="0"/>
                  <w:divBdr>
                    <w:top w:val="none" w:sz="0" w:space="0" w:color="auto"/>
                    <w:left w:val="none" w:sz="0" w:space="0" w:color="auto"/>
                    <w:bottom w:val="none" w:sz="0" w:space="0" w:color="auto"/>
                    <w:right w:val="none" w:sz="0" w:space="0" w:color="auto"/>
                  </w:divBdr>
                  <w:divsChild>
                    <w:div w:id="452871644">
                      <w:marLeft w:val="0"/>
                      <w:marRight w:val="0"/>
                      <w:marTop w:val="0"/>
                      <w:marBottom w:val="0"/>
                      <w:divBdr>
                        <w:top w:val="none" w:sz="0" w:space="0" w:color="auto"/>
                        <w:left w:val="none" w:sz="0" w:space="0" w:color="auto"/>
                        <w:bottom w:val="none" w:sz="0" w:space="0" w:color="auto"/>
                        <w:right w:val="none" w:sz="0" w:space="0" w:color="auto"/>
                      </w:divBdr>
                    </w:div>
                  </w:divsChild>
                </w:div>
                <w:div w:id="1822379753">
                  <w:marLeft w:val="0"/>
                  <w:marRight w:val="0"/>
                  <w:marTop w:val="0"/>
                  <w:marBottom w:val="0"/>
                  <w:divBdr>
                    <w:top w:val="none" w:sz="0" w:space="0" w:color="auto"/>
                    <w:left w:val="none" w:sz="0" w:space="0" w:color="auto"/>
                    <w:bottom w:val="none" w:sz="0" w:space="0" w:color="auto"/>
                    <w:right w:val="none" w:sz="0" w:space="0" w:color="auto"/>
                  </w:divBdr>
                  <w:divsChild>
                    <w:div w:id="215432182">
                      <w:marLeft w:val="0"/>
                      <w:marRight w:val="0"/>
                      <w:marTop w:val="0"/>
                      <w:marBottom w:val="0"/>
                      <w:divBdr>
                        <w:top w:val="none" w:sz="0" w:space="0" w:color="auto"/>
                        <w:left w:val="none" w:sz="0" w:space="0" w:color="auto"/>
                        <w:bottom w:val="none" w:sz="0" w:space="0" w:color="auto"/>
                        <w:right w:val="none" w:sz="0" w:space="0" w:color="auto"/>
                      </w:divBdr>
                    </w:div>
                  </w:divsChild>
                </w:div>
                <w:div w:id="778378411">
                  <w:marLeft w:val="0"/>
                  <w:marRight w:val="0"/>
                  <w:marTop w:val="0"/>
                  <w:marBottom w:val="0"/>
                  <w:divBdr>
                    <w:top w:val="none" w:sz="0" w:space="0" w:color="auto"/>
                    <w:left w:val="none" w:sz="0" w:space="0" w:color="auto"/>
                    <w:bottom w:val="none" w:sz="0" w:space="0" w:color="auto"/>
                    <w:right w:val="none" w:sz="0" w:space="0" w:color="auto"/>
                  </w:divBdr>
                  <w:divsChild>
                    <w:div w:id="1836334386">
                      <w:marLeft w:val="0"/>
                      <w:marRight w:val="0"/>
                      <w:marTop w:val="0"/>
                      <w:marBottom w:val="0"/>
                      <w:divBdr>
                        <w:top w:val="none" w:sz="0" w:space="0" w:color="auto"/>
                        <w:left w:val="none" w:sz="0" w:space="0" w:color="auto"/>
                        <w:bottom w:val="none" w:sz="0" w:space="0" w:color="auto"/>
                        <w:right w:val="none" w:sz="0" w:space="0" w:color="auto"/>
                      </w:divBdr>
                    </w:div>
                  </w:divsChild>
                </w:div>
                <w:div w:id="1091511677">
                  <w:marLeft w:val="0"/>
                  <w:marRight w:val="0"/>
                  <w:marTop w:val="0"/>
                  <w:marBottom w:val="0"/>
                  <w:divBdr>
                    <w:top w:val="none" w:sz="0" w:space="0" w:color="auto"/>
                    <w:left w:val="none" w:sz="0" w:space="0" w:color="auto"/>
                    <w:bottom w:val="none" w:sz="0" w:space="0" w:color="auto"/>
                    <w:right w:val="none" w:sz="0" w:space="0" w:color="auto"/>
                  </w:divBdr>
                  <w:divsChild>
                    <w:div w:id="1712730080">
                      <w:marLeft w:val="0"/>
                      <w:marRight w:val="0"/>
                      <w:marTop w:val="0"/>
                      <w:marBottom w:val="0"/>
                      <w:divBdr>
                        <w:top w:val="none" w:sz="0" w:space="0" w:color="auto"/>
                        <w:left w:val="none" w:sz="0" w:space="0" w:color="auto"/>
                        <w:bottom w:val="none" w:sz="0" w:space="0" w:color="auto"/>
                        <w:right w:val="none" w:sz="0" w:space="0" w:color="auto"/>
                      </w:divBdr>
                    </w:div>
                  </w:divsChild>
                </w:div>
                <w:div w:id="1066995170">
                  <w:marLeft w:val="0"/>
                  <w:marRight w:val="0"/>
                  <w:marTop w:val="0"/>
                  <w:marBottom w:val="0"/>
                  <w:divBdr>
                    <w:top w:val="none" w:sz="0" w:space="0" w:color="auto"/>
                    <w:left w:val="none" w:sz="0" w:space="0" w:color="auto"/>
                    <w:bottom w:val="none" w:sz="0" w:space="0" w:color="auto"/>
                    <w:right w:val="none" w:sz="0" w:space="0" w:color="auto"/>
                  </w:divBdr>
                  <w:divsChild>
                    <w:div w:id="1248923894">
                      <w:marLeft w:val="0"/>
                      <w:marRight w:val="0"/>
                      <w:marTop w:val="0"/>
                      <w:marBottom w:val="0"/>
                      <w:divBdr>
                        <w:top w:val="none" w:sz="0" w:space="0" w:color="auto"/>
                        <w:left w:val="none" w:sz="0" w:space="0" w:color="auto"/>
                        <w:bottom w:val="none" w:sz="0" w:space="0" w:color="auto"/>
                        <w:right w:val="none" w:sz="0" w:space="0" w:color="auto"/>
                      </w:divBdr>
                    </w:div>
                  </w:divsChild>
                </w:div>
                <w:div w:id="440342028">
                  <w:marLeft w:val="0"/>
                  <w:marRight w:val="0"/>
                  <w:marTop w:val="0"/>
                  <w:marBottom w:val="0"/>
                  <w:divBdr>
                    <w:top w:val="none" w:sz="0" w:space="0" w:color="auto"/>
                    <w:left w:val="none" w:sz="0" w:space="0" w:color="auto"/>
                    <w:bottom w:val="none" w:sz="0" w:space="0" w:color="auto"/>
                    <w:right w:val="none" w:sz="0" w:space="0" w:color="auto"/>
                  </w:divBdr>
                  <w:divsChild>
                    <w:div w:id="757361118">
                      <w:marLeft w:val="0"/>
                      <w:marRight w:val="0"/>
                      <w:marTop w:val="0"/>
                      <w:marBottom w:val="0"/>
                      <w:divBdr>
                        <w:top w:val="none" w:sz="0" w:space="0" w:color="auto"/>
                        <w:left w:val="none" w:sz="0" w:space="0" w:color="auto"/>
                        <w:bottom w:val="none" w:sz="0" w:space="0" w:color="auto"/>
                        <w:right w:val="none" w:sz="0" w:space="0" w:color="auto"/>
                      </w:divBdr>
                    </w:div>
                  </w:divsChild>
                </w:div>
                <w:div w:id="1980256113">
                  <w:marLeft w:val="0"/>
                  <w:marRight w:val="0"/>
                  <w:marTop w:val="0"/>
                  <w:marBottom w:val="0"/>
                  <w:divBdr>
                    <w:top w:val="none" w:sz="0" w:space="0" w:color="auto"/>
                    <w:left w:val="none" w:sz="0" w:space="0" w:color="auto"/>
                    <w:bottom w:val="none" w:sz="0" w:space="0" w:color="auto"/>
                    <w:right w:val="none" w:sz="0" w:space="0" w:color="auto"/>
                  </w:divBdr>
                  <w:divsChild>
                    <w:div w:id="1661425716">
                      <w:marLeft w:val="0"/>
                      <w:marRight w:val="0"/>
                      <w:marTop w:val="0"/>
                      <w:marBottom w:val="0"/>
                      <w:divBdr>
                        <w:top w:val="none" w:sz="0" w:space="0" w:color="auto"/>
                        <w:left w:val="none" w:sz="0" w:space="0" w:color="auto"/>
                        <w:bottom w:val="none" w:sz="0" w:space="0" w:color="auto"/>
                        <w:right w:val="none" w:sz="0" w:space="0" w:color="auto"/>
                      </w:divBdr>
                    </w:div>
                  </w:divsChild>
                </w:div>
                <w:div w:id="1935626056">
                  <w:marLeft w:val="0"/>
                  <w:marRight w:val="0"/>
                  <w:marTop w:val="0"/>
                  <w:marBottom w:val="0"/>
                  <w:divBdr>
                    <w:top w:val="none" w:sz="0" w:space="0" w:color="auto"/>
                    <w:left w:val="none" w:sz="0" w:space="0" w:color="auto"/>
                    <w:bottom w:val="none" w:sz="0" w:space="0" w:color="auto"/>
                    <w:right w:val="none" w:sz="0" w:space="0" w:color="auto"/>
                  </w:divBdr>
                  <w:divsChild>
                    <w:div w:id="1220245976">
                      <w:marLeft w:val="0"/>
                      <w:marRight w:val="0"/>
                      <w:marTop w:val="0"/>
                      <w:marBottom w:val="0"/>
                      <w:divBdr>
                        <w:top w:val="none" w:sz="0" w:space="0" w:color="auto"/>
                        <w:left w:val="none" w:sz="0" w:space="0" w:color="auto"/>
                        <w:bottom w:val="none" w:sz="0" w:space="0" w:color="auto"/>
                        <w:right w:val="none" w:sz="0" w:space="0" w:color="auto"/>
                      </w:divBdr>
                    </w:div>
                  </w:divsChild>
                </w:div>
                <w:div w:id="294989049">
                  <w:marLeft w:val="0"/>
                  <w:marRight w:val="0"/>
                  <w:marTop w:val="0"/>
                  <w:marBottom w:val="0"/>
                  <w:divBdr>
                    <w:top w:val="none" w:sz="0" w:space="0" w:color="auto"/>
                    <w:left w:val="none" w:sz="0" w:space="0" w:color="auto"/>
                    <w:bottom w:val="none" w:sz="0" w:space="0" w:color="auto"/>
                    <w:right w:val="none" w:sz="0" w:space="0" w:color="auto"/>
                  </w:divBdr>
                  <w:divsChild>
                    <w:div w:id="718280816">
                      <w:marLeft w:val="0"/>
                      <w:marRight w:val="0"/>
                      <w:marTop w:val="0"/>
                      <w:marBottom w:val="0"/>
                      <w:divBdr>
                        <w:top w:val="none" w:sz="0" w:space="0" w:color="auto"/>
                        <w:left w:val="none" w:sz="0" w:space="0" w:color="auto"/>
                        <w:bottom w:val="none" w:sz="0" w:space="0" w:color="auto"/>
                        <w:right w:val="none" w:sz="0" w:space="0" w:color="auto"/>
                      </w:divBdr>
                    </w:div>
                  </w:divsChild>
                </w:div>
                <w:div w:id="1931886038">
                  <w:marLeft w:val="0"/>
                  <w:marRight w:val="0"/>
                  <w:marTop w:val="0"/>
                  <w:marBottom w:val="0"/>
                  <w:divBdr>
                    <w:top w:val="none" w:sz="0" w:space="0" w:color="auto"/>
                    <w:left w:val="none" w:sz="0" w:space="0" w:color="auto"/>
                    <w:bottom w:val="none" w:sz="0" w:space="0" w:color="auto"/>
                    <w:right w:val="none" w:sz="0" w:space="0" w:color="auto"/>
                  </w:divBdr>
                  <w:divsChild>
                    <w:div w:id="1701206359">
                      <w:marLeft w:val="0"/>
                      <w:marRight w:val="0"/>
                      <w:marTop w:val="0"/>
                      <w:marBottom w:val="0"/>
                      <w:divBdr>
                        <w:top w:val="none" w:sz="0" w:space="0" w:color="auto"/>
                        <w:left w:val="none" w:sz="0" w:space="0" w:color="auto"/>
                        <w:bottom w:val="none" w:sz="0" w:space="0" w:color="auto"/>
                        <w:right w:val="none" w:sz="0" w:space="0" w:color="auto"/>
                      </w:divBdr>
                    </w:div>
                  </w:divsChild>
                </w:div>
                <w:div w:id="1648510134">
                  <w:marLeft w:val="0"/>
                  <w:marRight w:val="0"/>
                  <w:marTop w:val="0"/>
                  <w:marBottom w:val="0"/>
                  <w:divBdr>
                    <w:top w:val="none" w:sz="0" w:space="0" w:color="auto"/>
                    <w:left w:val="none" w:sz="0" w:space="0" w:color="auto"/>
                    <w:bottom w:val="none" w:sz="0" w:space="0" w:color="auto"/>
                    <w:right w:val="none" w:sz="0" w:space="0" w:color="auto"/>
                  </w:divBdr>
                  <w:divsChild>
                    <w:div w:id="1588809766">
                      <w:marLeft w:val="0"/>
                      <w:marRight w:val="0"/>
                      <w:marTop w:val="0"/>
                      <w:marBottom w:val="0"/>
                      <w:divBdr>
                        <w:top w:val="none" w:sz="0" w:space="0" w:color="auto"/>
                        <w:left w:val="none" w:sz="0" w:space="0" w:color="auto"/>
                        <w:bottom w:val="none" w:sz="0" w:space="0" w:color="auto"/>
                        <w:right w:val="none" w:sz="0" w:space="0" w:color="auto"/>
                      </w:divBdr>
                    </w:div>
                  </w:divsChild>
                </w:div>
                <w:div w:id="1264537805">
                  <w:marLeft w:val="0"/>
                  <w:marRight w:val="0"/>
                  <w:marTop w:val="0"/>
                  <w:marBottom w:val="0"/>
                  <w:divBdr>
                    <w:top w:val="none" w:sz="0" w:space="0" w:color="auto"/>
                    <w:left w:val="none" w:sz="0" w:space="0" w:color="auto"/>
                    <w:bottom w:val="none" w:sz="0" w:space="0" w:color="auto"/>
                    <w:right w:val="none" w:sz="0" w:space="0" w:color="auto"/>
                  </w:divBdr>
                  <w:divsChild>
                    <w:div w:id="255989350">
                      <w:marLeft w:val="0"/>
                      <w:marRight w:val="0"/>
                      <w:marTop w:val="0"/>
                      <w:marBottom w:val="0"/>
                      <w:divBdr>
                        <w:top w:val="none" w:sz="0" w:space="0" w:color="auto"/>
                        <w:left w:val="none" w:sz="0" w:space="0" w:color="auto"/>
                        <w:bottom w:val="none" w:sz="0" w:space="0" w:color="auto"/>
                        <w:right w:val="none" w:sz="0" w:space="0" w:color="auto"/>
                      </w:divBdr>
                    </w:div>
                  </w:divsChild>
                </w:div>
                <w:div w:id="2097552979">
                  <w:marLeft w:val="0"/>
                  <w:marRight w:val="0"/>
                  <w:marTop w:val="0"/>
                  <w:marBottom w:val="0"/>
                  <w:divBdr>
                    <w:top w:val="none" w:sz="0" w:space="0" w:color="auto"/>
                    <w:left w:val="none" w:sz="0" w:space="0" w:color="auto"/>
                    <w:bottom w:val="none" w:sz="0" w:space="0" w:color="auto"/>
                    <w:right w:val="none" w:sz="0" w:space="0" w:color="auto"/>
                  </w:divBdr>
                  <w:divsChild>
                    <w:div w:id="1692487565">
                      <w:marLeft w:val="0"/>
                      <w:marRight w:val="0"/>
                      <w:marTop w:val="0"/>
                      <w:marBottom w:val="0"/>
                      <w:divBdr>
                        <w:top w:val="none" w:sz="0" w:space="0" w:color="auto"/>
                        <w:left w:val="none" w:sz="0" w:space="0" w:color="auto"/>
                        <w:bottom w:val="none" w:sz="0" w:space="0" w:color="auto"/>
                        <w:right w:val="none" w:sz="0" w:space="0" w:color="auto"/>
                      </w:divBdr>
                    </w:div>
                  </w:divsChild>
                </w:div>
                <w:div w:id="52897994">
                  <w:marLeft w:val="0"/>
                  <w:marRight w:val="0"/>
                  <w:marTop w:val="0"/>
                  <w:marBottom w:val="0"/>
                  <w:divBdr>
                    <w:top w:val="none" w:sz="0" w:space="0" w:color="auto"/>
                    <w:left w:val="none" w:sz="0" w:space="0" w:color="auto"/>
                    <w:bottom w:val="none" w:sz="0" w:space="0" w:color="auto"/>
                    <w:right w:val="none" w:sz="0" w:space="0" w:color="auto"/>
                  </w:divBdr>
                  <w:divsChild>
                    <w:div w:id="1909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2737">
          <w:marLeft w:val="0"/>
          <w:marRight w:val="0"/>
          <w:marTop w:val="0"/>
          <w:marBottom w:val="0"/>
          <w:divBdr>
            <w:top w:val="none" w:sz="0" w:space="0" w:color="auto"/>
            <w:left w:val="none" w:sz="0" w:space="0" w:color="auto"/>
            <w:bottom w:val="none" w:sz="0" w:space="0" w:color="auto"/>
            <w:right w:val="none" w:sz="0" w:space="0" w:color="auto"/>
          </w:divBdr>
        </w:div>
      </w:divsChild>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484926032">
      <w:bodyDiv w:val="1"/>
      <w:marLeft w:val="0"/>
      <w:marRight w:val="0"/>
      <w:marTop w:val="0"/>
      <w:marBottom w:val="0"/>
      <w:divBdr>
        <w:top w:val="none" w:sz="0" w:space="0" w:color="auto"/>
        <w:left w:val="none" w:sz="0" w:space="0" w:color="auto"/>
        <w:bottom w:val="none" w:sz="0" w:space="0" w:color="auto"/>
        <w:right w:val="none" w:sz="0" w:space="0" w:color="auto"/>
      </w:divBdr>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600142278">
      <w:bodyDiv w:val="1"/>
      <w:marLeft w:val="0"/>
      <w:marRight w:val="0"/>
      <w:marTop w:val="0"/>
      <w:marBottom w:val="0"/>
      <w:divBdr>
        <w:top w:val="none" w:sz="0" w:space="0" w:color="auto"/>
        <w:left w:val="none" w:sz="0" w:space="0" w:color="auto"/>
        <w:bottom w:val="none" w:sz="0" w:space="0" w:color="auto"/>
        <w:right w:val="none" w:sz="0" w:space="0" w:color="auto"/>
      </w:divBdr>
    </w:div>
    <w:div w:id="1611353332">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735853307">
      <w:bodyDiv w:val="1"/>
      <w:marLeft w:val="0"/>
      <w:marRight w:val="0"/>
      <w:marTop w:val="0"/>
      <w:marBottom w:val="0"/>
      <w:divBdr>
        <w:top w:val="none" w:sz="0" w:space="0" w:color="auto"/>
        <w:left w:val="none" w:sz="0" w:space="0" w:color="auto"/>
        <w:bottom w:val="none" w:sz="0" w:space="0" w:color="auto"/>
        <w:right w:val="none" w:sz="0" w:space="0" w:color="auto"/>
      </w:divBdr>
    </w:div>
    <w:div w:id="1811828550">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 w:id="21388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22" TargetMode="External"/><Relationship Id="rId18" Type="http://schemas.openxmlformats.org/officeDocument/2006/relationships/hyperlink" Target="https://www.medicines.org.uk/emc/search?q=lithium" TargetMode="External"/><Relationship Id="rId26" Type="http://schemas.openxmlformats.org/officeDocument/2006/relationships/hyperlink" Target="https://webarchive.nationalarchives.gov.uk/ukgwa/20171030130945/http:/www.nrls.npsa.nhs.uk/resources/type/alerts/?entryid45=65426&amp;p=2" TargetMode="External"/><Relationship Id="rId39" Type="http://schemas.openxmlformats.org/officeDocument/2006/relationships/hyperlink" Target="https://www.nice.org.uk/guidance/ng222" TargetMode="External"/><Relationship Id="rId21" Type="http://schemas.openxmlformats.org/officeDocument/2006/relationships/hyperlink" Target="https://webarchive.nationalarchives.gov.uk/ukgwa/20171030130945/http:/www.nrls.npsa.nhs.uk/resources/type/alerts/?entryid45=65426&amp;p=2" TargetMode="External"/><Relationship Id="rId34" Type="http://schemas.openxmlformats.org/officeDocument/2006/relationships/hyperlink" Target="https://products.mhra.gov.uk/" TargetMode="External"/><Relationship Id="rId42" Type="http://schemas.openxmlformats.org/officeDocument/2006/relationships/hyperlink" Target="https://www.sps.nhs.uk/monitorings/lithium-monitoring/" TargetMode="External"/><Relationship Id="rId47" Type="http://schemas.openxmlformats.org/officeDocument/2006/relationships/hyperlink" Target="https://www.england.nhs.uk/publication/responsibility-for-prescribing-between-primary-and-secondary-tertiary-care/"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search?q=lithium" TargetMode="External"/><Relationship Id="rId29" Type="http://schemas.openxmlformats.org/officeDocument/2006/relationships/hyperlink" Target="https://www.sps.nhs.uk/articles/treating-bipolar-disorder-during-breastfeeding/" TargetMode="External"/><Relationship Id="rId11" Type="http://schemas.openxmlformats.org/officeDocument/2006/relationships/hyperlink" Target="https://rdtc.nhs.uk/prescribing-support-document/shared-care-protocol-lithium-in-adults/" TargetMode="External"/><Relationship Id="rId24" Type="http://schemas.openxmlformats.org/officeDocument/2006/relationships/hyperlink" Target="https://www.mind.org.uk/information-support/drugs-and-treatments/lithium-and-other-mood-stabilisers/lithium/" TargetMode="External"/><Relationship Id="rId32" Type="http://schemas.openxmlformats.org/officeDocument/2006/relationships/hyperlink" Target="https://www.medicines.org.uk/emc/product/13164/" TargetMode="External"/><Relationship Id="rId37" Type="http://schemas.openxmlformats.org/officeDocument/2006/relationships/hyperlink" Target="https://products.mhra.gov.uk/" TargetMode="External"/><Relationship Id="rId40" Type="http://schemas.openxmlformats.org/officeDocument/2006/relationships/hyperlink" Target="https://www.nice.org.uk/guidance/cg185" TargetMode="External"/><Relationship Id="rId45" Type="http://schemas.openxmlformats.org/officeDocument/2006/relationships/hyperlink" Target="https://webarchive.nationalarchives.gov.uk/ukgwa/20180501163555/http:/www.nrls.npsa.nhs.uk/resources/type/alerts/?entryid45=65426&amp;p=2"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hra.gov.uk/yellowcard" TargetMode="External"/><Relationship Id="rId31" Type="http://schemas.openxmlformats.org/officeDocument/2006/relationships/hyperlink" Target="https://www.medicines.org.uk/emc/files/pil.13163.pdf" TargetMode="External"/><Relationship Id="rId44" Type="http://schemas.openxmlformats.org/officeDocument/2006/relationships/hyperlink" Target="https://www.nhs.uk/medicines/lithium/"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85" TargetMode="External"/><Relationship Id="rId22" Type="http://schemas.openxmlformats.org/officeDocument/2006/relationships/hyperlink" Target="https://www.gov.uk/bipolar-disorder-and-driving" TargetMode="External"/><Relationship Id="rId27" Type="http://schemas.openxmlformats.org/officeDocument/2006/relationships/hyperlink" Target="https://uktis.org/monographs/use-of-lithium-in-pregnancy/" TargetMode="External"/><Relationship Id="rId30" Type="http://schemas.openxmlformats.org/officeDocument/2006/relationships/hyperlink" Target="https://bnf.nice.org.uk/" TargetMode="External"/><Relationship Id="rId35" Type="http://schemas.openxmlformats.org/officeDocument/2006/relationships/hyperlink" Target="https://www.medicines.org.uk/emc/product/10829" TargetMode="External"/><Relationship Id="rId43" Type="http://schemas.openxmlformats.org/officeDocument/2006/relationships/hyperlink" Target="https://cks.nice.org.uk/topics/bipolar-disorder/prescribing-information/lithium/" TargetMode="External"/><Relationship Id="rId48" Type="http://schemas.openxmlformats.org/officeDocument/2006/relationships/hyperlink" Target="https://www.gmc-uk.org/ethical-guidance/ethical-guidance-for-doctors/good-practice-in-prescribing-and-managing-medicines-and-devices/shared-car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nice.org.uk/guidance/ng222" TargetMode="External"/><Relationship Id="rId17" Type="http://schemas.openxmlformats.org/officeDocument/2006/relationships/hyperlink" Target="https://bnf.nice.org.uk/interactions/lithium/" TargetMode="External"/><Relationship Id="rId25" Type="http://schemas.openxmlformats.org/officeDocument/2006/relationships/hyperlink" Target="mailto:nhsforms@mmm.com" TargetMode="External"/><Relationship Id="rId33" Type="http://schemas.openxmlformats.org/officeDocument/2006/relationships/hyperlink" Target="https://www.medicines.org.uk/emc/files/pil.13164.pdf" TargetMode="External"/><Relationship Id="rId38" Type="http://schemas.openxmlformats.org/officeDocument/2006/relationships/hyperlink" Target="https://www.medicines.org.uk/emc/" TargetMode="External"/><Relationship Id="rId46" Type="http://schemas.openxmlformats.org/officeDocument/2006/relationships/hyperlink" Target="https://future.nhs.uk/connect.ti/PrescribingMedicinesOptimisation/view?objectId=50763952" TargetMode="External"/><Relationship Id="rId20" Type="http://schemas.openxmlformats.org/officeDocument/2006/relationships/hyperlink" Target="mailto:nhsforms@mmm.com" TargetMode="External"/><Relationship Id="rId41" Type="http://schemas.openxmlformats.org/officeDocument/2006/relationships/hyperlink" Target="https://www.nice.org.uk/guidance/cg192/"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drugs/lithium-carbonate/" TargetMode="External"/><Relationship Id="rId23" Type="http://schemas.openxmlformats.org/officeDocument/2006/relationships/hyperlink" Target="https://www.nhs.uk/medicines/lithium/" TargetMode="External"/><Relationship Id="rId28" Type="http://schemas.openxmlformats.org/officeDocument/2006/relationships/hyperlink" Target="https://www.medicinesinpregnancy.org/Medicine--pregnancy/Lithium/" TargetMode="External"/><Relationship Id="rId36" Type="http://schemas.openxmlformats.org/officeDocument/2006/relationships/hyperlink" Target="https://www.medicines.org.uk/emc/product/10828/" TargetMode="External"/><Relationship Id="rId49" Type="http://schemas.openxmlformats.org/officeDocument/2006/relationships/hyperlink" Target="https://www.nice.org.uk/guidance/ng19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388ABB97A67E4EA2083C22FCA94378" ma:contentTypeVersion="5" ma:contentTypeDescription="Create a new document." ma:contentTypeScope="" ma:versionID="9695e443c6b4ba3f68b40eea0afb1639">
  <xsd:schema xmlns:xsd="http://www.w3.org/2001/XMLSchema" xmlns:xs="http://www.w3.org/2001/XMLSchema" xmlns:p="http://schemas.microsoft.com/office/2006/metadata/properties" xmlns:ns1="http://schemas.microsoft.com/sharepoint/v3" xmlns:ns2="7458167c-9a79-42c5-aac0-817fa7082c5d" targetNamespace="http://schemas.microsoft.com/office/2006/metadata/properties" ma:root="true" ma:fieldsID="9ad8dcefff8c298cb7a6d5a8872b2050" ns1:_="" ns2:_="">
    <xsd:import namespace="http://schemas.microsoft.com/sharepoint/v3"/>
    <xsd:import namespace="7458167c-9a79-42c5-aac0-817fa7082c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8167c-9a79-42c5-aac0-817fa7082c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2.xml><?xml version="1.0" encoding="utf-8"?>
<ds:datastoreItem xmlns:ds="http://schemas.openxmlformats.org/officeDocument/2006/customXml" ds:itemID="{317E4F3F-03B4-40E0-B7CA-CD18FA56BC74}">
  <ds:schemaRefs>
    <ds:schemaRef ds:uri="http://schemas.openxmlformats.org/officeDocument/2006/bibliography"/>
  </ds:schemaRefs>
</ds:datastoreItem>
</file>

<file path=customXml/itemProps3.xml><?xml version="1.0" encoding="utf-8"?>
<ds:datastoreItem xmlns:ds="http://schemas.openxmlformats.org/officeDocument/2006/customXml" ds:itemID="{6DAA14A6-0E5D-4567-8A66-FFA596F1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58167c-9a79-42c5-aac0-817fa7082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160</TotalTime>
  <Pages>23</Pages>
  <Words>7606</Words>
  <Characters>43356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76</cp:revision>
  <cp:lastPrinted>2022-03-11T14:19:00Z</cp:lastPrinted>
  <dcterms:created xsi:type="dcterms:W3CDTF">2025-07-24T14:34:00Z</dcterms:created>
  <dcterms:modified xsi:type="dcterms:W3CDTF">2025-08-08T09:28:00Z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0x01010021388ABB97A67E4EA2083C22FCA94378</vt:lpwstr>
  </property>
  <property fmtid="{D5CDD505-2E9C-101B-9397-08002B2CF9AE}" pid="3" name="_dlc_DocIdItemGuid">
    <vt:lpwstr>51b1480d-bcbe-4409-8965-5d4ba7a1fe1a</vt:lpwstr>
  </property>
</Properties>
</file>